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header10.xml" ContentType="application/vnd.openxmlformats-officedocument.wordprocessingml.header+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header14.xml" ContentType="application/vnd.openxmlformats-officedocument.wordprocessingml.header+xml"/>
  <Override PartName="/word/header15.xml" ContentType="application/vnd.openxmlformats-officedocument.wordprocessingml.header+xml"/>
  <Override PartName="/word/charts/chart12.xml" ContentType="application/vnd.openxmlformats-officedocument.drawingml.chart+xml"/>
  <Override PartName="/word/header16.xml" ContentType="application/vnd.openxmlformats-officedocument.wordprocessingml.header+xml"/>
  <Override PartName="/word/header17.xml" ContentType="application/vnd.openxmlformats-officedocument.wordprocessingml.header+xml"/>
  <Override PartName="/word/charts/chart13.xml" ContentType="application/vnd.openxmlformats-officedocument.drawingml.chart+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5.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charts/chart14.xml" ContentType="application/vnd.openxmlformats-officedocument.drawingml.chart+xml"/>
  <Override PartName="/word/drawings/drawing1.xml" ContentType="application/vnd.openxmlformats-officedocument.drawingml.chartshapes+xml"/>
  <Override PartName="/word/header25.xml" ContentType="application/vnd.openxmlformats-officedocument.wordprocessingml.header+xml"/>
  <Override PartName="/word/charts/chart15.xml" ContentType="application/vnd.openxmlformats-officedocument.drawingml.chart+xml"/>
  <Override PartName="/word/header26.xml" ContentType="application/vnd.openxmlformats-officedocument.wordprocessingml.header+xml"/>
  <Override PartName="/word/charts/chart16.xml" ContentType="application/vnd.openxmlformats-officedocument.drawingml.chart+xml"/>
  <Override PartName="/word/theme/themeOverride12.xml" ContentType="application/vnd.openxmlformats-officedocument.themeOverride+xml"/>
  <Override PartName="/word/charts/chart17.xml" ContentType="application/vnd.openxmlformats-officedocument.drawingml.chart+xml"/>
  <Override PartName="/word/theme/themeOverride13.xml" ContentType="application/vnd.openxmlformats-officedocument.themeOverride+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7ACC" w:rsidRDefault="00717875" w:rsidP="008E044B">
      <w:pPr>
        <w:pStyle w:val="NoSpacing"/>
        <w:jc w:val="center"/>
        <w:rPr>
          <w:lang w:eastAsia="ja-JP"/>
        </w:rPr>
      </w:pPr>
      <w:bookmarkStart w:id="0" w:name="OLE_LINK1"/>
      <w:bookmarkStart w:id="1" w:name="OLE_LINK2"/>
      <w:bookmarkStart w:id="2" w:name="OLE_LINK3"/>
      <w:bookmarkStart w:id="3" w:name="OLE_LINK4"/>
      <w:r w:rsidRPr="00850F48">
        <w:rPr>
          <w:noProof/>
        </w:rPr>
        <mc:AlternateContent>
          <mc:Choice Requires="wps">
            <w:drawing>
              <wp:anchor distT="0" distB="0" distL="114300" distR="114300" simplePos="0" relativeHeight="251656192" behindDoc="0" locked="0" layoutInCell="1" allowOverlap="1" wp14:anchorId="772C6AD6" wp14:editId="7E0B82B5">
                <wp:simplePos x="0" y="0"/>
                <wp:positionH relativeFrom="margin">
                  <wp:posOffset>-134886</wp:posOffset>
                </wp:positionH>
                <wp:positionV relativeFrom="page">
                  <wp:posOffset>2317898</wp:posOffset>
                </wp:positionV>
                <wp:extent cx="6078013" cy="1636395"/>
                <wp:effectExtent l="0" t="0" r="18415" b="190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8013" cy="163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D2E9D" w:rsidRPr="00CE4BD1" w:rsidRDefault="00AD2E9D" w:rsidP="00850F48">
                            <w:pPr>
                              <w:spacing w:after="0"/>
                              <w:jc w:val="left"/>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pP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 xml:space="preserve">Актуализирана средносрочна бюджетна прогноза </w:t>
                            </w:r>
                            <w:r w:rsidRPr="0013465D">
                              <w:rPr>
                                <w:rFonts w:asciiTheme="majorHAnsi" w:eastAsia="Calibri" w:hAnsiTheme="majorHAnsi" w:cstheme="majorHAnsi"/>
                                <w:sz w:val="64"/>
                                <w:szCs w:val="64"/>
                                <w:lang w:val="ru-RU" w:eastAsia="en-US"/>
                                <w14:shadow w14:blurRad="50800" w14:dist="38100" w14:dir="2700000" w14:sx="100000" w14:sy="100000" w14:kx="0" w14:ky="0" w14:algn="tl">
                                  <w14:srgbClr w14:val="000000">
                                    <w14:alpha w14:val="60000"/>
                                  </w14:srgbClr>
                                </w14:shadow>
                              </w:rPr>
                              <w:br/>
                            </w:r>
                            <w:r>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за периода 2020</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–20</w:t>
                            </w:r>
                            <w:r>
                              <w:rPr>
                                <w:rFonts w:asciiTheme="majorHAnsi" w:eastAsia="Calibri" w:hAnsiTheme="majorHAnsi" w:cstheme="majorHAnsi"/>
                                <w:sz w:val="64"/>
                                <w:szCs w:val="64"/>
                                <w:lang w:val="ru-RU" w:eastAsia="en-US"/>
                                <w14:shadow w14:blurRad="50800" w14:dist="38100" w14:dir="2700000" w14:sx="100000" w14:sy="100000" w14:kx="0" w14:ky="0" w14:algn="tl">
                                  <w14:srgbClr w14:val="000000">
                                    <w14:alpha w14:val="60000"/>
                                  </w14:srgbClr>
                                </w14:shadow>
                              </w:rPr>
                              <w:t>22</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 xml:space="preserve"> г.</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2C6AD6" id="_x0000_t202" coordsize="21600,21600" o:spt="202" path="m,l,21600r21600,l21600,xe">
                <v:stroke joinstyle="miter"/>
                <v:path gradientshapeok="t" o:connecttype="rect"/>
              </v:shapetype>
              <v:shape id="Text Box 22" o:spid="_x0000_s1026" type="#_x0000_t202" style="position:absolute;left:0;text-align:left;margin-left:-10.6pt;margin-top:182.5pt;width:478.6pt;height:128.8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" filled="f" stroked="f">
                <v:textbox inset="0,,0">
                  <w:txbxContent>
                    <w:p w:rsidR="00AD2E9D" w:rsidRPr="00CE4BD1" w:rsidRDefault="00AD2E9D" w:rsidP="00850F48">
                      <w:pPr>
                        <w:spacing w:after="0"/>
                        <w:jc w:val="left"/>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pP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 xml:space="preserve">Актуализирана средносрочна бюджетна прогноза </w:t>
                      </w:r>
                      <w:r w:rsidRPr="0013465D">
                        <w:rPr>
                          <w:rFonts w:asciiTheme="majorHAnsi" w:eastAsia="Calibri" w:hAnsiTheme="majorHAnsi" w:cstheme="majorHAnsi"/>
                          <w:sz w:val="64"/>
                          <w:szCs w:val="64"/>
                          <w:lang w:val="ru-RU" w:eastAsia="en-US"/>
                          <w14:shadow w14:blurRad="50800" w14:dist="38100" w14:dir="2700000" w14:sx="100000" w14:sy="100000" w14:kx="0" w14:ky="0" w14:algn="tl">
                            <w14:srgbClr w14:val="000000">
                              <w14:alpha w14:val="60000"/>
                            </w14:srgbClr>
                          </w14:shadow>
                        </w:rPr>
                        <w:br/>
                      </w:r>
                      <w:r>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за периода 2020</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–20</w:t>
                      </w:r>
                      <w:r>
                        <w:rPr>
                          <w:rFonts w:asciiTheme="majorHAnsi" w:eastAsia="Calibri" w:hAnsiTheme="majorHAnsi" w:cstheme="majorHAnsi"/>
                          <w:sz w:val="64"/>
                          <w:szCs w:val="64"/>
                          <w:lang w:val="ru-RU" w:eastAsia="en-US"/>
                          <w14:shadow w14:blurRad="50800" w14:dist="38100" w14:dir="2700000" w14:sx="100000" w14:sy="100000" w14:kx="0" w14:ky="0" w14:algn="tl">
                            <w14:srgbClr w14:val="000000">
                              <w14:alpha w14:val="60000"/>
                            </w14:srgbClr>
                          </w14:shadow>
                        </w:rPr>
                        <w:t>22</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 xml:space="preserve"> г.</w:t>
                      </w:r>
                    </w:p>
                  </w:txbxContent>
                </v:textbox>
                <w10:wrap anchorx="margin" anchory="page"/>
              </v:shape>
            </w:pict>
          </mc:Fallback>
        </mc:AlternateContent>
      </w:r>
      <w:r w:rsidR="00CE4BD1">
        <w:rPr>
          <w:noProof/>
        </w:rPr>
        <mc:AlternateContent>
          <mc:Choice Requires="wps">
            <w:drawing>
              <wp:anchor distT="0" distB="0" distL="114300" distR="114300" simplePos="0" relativeHeight="251658240" behindDoc="0" locked="0" layoutInCell="1" allowOverlap="1" wp14:anchorId="1AA25A69" wp14:editId="61731CF9">
                <wp:simplePos x="0" y="0"/>
                <wp:positionH relativeFrom="column">
                  <wp:posOffset>-1009650</wp:posOffset>
                </wp:positionH>
                <wp:positionV relativeFrom="paragraph">
                  <wp:posOffset>3156476</wp:posOffset>
                </wp:positionV>
                <wp:extent cx="7669530" cy="6350"/>
                <wp:effectExtent l="0" t="0" r="26670" b="31750"/>
                <wp:wrapNone/>
                <wp:docPr id="16" name="Straight Connector 16"/>
                <wp:cNvGraphicFramePr/>
                <a:graphic xmlns:a="http://schemas.openxmlformats.org/drawingml/2006/main">
                  <a:graphicData uri="http://schemas.microsoft.com/office/word/2010/wordprocessingShape">
                    <wps:wsp>
                      <wps:cNvCnPr/>
                      <wps:spPr>
                        <a:xfrm>
                          <a:off x="0" y="0"/>
                          <a:ext cx="7669530" cy="6350"/>
                        </a:xfrm>
                        <a:prstGeom prst="line">
                          <a:avLst/>
                        </a:prstGeom>
                        <a:ln w="9525">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96432BD" id="Straight Connector 16"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5pt,248.55pt" to="524.4pt,24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" strokecolor="#b32c16 [3206]"/>
            </w:pict>
          </mc:Fallback>
        </mc:AlternateContent>
      </w:r>
      <w:r w:rsidR="00CE4BD1" w:rsidRPr="00850F48">
        <w:rPr>
          <w:noProof/>
        </w:rPr>
        <mc:AlternateContent>
          <mc:Choice Requires="wps">
            <w:drawing>
              <wp:anchor distT="0" distB="0" distL="114300" distR="114300" simplePos="0" relativeHeight="251653120" behindDoc="0" locked="0" layoutInCell="1" allowOverlap="1" wp14:anchorId="182B6A74" wp14:editId="549FB07E">
                <wp:simplePos x="0" y="0"/>
                <wp:positionH relativeFrom="margin">
                  <wp:posOffset>4108664</wp:posOffset>
                </wp:positionH>
                <wp:positionV relativeFrom="paragraph">
                  <wp:posOffset>-531495</wp:posOffset>
                </wp:positionV>
                <wp:extent cx="1898650" cy="521970"/>
                <wp:effectExtent l="0" t="0" r="0" b="0"/>
                <wp:wrapNone/>
                <wp:docPr id="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8650" cy="521970"/>
                        </a:xfrm>
                        <a:prstGeom prst="rect">
                          <a:avLst/>
                        </a:prstGeom>
                        <a:noFill/>
                        <a:ln w="6350">
                          <a:noFill/>
                        </a:ln>
                        <a:effectLst/>
                      </wps:spPr>
                      <wps:txbx>
                        <w:txbxContent>
                          <w:p w:rsidR="00AD2E9D" w:rsidRPr="00BC7ACC" w:rsidRDefault="00AD2E9D" w:rsidP="00850F48">
                            <w:pPr>
                              <w:jc w:val="right"/>
                              <w:rPr>
                                <w:b/>
                                <w:color w:val="FF0000"/>
                                <w:sz w:val="48"/>
                                <w:szCs w:val="4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2B6A74" id="Text Box 24" o:spid="_x0000_s1027" type="#_x0000_t202" style="position:absolute;left:0;text-align:left;margin-left:323.5pt;margin-top:-41.85pt;width:149.5pt;height:41.1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" filled="f" stroked="f" strokeweight=".5pt">
                <v:path arrowok="t"/>
                <v:textbox>
                  <w:txbxContent>
                    <w:p w:rsidR="00AD2E9D" w:rsidRPr="00BC7ACC" w:rsidRDefault="00AD2E9D" w:rsidP="00850F48">
                      <w:pPr>
                        <w:jc w:val="right"/>
                        <w:rPr>
                          <w:b/>
                          <w:color w:val="FF0000"/>
                          <w:sz w:val="48"/>
                          <w:szCs w:val="48"/>
                        </w:rPr>
                      </w:pPr>
                    </w:p>
                  </w:txbxContent>
                </v:textbox>
                <w10:wrap anchorx="margin"/>
              </v:shape>
            </w:pict>
          </mc:Fallback>
        </mc:AlternateContent>
      </w:r>
      <w:r w:rsidR="00CE4BD1" w:rsidRPr="00850F48">
        <w:rPr>
          <w:noProof/>
        </w:rPr>
        <mc:AlternateContent>
          <mc:Choice Requires="wps">
            <w:drawing>
              <wp:anchor distT="0" distB="0" distL="114300" distR="114300" simplePos="0" relativeHeight="251652096" behindDoc="0" locked="0" layoutInCell="1" allowOverlap="1" wp14:anchorId="0D42AF23" wp14:editId="524591A1">
                <wp:simplePos x="0" y="0"/>
                <wp:positionH relativeFrom="margin">
                  <wp:posOffset>3475355</wp:posOffset>
                </wp:positionH>
                <wp:positionV relativeFrom="margin">
                  <wp:posOffset>-11430</wp:posOffset>
                </wp:positionV>
                <wp:extent cx="2534285" cy="320040"/>
                <wp:effectExtent l="0" t="0" r="0" b="3810"/>
                <wp:wrapSquare wrapText="bothSides"/>
                <wp:docPr id="69"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34285" cy="320040"/>
                        </a:xfrm>
                        <a:prstGeom prst="rect">
                          <a:avLst/>
                        </a:prstGeom>
                        <a:noFill/>
                        <a:ln w="6350">
                          <a:noFill/>
                        </a:ln>
                        <a:effectLst/>
                      </wps:spPr>
                      <wps:txbx>
                        <w:txbxContent>
                          <w:p w:rsidR="00AD2E9D" w:rsidRPr="00CE4BD1" w:rsidRDefault="00AD2E9D" w:rsidP="00850F48">
                            <w:pPr>
                              <w:jc w:val="right"/>
                              <w:rPr>
                                <w:rStyle w:val="Emphasis"/>
                                <w:rFonts w:asciiTheme="minorHAnsi" w:hAnsiTheme="minorHAnsi" w:cstheme="minorHAnsi"/>
                                <w:i w:val="0"/>
                                <w:iCs w:val="0"/>
                                <w:spacing w:val="12"/>
                                <w:sz w:val="28"/>
                              </w:rPr>
                            </w:pPr>
                            <w:r w:rsidRPr="005B0126">
                              <w:rPr>
                                <w:rStyle w:val="Emphasis"/>
                                <w:rFonts w:asciiTheme="minorHAnsi" w:hAnsiTheme="minorHAnsi" w:cstheme="minorHAnsi"/>
                                <w:i w:val="0"/>
                                <w:spacing w:val="12"/>
                                <w:sz w:val="28"/>
                              </w:rPr>
                              <w:t xml:space="preserve">Приложение към т. </w:t>
                            </w:r>
                            <w:r>
                              <w:rPr>
                                <w:rStyle w:val="Emphasis"/>
                                <w:rFonts w:asciiTheme="minorHAnsi" w:hAnsiTheme="minorHAnsi" w:cstheme="minorHAnsi"/>
                                <w:i w:val="0"/>
                                <w:spacing w:val="12"/>
                                <w:sz w:val="28"/>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42AF23" id="_x0000_s1028" type="#_x0000_t202" style="position:absolute;left:0;text-align:left;margin-left:273.65pt;margin-top:-.9pt;width:199.55pt;height:25.2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" filled="f" stroked="f" strokeweight=".5pt">
                <v:path arrowok="t"/>
                <v:textbox>
                  <w:txbxContent>
                    <w:p w:rsidR="00AD2E9D" w:rsidRPr="00CE4BD1" w:rsidRDefault="00AD2E9D" w:rsidP="00850F48">
                      <w:pPr>
                        <w:jc w:val="right"/>
                        <w:rPr>
                          <w:rStyle w:val="Emphasis"/>
                          <w:rFonts w:asciiTheme="minorHAnsi" w:hAnsiTheme="minorHAnsi" w:cstheme="minorHAnsi"/>
                          <w:i w:val="0"/>
                          <w:iCs w:val="0"/>
                          <w:spacing w:val="12"/>
                          <w:sz w:val="28"/>
                        </w:rPr>
                      </w:pPr>
                      <w:r w:rsidRPr="005B0126">
                        <w:rPr>
                          <w:rStyle w:val="Emphasis"/>
                          <w:rFonts w:asciiTheme="minorHAnsi" w:hAnsiTheme="minorHAnsi" w:cstheme="minorHAnsi"/>
                          <w:i w:val="0"/>
                          <w:spacing w:val="12"/>
                          <w:sz w:val="28"/>
                        </w:rPr>
                        <w:t xml:space="preserve">Приложение към т. </w:t>
                      </w:r>
                      <w:r>
                        <w:rPr>
                          <w:rStyle w:val="Emphasis"/>
                          <w:rFonts w:asciiTheme="minorHAnsi" w:hAnsiTheme="minorHAnsi" w:cstheme="minorHAnsi"/>
                          <w:i w:val="0"/>
                          <w:spacing w:val="12"/>
                          <w:sz w:val="28"/>
                        </w:rPr>
                        <w:t>4</w:t>
                      </w:r>
                    </w:p>
                  </w:txbxContent>
                </v:textbox>
                <w10:wrap type="square" anchorx="margin" anchory="margin"/>
              </v:shape>
            </w:pict>
          </mc:Fallback>
        </mc:AlternateContent>
      </w:r>
      <w:r w:rsidR="00CE4BD1">
        <w:rPr>
          <w:noProof/>
        </w:rPr>
        <mc:AlternateContent>
          <mc:Choice Requires="wps">
            <w:drawing>
              <wp:anchor distT="0" distB="0" distL="114300" distR="114300" simplePos="0" relativeHeight="251657216" behindDoc="1" locked="0" layoutInCell="1" allowOverlap="1" wp14:anchorId="51F0A501" wp14:editId="17F6F733">
                <wp:simplePos x="0" y="0"/>
                <wp:positionH relativeFrom="page">
                  <wp:posOffset>0</wp:posOffset>
                </wp:positionH>
                <wp:positionV relativeFrom="page">
                  <wp:posOffset>0</wp:posOffset>
                </wp:positionV>
                <wp:extent cx="7560000" cy="4068000"/>
                <wp:effectExtent l="0" t="0" r="3175" b="8890"/>
                <wp:wrapNone/>
                <wp:docPr id="5" name="Rectangle 5"/>
                <wp:cNvGraphicFramePr/>
                <a:graphic xmlns:a="http://schemas.openxmlformats.org/drawingml/2006/main">
                  <a:graphicData uri="http://schemas.microsoft.com/office/word/2010/wordprocessingShape">
                    <wps:wsp>
                      <wps:cNvSpPr/>
                      <wps:spPr>
                        <a:xfrm>
                          <a:off x="0" y="0"/>
                          <a:ext cx="7560000" cy="406800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0E636E" id="Rectangle 5" o:spid="_x0000_s1026" style="position:absolute;margin-left:0;margin-top:0;width:595.3pt;height:320.3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" fillcolor="#f8cec7 [662]" stroked="f" strokeweight="2pt">
                <w10:wrap anchorx="page" anchory="page"/>
              </v:rect>
            </w:pict>
          </mc:Fallback>
        </mc:AlternateContent>
      </w:r>
      <w:r w:rsidR="00850F48" w:rsidRPr="00850F48">
        <w:rPr>
          <w:noProof/>
        </w:rPr>
        <mc:AlternateContent>
          <mc:Choice Requires="wps">
            <w:drawing>
              <wp:anchor distT="0" distB="0" distL="114300" distR="114300" simplePos="0" relativeHeight="251654144" behindDoc="0" locked="0" layoutInCell="1" allowOverlap="1" wp14:anchorId="78761F37" wp14:editId="669869F4">
                <wp:simplePos x="0" y="0"/>
                <wp:positionH relativeFrom="margin">
                  <wp:align>left</wp:align>
                </wp:positionH>
                <wp:positionV relativeFrom="margin">
                  <wp:align>bottom</wp:align>
                </wp:positionV>
                <wp:extent cx="3559175" cy="318770"/>
                <wp:effectExtent l="0" t="0" r="0" b="5080"/>
                <wp:wrapSquare wrapText="bothSides"/>
                <wp:docPr id="1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9175" cy="318770"/>
                        </a:xfrm>
                        <a:prstGeom prst="rect">
                          <a:avLst/>
                        </a:prstGeom>
                        <a:noFill/>
                        <a:ln w="6350">
                          <a:noFill/>
                        </a:ln>
                        <a:effectLst/>
                      </wps:spPr>
                      <wps:txbx>
                        <w:txbxContent>
                          <w:p w:rsidR="00AD2E9D" w:rsidRPr="00370580" w:rsidRDefault="00AD2E9D" w:rsidP="00FF53AB">
                            <w:pPr>
                              <w:spacing w:after="0"/>
                              <w:rPr>
                                <w:iCs/>
                                <w:sz w:val="28"/>
                                <w:szCs w:val="28"/>
                                <w:lang w:eastAsia="en-GB"/>
                              </w:rPr>
                            </w:pPr>
                            <w:r>
                              <w:rPr>
                                <w:bCs/>
                                <w:iCs/>
                                <w:sz w:val="28"/>
                                <w:szCs w:val="28"/>
                                <w:lang w:eastAsia="en-GB"/>
                              </w:rPr>
                              <w:t xml:space="preserve">октомври </w:t>
                            </w:r>
                            <w:r w:rsidRPr="005B0126">
                              <w:rPr>
                                <w:bCs/>
                                <w:iCs/>
                                <w:sz w:val="28"/>
                                <w:szCs w:val="28"/>
                                <w:lang w:eastAsia="en-GB"/>
                              </w:rPr>
                              <w:t>201</w:t>
                            </w:r>
                            <w:r>
                              <w:rPr>
                                <w:bCs/>
                                <w:iCs/>
                                <w:sz w:val="28"/>
                                <w:szCs w:val="28"/>
                                <w:lang w:eastAsia="en-GB"/>
                              </w:rPr>
                              <w:t>9</w:t>
                            </w:r>
                            <w:r w:rsidRPr="005B0126">
                              <w:rPr>
                                <w:bCs/>
                                <w:iCs/>
                                <w:sz w:val="28"/>
                                <w:szCs w:val="28"/>
                                <w:lang w:eastAsia="en-GB"/>
                              </w:rPr>
                              <w:t xml:space="preserve"> г.</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761F37" id="_x0000_s1029" type="#_x0000_t202" style="position:absolute;left:0;text-align:left;margin-left:0;margin-top:0;width:280.25pt;height:25.1pt;z-index:251654144;visibility:visible;mso-wrap-style:square;mso-width-percent:0;mso-height-percent:0;mso-wrap-distance-left:9pt;mso-wrap-distance-top:0;mso-wrap-distance-right:9pt;mso-wrap-distance-bottom:0;mso-position-horizontal:left;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" filled="f" stroked="f" strokeweight=".5pt">
                <v:path arrowok="t"/>
                <v:textbox inset="0">
                  <w:txbxContent>
                    <w:p w:rsidR="00AD2E9D" w:rsidRPr="00370580" w:rsidRDefault="00AD2E9D" w:rsidP="00FF53AB">
                      <w:pPr>
                        <w:spacing w:after="0"/>
                        <w:rPr>
                          <w:iCs/>
                          <w:sz w:val="28"/>
                          <w:szCs w:val="28"/>
                          <w:lang w:eastAsia="en-GB"/>
                        </w:rPr>
                      </w:pPr>
                      <w:r>
                        <w:rPr>
                          <w:bCs/>
                          <w:iCs/>
                          <w:sz w:val="28"/>
                          <w:szCs w:val="28"/>
                          <w:lang w:eastAsia="en-GB"/>
                        </w:rPr>
                        <w:t xml:space="preserve">октомври </w:t>
                      </w:r>
                      <w:r w:rsidRPr="005B0126">
                        <w:rPr>
                          <w:bCs/>
                          <w:iCs/>
                          <w:sz w:val="28"/>
                          <w:szCs w:val="28"/>
                          <w:lang w:eastAsia="en-GB"/>
                        </w:rPr>
                        <w:t>201</w:t>
                      </w:r>
                      <w:r>
                        <w:rPr>
                          <w:bCs/>
                          <w:iCs/>
                          <w:sz w:val="28"/>
                          <w:szCs w:val="28"/>
                          <w:lang w:eastAsia="en-GB"/>
                        </w:rPr>
                        <w:t>9</w:t>
                      </w:r>
                      <w:r w:rsidRPr="005B0126">
                        <w:rPr>
                          <w:bCs/>
                          <w:iCs/>
                          <w:sz w:val="28"/>
                          <w:szCs w:val="28"/>
                          <w:lang w:eastAsia="en-GB"/>
                        </w:rPr>
                        <w:t xml:space="preserve"> г.</w:t>
                      </w:r>
                    </w:p>
                  </w:txbxContent>
                </v:textbox>
                <w10:wrap type="square" anchorx="margin" anchory="margin"/>
              </v:shape>
            </w:pict>
          </mc:Fallback>
        </mc:AlternateContent>
      </w: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Default="00BC7ACC" w:rsidP="00BC7ACC">
      <w:pPr>
        <w:rPr>
          <w:lang w:eastAsia="ja-JP"/>
        </w:rPr>
      </w:pPr>
    </w:p>
    <w:p w:rsidR="006A5D21" w:rsidRDefault="006A5D21" w:rsidP="00BC7ACC">
      <w:pPr>
        <w:spacing w:after="0"/>
        <w:jc w:val="left"/>
        <w:rPr>
          <w:iCs/>
          <w:sz w:val="36"/>
          <w:szCs w:val="36"/>
          <w:lang w:eastAsia="en-GB"/>
        </w:rPr>
      </w:pPr>
      <w:r>
        <w:rPr>
          <w:iCs/>
          <w:noProof/>
          <w:sz w:val="36"/>
          <w:szCs w:val="36"/>
        </w:rPr>
        <mc:AlternateContent>
          <mc:Choice Requires="wps">
            <w:drawing>
              <wp:anchor distT="0" distB="0" distL="114300" distR="114300" simplePos="0" relativeHeight="251659264" behindDoc="0" locked="0" layoutInCell="1" allowOverlap="1" wp14:anchorId="0025A1EB" wp14:editId="3EC1538B">
                <wp:simplePos x="0" y="0"/>
                <wp:positionH relativeFrom="column">
                  <wp:posOffset>-137133</wp:posOffset>
                </wp:positionH>
                <wp:positionV relativeFrom="paragraph">
                  <wp:posOffset>199860</wp:posOffset>
                </wp:positionV>
                <wp:extent cx="3227705" cy="937895"/>
                <wp:effectExtent l="0" t="0" r="10795" b="14605"/>
                <wp:wrapNone/>
                <wp:docPr id="701" name="Double Bracket 701"/>
                <wp:cNvGraphicFramePr/>
                <a:graphic xmlns:a="http://schemas.openxmlformats.org/drawingml/2006/main">
                  <a:graphicData uri="http://schemas.microsoft.com/office/word/2010/wordprocessingShape">
                    <wps:wsp>
                      <wps:cNvSpPr/>
                      <wps:spPr>
                        <a:xfrm>
                          <a:off x="0" y="0"/>
                          <a:ext cx="3227705" cy="937895"/>
                        </a:xfrm>
                        <a:prstGeom prst="bracketPair">
                          <a:avLst/>
                        </a:prstGeom>
                        <a:noFill/>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D7A830"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Double Bracket 701" o:spid="_x0000_s1026" type="#_x0000_t185" style="position:absolute;margin-left:-10.8pt;margin-top:15.75pt;width:254.15pt;height:73.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" strokecolor="black [3213]"/>
            </w:pict>
          </mc:Fallback>
        </mc:AlternateContent>
      </w:r>
    </w:p>
    <w:p w:rsidR="00BC7ACC" w:rsidRPr="0021016D" w:rsidRDefault="00BC7ACC" w:rsidP="00BC7ACC">
      <w:pPr>
        <w:spacing w:after="0"/>
        <w:jc w:val="left"/>
        <w:rPr>
          <w:iCs/>
          <w:sz w:val="36"/>
          <w:szCs w:val="36"/>
          <w:lang w:eastAsia="en-GB"/>
        </w:rPr>
      </w:pPr>
      <w:r w:rsidRPr="0021016D">
        <w:rPr>
          <w:iCs/>
          <w:sz w:val="36"/>
          <w:szCs w:val="36"/>
          <w:lang w:eastAsia="en-GB"/>
        </w:rPr>
        <w:t xml:space="preserve">Мотиви към законопроекта за </w:t>
      </w:r>
    </w:p>
    <w:p w:rsidR="00BC7ACC" w:rsidRPr="0021016D" w:rsidRDefault="00BC7ACC" w:rsidP="00BC7ACC">
      <w:pPr>
        <w:spacing w:after="0"/>
        <w:jc w:val="left"/>
        <w:rPr>
          <w:iCs/>
          <w:sz w:val="36"/>
          <w:szCs w:val="36"/>
          <w:lang w:eastAsia="en-GB"/>
        </w:rPr>
      </w:pPr>
      <w:r w:rsidRPr="0021016D">
        <w:rPr>
          <w:iCs/>
          <w:sz w:val="36"/>
          <w:szCs w:val="36"/>
          <w:lang w:eastAsia="en-GB"/>
        </w:rPr>
        <w:t xml:space="preserve">държавния бюджет на </w:t>
      </w:r>
    </w:p>
    <w:p w:rsidR="00BC7ACC" w:rsidRDefault="00092908" w:rsidP="00BC7ACC">
      <w:pPr>
        <w:spacing w:after="0"/>
        <w:jc w:val="left"/>
        <w:rPr>
          <w:iCs/>
          <w:sz w:val="36"/>
          <w:szCs w:val="36"/>
          <w:lang w:eastAsia="en-GB"/>
        </w:rPr>
      </w:pPr>
      <w:r>
        <w:rPr>
          <w:iCs/>
          <w:sz w:val="36"/>
          <w:szCs w:val="36"/>
          <w:lang w:eastAsia="en-GB"/>
        </w:rPr>
        <w:t>Република България за 2020</w:t>
      </w:r>
      <w:r w:rsidR="00BC7ACC">
        <w:rPr>
          <w:iCs/>
          <w:sz w:val="36"/>
          <w:szCs w:val="36"/>
          <w:lang w:eastAsia="en-GB"/>
        </w:rPr>
        <w:t xml:space="preserve"> г.</w:t>
      </w:r>
    </w:p>
    <w:p w:rsidR="00BC7ACC" w:rsidRDefault="00BC7ACC" w:rsidP="00BC7ACC">
      <w:pPr>
        <w:ind w:firstLine="709"/>
        <w:rPr>
          <w:lang w:eastAsia="ja-JP"/>
        </w:rPr>
      </w:pPr>
    </w:p>
    <w:p w:rsidR="00BC7ACC" w:rsidRDefault="00BC7ACC" w:rsidP="00BC7ACC">
      <w:pPr>
        <w:ind w:firstLine="709"/>
        <w:rPr>
          <w:lang w:eastAsia="ja-JP"/>
        </w:rPr>
      </w:pPr>
    </w:p>
    <w:p w:rsidR="00BC7ACC" w:rsidRDefault="00BC7ACC" w:rsidP="00BC7ACC">
      <w:pPr>
        <w:ind w:firstLine="709"/>
        <w:rPr>
          <w:lang w:eastAsia="ja-JP"/>
        </w:rPr>
      </w:pPr>
    </w:p>
    <w:p w:rsidR="00BC7ACC" w:rsidRDefault="00BC7ACC" w:rsidP="00BC7ACC">
      <w:pPr>
        <w:ind w:firstLine="709"/>
        <w:rPr>
          <w:lang w:eastAsia="ja-JP"/>
        </w:rPr>
      </w:pPr>
    </w:p>
    <w:p w:rsidR="00BC7ACC" w:rsidRDefault="00BC7ACC" w:rsidP="00BC7ACC">
      <w:pPr>
        <w:ind w:firstLine="709"/>
        <w:rPr>
          <w:lang w:eastAsia="ja-JP"/>
        </w:rPr>
      </w:pPr>
    </w:p>
    <w:p w:rsidR="00BC7ACC" w:rsidRDefault="00BC7ACC" w:rsidP="00BC7ACC">
      <w:pPr>
        <w:rPr>
          <w:lang w:eastAsia="ja-JP"/>
        </w:rPr>
      </w:pPr>
    </w:p>
    <w:p w:rsidR="003C07EA" w:rsidRPr="00BC7ACC" w:rsidRDefault="003C07EA" w:rsidP="00BC7ACC">
      <w:pPr>
        <w:rPr>
          <w:lang w:eastAsia="ja-JP"/>
        </w:rPr>
        <w:sectPr w:rsidR="003C07EA" w:rsidRPr="00BC7ACC" w:rsidSect="00FF16A0">
          <w:headerReference w:type="even" r:id="rId9"/>
          <w:type w:val="oddPage"/>
          <w:pgSz w:w="11906" w:h="16838" w:code="9"/>
          <w:pgMar w:top="1418" w:right="1418" w:bottom="851" w:left="1418" w:header="708" w:footer="708" w:gutter="0"/>
          <w:cols w:space="708"/>
          <w:docGrid w:linePitch="360"/>
        </w:sectPr>
      </w:pPr>
    </w:p>
    <w:p w:rsidR="00CF21EB" w:rsidRDefault="00AF006E" w:rsidP="002A7C29">
      <w:pPr>
        <w:spacing w:after="240"/>
        <w:rPr>
          <w:spacing w:val="12"/>
          <w:sz w:val="32"/>
        </w:rPr>
      </w:pPr>
      <w:bookmarkStart w:id="7" w:name="_Toc464737527"/>
      <w:bookmarkStart w:id="8" w:name="_Toc464746957"/>
      <w:bookmarkStart w:id="9" w:name="_Toc465070434"/>
      <w:bookmarkStart w:id="10" w:name="_Toc465176562"/>
      <w:bookmarkStart w:id="11" w:name="_Toc465177066"/>
      <w:bookmarkStart w:id="12" w:name="_Toc465177879"/>
      <w:bookmarkStart w:id="13" w:name="_Toc465177987"/>
      <w:bookmarkStart w:id="14" w:name="_Toc465178095"/>
      <w:bookmarkEnd w:id="0"/>
      <w:bookmarkEnd w:id="1"/>
      <w:bookmarkEnd w:id="2"/>
      <w:bookmarkEnd w:id="3"/>
      <w:r w:rsidRPr="00E25A58">
        <w:rPr>
          <w:spacing w:val="12"/>
          <w:sz w:val="32"/>
        </w:rPr>
        <w:t>Съдържание</w:t>
      </w:r>
      <w:bookmarkEnd w:id="7"/>
      <w:bookmarkEnd w:id="8"/>
      <w:bookmarkEnd w:id="9"/>
      <w:bookmarkEnd w:id="10"/>
      <w:bookmarkEnd w:id="11"/>
      <w:bookmarkEnd w:id="12"/>
      <w:bookmarkEnd w:id="13"/>
      <w:bookmarkEnd w:id="14"/>
    </w:p>
    <w:p w:rsidR="005B6754" w:rsidRPr="00E25A58" w:rsidRDefault="005B6754" w:rsidP="002A7C29">
      <w:pPr>
        <w:spacing w:after="240"/>
        <w:rPr>
          <w:spacing w:val="12"/>
          <w:sz w:val="32"/>
          <w:lang w:val="en-US"/>
        </w:rPr>
      </w:pPr>
    </w:p>
    <w:p w:rsidR="005C307E" w:rsidRDefault="00E269CB">
      <w:pPr>
        <w:pStyle w:val="TOC1"/>
        <w:rPr>
          <w:rFonts w:asciiTheme="minorHAnsi" w:hAnsiTheme="minorHAnsi"/>
          <w:b w:val="0"/>
          <w:color w:val="auto"/>
        </w:rPr>
      </w:pPr>
      <w:r>
        <w:rPr>
          <w:w w:val="90"/>
          <w:lang w:val="ru-RU" w:eastAsia="zh-CN"/>
        </w:rPr>
        <w:fldChar w:fldCharType="begin"/>
      </w:r>
      <w:r>
        <w:rPr>
          <w:w w:val="90"/>
          <w:lang w:val="ru-RU" w:eastAsia="zh-CN"/>
        </w:rPr>
        <w:instrText xml:space="preserve"> TOC \o "1-2" \h \z \u </w:instrText>
      </w:r>
      <w:r>
        <w:rPr>
          <w:w w:val="90"/>
          <w:lang w:val="ru-RU" w:eastAsia="zh-CN"/>
        </w:rPr>
        <w:fldChar w:fldCharType="separate"/>
      </w:r>
      <w:hyperlink w:anchor="_Toc23337465" w:history="1">
        <w:r w:rsidR="005C307E" w:rsidRPr="00251F40">
          <w:rPr>
            <w:rStyle w:val="Hyperlink"/>
          </w:rPr>
          <w:t>Въведение</w:t>
        </w:r>
        <w:r w:rsidR="005C307E">
          <w:rPr>
            <w:webHidden/>
          </w:rPr>
          <w:tab/>
        </w:r>
        <w:r w:rsidR="005C307E">
          <w:rPr>
            <w:webHidden/>
          </w:rPr>
          <w:fldChar w:fldCharType="begin"/>
        </w:r>
        <w:r w:rsidR="005C307E">
          <w:rPr>
            <w:webHidden/>
          </w:rPr>
          <w:instrText xml:space="preserve"> PAGEREF _Toc23337465 \h </w:instrText>
        </w:r>
        <w:r w:rsidR="005C307E">
          <w:rPr>
            <w:webHidden/>
          </w:rPr>
        </w:r>
        <w:r w:rsidR="005C307E">
          <w:rPr>
            <w:webHidden/>
          </w:rPr>
          <w:fldChar w:fldCharType="separate"/>
        </w:r>
        <w:r w:rsidR="005E4D4F">
          <w:rPr>
            <w:webHidden/>
          </w:rPr>
          <w:t>9</w:t>
        </w:r>
        <w:r w:rsidR="005C307E">
          <w:rPr>
            <w:webHidden/>
          </w:rPr>
          <w:fldChar w:fldCharType="end"/>
        </w:r>
      </w:hyperlink>
    </w:p>
    <w:p w:rsidR="005C307E" w:rsidRDefault="00984FBC">
      <w:pPr>
        <w:pStyle w:val="TOC1"/>
        <w:rPr>
          <w:rFonts w:asciiTheme="minorHAnsi" w:hAnsiTheme="minorHAnsi"/>
          <w:b w:val="0"/>
          <w:color w:val="auto"/>
        </w:rPr>
      </w:pPr>
      <w:hyperlink w:anchor="_Toc23337466" w:history="1">
        <w:r w:rsidR="005C307E" w:rsidRPr="00251F40">
          <w:rPr>
            <w:rStyle w:val="Hyperlink"/>
          </w:rPr>
          <w:t xml:space="preserve">Част I.  Икономически перспективи за </w:t>
        </w:r>
        <w:r w:rsidR="005C307E" w:rsidRPr="00251F40">
          <w:rPr>
            <w:rStyle w:val="Hyperlink"/>
            <w:lang w:val="ru-RU"/>
          </w:rPr>
          <w:t xml:space="preserve"> </w:t>
        </w:r>
        <w:r w:rsidR="005C307E" w:rsidRPr="00251F40">
          <w:rPr>
            <w:rStyle w:val="Hyperlink"/>
          </w:rPr>
          <w:t>периода 2019-2022 г.</w:t>
        </w:r>
        <w:r w:rsidR="005C307E">
          <w:rPr>
            <w:webHidden/>
          </w:rPr>
          <w:tab/>
        </w:r>
        <w:r w:rsidR="005C307E">
          <w:rPr>
            <w:webHidden/>
          </w:rPr>
          <w:fldChar w:fldCharType="begin"/>
        </w:r>
        <w:r w:rsidR="005C307E">
          <w:rPr>
            <w:webHidden/>
          </w:rPr>
          <w:instrText xml:space="preserve"> PAGEREF _Toc23337466 \h </w:instrText>
        </w:r>
        <w:r w:rsidR="005C307E">
          <w:rPr>
            <w:webHidden/>
          </w:rPr>
        </w:r>
        <w:r w:rsidR="005C307E">
          <w:rPr>
            <w:webHidden/>
          </w:rPr>
          <w:fldChar w:fldCharType="separate"/>
        </w:r>
        <w:r w:rsidR="005E4D4F">
          <w:rPr>
            <w:webHidden/>
          </w:rPr>
          <w:t>13</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67" w:history="1">
        <w:r w:rsidR="005C307E" w:rsidRPr="00251F40">
          <w:rPr>
            <w:rStyle w:val="Hyperlink"/>
          </w:rPr>
          <w:t>1.</w:t>
        </w:r>
        <w:r w:rsidR="005C307E">
          <w:rPr>
            <w:rFonts w:asciiTheme="minorHAnsi" w:hAnsiTheme="minorHAnsi"/>
            <w:bCs w:val="0"/>
            <w:caps w:val="0"/>
            <w:sz w:val="22"/>
            <w:lang w:val="bg-BG"/>
          </w:rPr>
          <w:tab/>
        </w:r>
        <w:r w:rsidR="005C307E" w:rsidRPr="00251F40">
          <w:rPr>
            <w:rStyle w:val="Hyperlink"/>
          </w:rPr>
          <w:t>ПРЕГЛЕД НА РАЗВИТИЕТО НА СВЕТОВНАТА И ЕВРОПЕЙСКАТА ИКОНОМИКА</w:t>
        </w:r>
        <w:r w:rsidR="005C307E">
          <w:rPr>
            <w:webHidden/>
          </w:rPr>
          <w:tab/>
        </w:r>
        <w:r w:rsidR="005C307E">
          <w:rPr>
            <w:webHidden/>
          </w:rPr>
          <w:fldChar w:fldCharType="begin"/>
        </w:r>
        <w:r w:rsidR="005C307E">
          <w:rPr>
            <w:webHidden/>
          </w:rPr>
          <w:instrText xml:space="preserve"> PAGEREF _Toc23337467 \h </w:instrText>
        </w:r>
        <w:r w:rsidR="005C307E">
          <w:rPr>
            <w:webHidden/>
          </w:rPr>
        </w:r>
        <w:r w:rsidR="005C307E">
          <w:rPr>
            <w:webHidden/>
          </w:rPr>
          <w:fldChar w:fldCharType="separate"/>
        </w:r>
        <w:r w:rsidR="005E4D4F">
          <w:rPr>
            <w:webHidden/>
          </w:rPr>
          <w:t>13</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68" w:history="1">
        <w:r w:rsidR="005C307E" w:rsidRPr="00251F40">
          <w:rPr>
            <w:rStyle w:val="Hyperlink"/>
          </w:rPr>
          <w:t>2.</w:t>
        </w:r>
        <w:r w:rsidR="005C307E">
          <w:rPr>
            <w:rFonts w:asciiTheme="minorHAnsi" w:hAnsiTheme="minorHAnsi"/>
            <w:bCs w:val="0"/>
            <w:caps w:val="0"/>
            <w:sz w:val="22"/>
            <w:lang w:val="bg-BG"/>
          </w:rPr>
          <w:tab/>
        </w:r>
        <w:r w:rsidR="005C307E" w:rsidRPr="00251F40">
          <w:rPr>
            <w:rStyle w:val="Hyperlink"/>
          </w:rPr>
          <w:t>ПРЕГЛЕД НА РАЗВИТИЕТО НА НАЦИОНАЛНАТА ИКОНОМИКА</w:t>
        </w:r>
        <w:r w:rsidR="005C307E">
          <w:rPr>
            <w:webHidden/>
          </w:rPr>
          <w:tab/>
        </w:r>
        <w:r w:rsidR="005C307E">
          <w:rPr>
            <w:webHidden/>
          </w:rPr>
          <w:fldChar w:fldCharType="begin"/>
        </w:r>
        <w:r w:rsidR="005C307E">
          <w:rPr>
            <w:webHidden/>
          </w:rPr>
          <w:instrText xml:space="preserve"> PAGEREF _Toc23337468 \h </w:instrText>
        </w:r>
        <w:r w:rsidR="005C307E">
          <w:rPr>
            <w:webHidden/>
          </w:rPr>
        </w:r>
        <w:r w:rsidR="005C307E">
          <w:rPr>
            <w:webHidden/>
          </w:rPr>
          <w:fldChar w:fldCharType="separate"/>
        </w:r>
        <w:r w:rsidR="005E4D4F">
          <w:rPr>
            <w:webHidden/>
          </w:rPr>
          <w:t>15</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69" w:history="1">
        <w:r w:rsidR="005C307E" w:rsidRPr="00251F40">
          <w:rPr>
            <w:rStyle w:val="Hyperlink"/>
          </w:rPr>
          <w:t>3.</w:t>
        </w:r>
        <w:r w:rsidR="005C307E">
          <w:rPr>
            <w:rFonts w:asciiTheme="minorHAnsi" w:hAnsiTheme="minorHAnsi"/>
            <w:bCs w:val="0"/>
            <w:caps w:val="0"/>
            <w:sz w:val="22"/>
            <w:lang w:val="bg-BG"/>
          </w:rPr>
          <w:tab/>
        </w:r>
        <w:r w:rsidR="005C307E" w:rsidRPr="00251F40">
          <w:rPr>
            <w:rStyle w:val="Hyperlink"/>
          </w:rPr>
          <w:t>МАКРОИКОНОМИЧЕСКА ПРОГНОЗА ЗА ПЕРИОДА 2019-2022 г.</w:t>
        </w:r>
        <w:r w:rsidR="005C307E">
          <w:rPr>
            <w:webHidden/>
          </w:rPr>
          <w:tab/>
        </w:r>
        <w:r w:rsidR="005C307E">
          <w:rPr>
            <w:webHidden/>
          </w:rPr>
          <w:fldChar w:fldCharType="begin"/>
        </w:r>
        <w:r w:rsidR="005C307E">
          <w:rPr>
            <w:webHidden/>
          </w:rPr>
          <w:instrText xml:space="preserve"> PAGEREF _Toc23337469 \h </w:instrText>
        </w:r>
        <w:r w:rsidR="005C307E">
          <w:rPr>
            <w:webHidden/>
          </w:rPr>
        </w:r>
        <w:r w:rsidR="005C307E">
          <w:rPr>
            <w:webHidden/>
          </w:rPr>
          <w:fldChar w:fldCharType="separate"/>
        </w:r>
        <w:r w:rsidR="005E4D4F">
          <w:rPr>
            <w:webHidden/>
          </w:rPr>
          <w:t>18</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70" w:history="1">
        <w:r w:rsidR="005C307E" w:rsidRPr="00251F40">
          <w:rPr>
            <w:rStyle w:val="Hyperlink"/>
          </w:rPr>
          <w:t>4.</w:t>
        </w:r>
        <w:r w:rsidR="005C307E">
          <w:rPr>
            <w:rFonts w:asciiTheme="minorHAnsi" w:hAnsiTheme="minorHAnsi"/>
            <w:bCs w:val="0"/>
            <w:caps w:val="0"/>
            <w:sz w:val="22"/>
            <w:lang w:val="bg-BG"/>
          </w:rPr>
          <w:tab/>
        </w:r>
        <w:r w:rsidR="005C307E" w:rsidRPr="00251F40">
          <w:rPr>
            <w:rStyle w:val="Hyperlink"/>
          </w:rPr>
          <w:t>ПОТЕНЦИАЛЕН РАСТЕЖ И ОТКЛОНЕНИЕ ОТ ПОТЕНЦИАЛНИЯ БВП</w:t>
        </w:r>
        <w:r w:rsidR="005C307E">
          <w:rPr>
            <w:webHidden/>
          </w:rPr>
          <w:tab/>
        </w:r>
        <w:r w:rsidR="005C307E">
          <w:rPr>
            <w:webHidden/>
          </w:rPr>
          <w:fldChar w:fldCharType="begin"/>
        </w:r>
        <w:r w:rsidR="005C307E">
          <w:rPr>
            <w:webHidden/>
          </w:rPr>
          <w:instrText xml:space="preserve"> PAGEREF _Toc23337470 \h </w:instrText>
        </w:r>
        <w:r w:rsidR="005C307E">
          <w:rPr>
            <w:webHidden/>
          </w:rPr>
        </w:r>
        <w:r w:rsidR="005C307E">
          <w:rPr>
            <w:webHidden/>
          </w:rPr>
          <w:fldChar w:fldCharType="separate"/>
        </w:r>
        <w:r w:rsidR="005E4D4F">
          <w:rPr>
            <w:webHidden/>
          </w:rPr>
          <w:t>22</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71" w:history="1">
        <w:r w:rsidR="005C307E" w:rsidRPr="00251F40">
          <w:rPr>
            <w:rStyle w:val="Hyperlink"/>
          </w:rPr>
          <w:t>5.</w:t>
        </w:r>
        <w:r w:rsidR="005C307E">
          <w:rPr>
            <w:rFonts w:asciiTheme="minorHAnsi" w:hAnsiTheme="minorHAnsi"/>
            <w:bCs w:val="0"/>
            <w:caps w:val="0"/>
            <w:sz w:val="22"/>
            <w:lang w:val="bg-BG"/>
          </w:rPr>
          <w:tab/>
        </w:r>
        <w:r w:rsidR="005C307E" w:rsidRPr="00251F40">
          <w:rPr>
            <w:rStyle w:val="Hyperlink"/>
          </w:rPr>
          <w:t>СЪПОСТАВКА НА МАКРОИКОНОМИЧЕСКАТА ПРОГНОЗА С ТАЗИ НА ЕК</w:t>
        </w:r>
        <w:r w:rsidR="005C307E">
          <w:rPr>
            <w:webHidden/>
          </w:rPr>
          <w:tab/>
        </w:r>
        <w:r w:rsidR="005C307E">
          <w:rPr>
            <w:webHidden/>
          </w:rPr>
          <w:fldChar w:fldCharType="begin"/>
        </w:r>
        <w:r w:rsidR="005C307E">
          <w:rPr>
            <w:webHidden/>
          </w:rPr>
          <w:instrText xml:space="preserve"> PAGEREF _Toc23337471 \h </w:instrText>
        </w:r>
        <w:r w:rsidR="005C307E">
          <w:rPr>
            <w:webHidden/>
          </w:rPr>
        </w:r>
        <w:r w:rsidR="005C307E">
          <w:rPr>
            <w:webHidden/>
          </w:rPr>
          <w:fldChar w:fldCharType="separate"/>
        </w:r>
        <w:r w:rsidR="005E4D4F">
          <w:rPr>
            <w:webHidden/>
          </w:rPr>
          <w:t>23</w:t>
        </w:r>
        <w:r w:rsidR="005C307E">
          <w:rPr>
            <w:webHidden/>
          </w:rPr>
          <w:fldChar w:fldCharType="end"/>
        </w:r>
      </w:hyperlink>
    </w:p>
    <w:p w:rsidR="005C307E" w:rsidRDefault="00984FBC">
      <w:pPr>
        <w:pStyle w:val="TOC1"/>
        <w:rPr>
          <w:rFonts w:asciiTheme="minorHAnsi" w:hAnsiTheme="minorHAnsi"/>
          <w:b w:val="0"/>
          <w:color w:val="auto"/>
        </w:rPr>
      </w:pPr>
      <w:hyperlink w:anchor="_Toc23337472" w:history="1">
        <w:r w:rsidR="005C307E" w:rsidRPr="00251F40">
          <w:rPr>
            <w:rStyle w:val="Hyperlink"/>
          </w:rPr>
          <w:t>Част II.  Фискална политика и основни параметри за периода 2020-2022 г.</w:t>
        </w:r>
        <w:r w:rsidR="005C307E">
          <w:rPr>
            <w:webHidden/>
          </w:rPr>
          <w:tab/>
        </w:r>
        <w:r w:rsidR="005C307E">
          <w:rPr>
            <w:webHidden/>
          </w:rPr>
          <w:fldChar w:fldCharType="begin"/>
        </w:r>
        <w:r w:rsidR="005C307E">
          <w:rPr>
            <w:webHidden/>
          </w:rPr>
          <w:instrText xml:space="preserve"> PAGEREF _Toc23337472 \h </w:instrText>
        </w:r>
        <w:r w:rsidR="005C307E">
          <w:rPr>
            <w:webHidden/>
          </w:rPr>
        </w:r>
        <w:r w:rsidR="005C307E">
          <w:rPr>
            <w:webHidden/>
          </w:rPr>
          <w:fldChar w:fldCharType="separate"/>
        </w:r>
        <w:r w:rsidR="005E4D4F">
          <w:rPr>
            <w:webHidden/>
          </w:rPr>
          <w:t>25</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73" w:history="1">
        <w:r w:rsidR="005C307E" w:rsidRPr="00251F40">
          <w:rPr>
            <w:rStyle w:val="Hyperlink"/>
          </w:rPr>
          <w:t>1.</w:t>
        </w:r>
        <w:r w:rsidR="005C307E">
          <w:rPr>
            <w:rFonts w:asciiTheme="minorHAnsi" w:hAnsiTheme="minorHAnsi"/>
            <w:bCs w:val="0"/>
            <w:caps w:val="0"/>
            <w:sz w:val="22"/>
            <w:lang w:val="bg-BG"/>
          </w:rPr>
          <w:tab/>
        </w:r>
        <w:r w:rsidR="005C307E" w:rsidRPr="00251F40">
          <w:rPr>
            <w:rStyle w:val="Hyperlink"/>
          </w:rPr>
          <w:t>СРЕДНОСРОЧНИ ЦЕЛИ НА ФИСКАЛНАТА ПОЛИТИКА</w:t>
        </w:r>
        <w:r w:rsidR="005C307E">
          <w:rPr>
            <w:webHidden/>
          </w:rPr>
          <w:tab/>
        </w:r>
        <w:r w:rsidR="005C307E">
          <w:rPr>
            <w:webHidden/>
          </w:rPr>
          <w:fldChar w:fldCharType="begin"/>
        </w:r>
        <w:r w:rsidR="005C307E">
          <w:rPr>
            <w:webHidden/>
          </w:rPr>
          <w:instrText xml:space="preserve"> PAGEREF _Toc23337473 \h </w:instrText>
        </w:r>
        <w:r w:rsidR="005C307E">
          <w:rPr>
            <w:webHidden/>
          </w:rPr>
        </w:r>
        <w:r w:rsidR="005C307E">
          <w:rPr>
            <w:webHidden/>
          </w:rPr>
          <w:fldChar w:fldCharType="separate"/>
        </w:r>
        <w:r w:rsidR="005E4D4F">
          <w:rPr>
            <w:webHidden/>
          </w:rPr>
          <w:t>25</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74" w:history="1">
        <w:r w:rsidR="005C307E" w:rsidRPr="00251F40">
          <w:rPr>
            <w:rStyle w:val="Hyperlink"/>
          </w:rPr>
          <w:t>2.</w:t>
        </w:r>
        <w:r w:rsidR="005C307E">
          <w:rPr>
            <w:rFonts w:asciiTheme="minorHAnsi" w:hAnsiTheme="minorHAnsi"/>
            <w:bCs w:val="0"/>
            <w:caps w:val="0"/>
            <w:sz w:val="22"/>
            <w:lang w:val="bg-BG"/>
          </w:rPr>
          <w:tab/>
        </w:r>
        <w:r w:rsidR="005C307E" w:rsidRPr="00251F40">
          <w:rPr>
            <w:rStyle w:val="Hyperlink"/>
          </w:rPr>
          <w:t>ОСНОВНИ ФИСКАЛНИ ПАРАМЕТРИ ЗА ПЕРИОДА 2020-2022 г.</w:t>
        </w:r>
        <w:r w:rsidR="005C307E">
          <w:rPr>
            <w:webHidden/>
          </w:rPr>
          <w:tab/>
        </w:r>
        <w:r w:rsidR="005C307E">
          <w:rPr>
            <w:webHidden/>
          </w:rPr>
          <w:fldChar w:fldCharType="begin"/>
        </w:r>
        <w:r w:rsidR="005C307E">
          <w:rPr>
            <w:webHidden/>
          </w:rPr>
          <w:instrText xml:space="preserve"> PAGEREF _Toc23337474 \h </w:instrText>
        </w:r>
        <w:r w:rsidR="005C307E">
          <w:rPr>
            <w:webHidden/>
          </w:rPr>
        </w:r>
        <w:r w:rsidR="005C307E">
          <w:rPr>
            <w:webHidden/>
          </w:rPr>
          <w:fldChar w:fldCharType="separate"/>
        </w:r>
        <w:r w:rsidR="005E4D4F">
          <w:rPr>
            <w:webHidden/>
          </w:rPr>
          <w:t>30</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75" w:history="1">
        <w:r w:rsidR="005C307E" w:rsidRPr="00251F40">
          <w:rPr>
            <w:rStyle w:val="Hyperlink"/>
          </w:rPr>
          <w:t>3.</w:t>
        </w:r>
        <w:r w:rsidR="005C307E">
          <w:rPr>
            <w:rFonts w:asciiTheme="minorHAnsi" w:hAnsiTheme="minorHAnsi"/>
            <w:bCs w:val="0"/>
            <w:caps w:val="0"/>
            <w:sz w:val="22"/>
            <w:lang w:val="bg-BG"/>
          </w:rPr>
          <w:tab/>
        </w:r>
        <w:r w:rsidR="005C307E" w:rsidRPr="00251F40">
          <w:rPr>
            <w:rStyle w:val="Hyperlink"/>
          </w:rPr>
          <w:t>прогноза За сектор „Държавно управление“ за периода 2020-2022 г.</w:t>
        </w:r>
        <w:r w:rsidR="005C307E">
          <w:rPr>
            <w:webHidden/>
          </w:rPr>
          <w:tab/>
        </w:r>
        <w:r w:rsidR="005C307E">
          <w:rPr>
            <w:webHidden/>
          </w:rPr>
          <w:fldChar w:fldCharType="begin"/>
        </w:r>
        <w:r w:rsidR="005C307E">
          <w:rPr>
            <w:webHidden/>
          </w:rPr>
          <w:instrText xml:space="preserve"> PAGEREF _Toc23337475 \h </w:instrText>
        </w:r>
        <w:r w:rsidR="005C307E">
          <w:rPr>
            <w:webHidden/>
          </w:rPr>
        </w:r>
        <w:r w:rsidR="005C307E">
          <w:rPr>
            <w:webHidden/>
          </w:rPr>
          <w:fldChar w:fldCharType="separate"/>
        </w:r>
        <w:r w:rsidR="005E4D4F">
          <w:rPr>
            <w:webHidden/>
          </w:rPr>
          <w:t>32</w:t>
        </w:r>
        <w:r w:rsidR="005C307E">
          <w:rPr>
            <w:webHidden/>
          </w:rPr>
          <w:fldChar w:fldCharType="end"/>
        </w:r>
      </w:hyperlink>
    </w:p>
    <w:p w:rsidR="005C307E" w:rsidRDefault="00984FBC">
      <w:pPr>
        <w:pStyle w:val="TOC1"/>
        <w:rPr>
          <w:rFonts w:asciiTheme="minorHAnsi" w:hAnsiTheme="minorHAnsi"/>
          <w:b w:val="0"/>
          <w:color w:val="auto"/>
        </w:rPr>
      </w:pPr>
      <w:hyperlink w:anchor="_Toc23337476" w:history="1">
        <w:r w:rsidR="005C307E" w:rsidRPr="00251F40">
          <w:rPr>
            <w:rStyle w:val="Hyperlink"/>
          </w:rPr>
          <w:t>Част III.  Приоритети на политиките и основни допускания за периода 2020-20</w:t>
        </w:r>
        <w:r w:rsidR="005C307E" w:rsidRPr="00251F40">
          <w:rPr>
            <w:rStyle w:val="Hyperlink"/>
            <w:lang w:val="ru-RU"/>
          </w:rPr>
          <w:t>22</w:t>
        </w:r>
        <w:r w:rsidR="005C307E" w:rsidRPr="00251F40">
          <w:rPr>
            <w:rStyle w:val="Hyperlink"/>
          </w:rPr>
          <w:t> г.</w:t>
        </w:r>
        <w:r w:rsidR="005C307E">
          <w:rPr>
            <w:webHidden/>
          </w:rPr>
          <w:tab/>
        </w:r>
        <w:r w:rsidR="005C307E">
          <w:rPr>
            <w:webHidden/>
          </w:rPr>
          <w:fldChar w:fldCharType="begin"/>
        </w:r>
        <w:r w:rsidR="005C307E">
          <w:rPr>
            <w:webHidden/>
          </w:rPr>
          <w:instrText xml:space="preserve"> PAGEREF _Toc23337476 \h </w:instrText>
        </w:r>
        <w:r w:rsidR="005C307E">
          <w:rPr>
            <w:webHidden/>
          </w:rPr>
        </w:r>
        <w:r w:rsidR="005C307E">
          <w:rPr>
            <w:webHidden/>
          </w:rPr>
          <w:fldChar w:fldCharType="separate"/>
        </w:r>
        <w:r w:rsidR="005E4D4F">
          <w:rPr>
            <w:webHidden/>
          </w:rPr>
          <w:t>49</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77" w:history="1">
        <w:r w:rsidR="005C307E" w:rsidRPr="00251F40">
          <w:rPr>
            <w:rStyle w:val="Hyperlink"/>
          </w:rPr>
          <w:t>1.</w:t>
        </w:r>
        <w:r w:rsidR="005C307E">
          <w:rPr>
            <w:rFonts w:asciiTheme="minorHAnsi" w:hAnsiTheme="minorHAnsi"/>
            <w:bCs w:val="0"/>
            <w:caps w:val="0"/>
            <w:sz w:val="22"/>
            <w:lang w:val="bg-BG"/>
          </w:rPr>
          <w:tab/>
        </w:r>
        <w:r w:rsidR="005C307E" w:rsidRPr="00251F40">
          <w:rPr>
            <w:rStyle w:val="Hyperlink"/>
          </w:rPr>
          <w:t>ПОЛИТИКИ В ПРИХОДИТЕ ЗА ПЕРИОДА 2020-20</w:t>
        </w:r>
        <w:r w:rsidR="005C307E" w:rsidRPr="00251F40">
          <w:rPr>
            <w:rStyle w:val="Hyperlink"/>
            <w:lang w:val="ru-RU"/>
          </w:rPr>
          <w:t>22</w:t>
        </w:r>
        <w:r w:rsidR="005C307E" w:rsidRPr="00251F40">
          <w:rPr>
            <w:rStyle w:val="Hyperlink"/>
          </w:rPr>
          <w:t> г.</w:t>
        </w:r>
        <w:r w:rsidR="005C307E">
          <w:rPr>
            <w:webHidden/>
          </w:rPr>
          <w:tab/>
        </w:r>
        <w:r w:rsidR="005C307E">
          <w:rPr>
            <w:webHidden/>
          </w:rPr>
          <w:fldChar w:fldCharType="begin"/>
        </w:r>
        <w:r w:rsidR="005C307E">
          <w:rPr>
            <w:webHidden/>
          </w:rPr>
          <w:instrText xml:space="preserve"> PAGEREF _Toc23337477 \h </w:instrText>
        </w:r>
        <w:r w:rsidR="005C307E">
          <w:rPr>
            <w:webHidden/>
          </w:rPr>
        </w:r>
        <w:r w:rsidR="005C307E">
          <w:rPr>
            <w:webHidden/>
          </w:rPr>
          <w:fldChar w:fldCharType="separate"/>
        </w:r>
        <w:r w:rsidR="005E4D4F">
          <w:rPr>
            <w:webHidden/>
          </w:rPr>
          <w:t>49</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78" w:history="1">
        <w:r w:rsidR="005C307E" w:rsidRPr="00251F40">
          <w:rPr>
            <w:rStyle w:val="Hyperlink"/>
          </w:rPr>
          <w:t>2.</w:t>
        </w:r>
        <w:r w:rsidR="005C307E">
          <w:rPr>
            <w:rFonts w:asciiTheme="minorHAnsi" w:hAnsiTheme="minorHAnsi"/>
            <w:bCs w:val="0"/>
            <w:caps w:val="0"/>
            <w:sz w:val="22"/>
            <w:lang w:val="bg-BG"/>
          </w:rPr>
          <w:tab/>
        </w:r>
        <w:r w:rsidR="005C307E" w:rsidRPr="00251F40">
          <w:rPr>
            <w:rStyle w:val="Hyperlink"/>
          </w:rPr>
          <w:t>РАЗХОДНИ ПОЛИТИКИ ЗА ПЕРИОДА 2020-2022 г.</w:t>
        </w:r>
        <w:r w:rsidR="005C307E">
          <w:rPr>
            <w:webHidden/>
          </w:rPr>
          <w:tab/>
        </w:r>
        <w:r w:rsidR="005C307E">
          <w:rPr>
            <w:webHidden/>
          </w:rPr>
          <w:fldChar w:fldCharType="begin"/>
        </w:r>
        <w:r w:rsidR="005C307E">
          <w:rPr>
            <w:webHidden/>
          </w:rPr>
          <w:instrText xml:space="preserve"> PAGEREF _Toc23337478 \h </w:instrText>
        </w:r>
        <w:r w:rsidR="005C307E">
          <w:rPr>
            <w:webHidden/>
          </w:rPr>
        </w:r>
        <w:r w:rsidR="005C307E">
          <w:rPr>
            <w:webHidden/>
          </w:rPr>
          <w:fldChar w:fldCharType="separate"/>
        </w:r>
        <w:r w:rsidR="005E4D4F">
          <w:rPr>
            <w:webHidden/>
          </w:rPr>
          <w:t>63</w:t>
        </w:r>
        <w:r w:rsidR="005C307E">
          <w:rPr>
            <w:webHidden/>
          </w:rPr>
          <w:fldChar w:fldCharType="end"/>
        </w:r>
      </w:hyperlink>
    </w:p>
    <w:p w:rsidR="005C307E" w:rsidRDefault="00984FBC">
      <w:pPr>
        <w:pStyle w:val="TOC1"/>
        <w:rPr>
          <w:rFonts w:asciiTheme="minorHAnsi" w:hAnsiTheme="minorHAnsi"/>
          <w:b w:val="0"/>
          <w:color w:val="auto"/>
        </w:rPr>
      </w:pPr>
      <w:hyperlink w:anchor="_Toc23337479" w:history="1">
        <w:r w:rsidR="005C307E" w:rsidRPr="00251F40">
          <w:rPr>
            <w:rStyle w:val="Hyperlink"/>
          </w:rPr>
          <w:t>Част IV.  Фискална децентрализация и бюджетни взаимоотношения с общините за периода 2020-2022 г.</w:t>
        </w:r>
        <w:r w:rsidR="005C307E">
          <w:rPr>
            <w:webHidden/>
          </w:rPr>
          <w:tab/>
        </w:r>
        <w:r w:rsidR="005C307E">
          <w:rPr>
            <w:webHidden/>
          </w:rPr>
          <w:fldChar w:fldCharType="begin"/>
        </w:r>
        <w:r w:rsidR="005C307E">
          <w:rPr>
            <w:webHidden/>
          </w:rPr>
          <w:instrText xml:space="preserve"> PAGEREF _Toc23337479 \h </w:instrText>
        </w:r>
        <w:r w:rsidR="005C307E">
          <w:rPr>
            <w:webHidden/>
          </w:rPr>
        </w:r>
        <w:r w:rsidR="005C307E">
          <w:rPr>
            <w:webHidden/>
          </w:rPr>
          <w:fldChar w:fldCharType="separate"/>
        </w:r>
        <w:r w:rsidR="005E4D4F">
          <w:rPr>
            <w:webHidden/>
          </w:rPr>
          <w:t>149</w:t>
        </w:r>
        <w:r w:rsidR="005C307E">
          <w:rPr>
            <w:webHidden/>
          </w:rPr>
          <w:fldChar w:fldCharType="end"/>
        </w:r>
      </w:hyperlink>
    </w:p>
    <w:p w:rsidR="005C307E" w:rsidRDefault="00984FBC">
      <w:pPr>
        <w:pStyle w:val="TOC1"/>
        <w:rPr>
          <w:rFonts w:asciiTheme="minorHAnsi" w:hAnsiTheme="minorHAnsi"/>
          <w:b w:val="0"/>
          <w:color w:val="auto"/>
        </w:rPr>
      </w:pPr>
      <w:hyperlink w:anchor="_Toc23337480" w:history="1">
        <w:r w:rsidR="005C307E" w:rsidRPr="00251F40">
          <w:rPr>
            <w:rStyle w:val="Hyperlink"/>
          </w:rPr>
          <w:t>Част V.  Управление на средствата от европейските фондове и програми за периода 2020-2022 г.</w:t>
        </w:r>
        <w:r w:rsidR="005C307E">
          <w:rPr>
            <w:webHidden/>
          </w:rPr>
          <w:tab/>
        </w:r>
        <w:r w:rsidR="005C307E">
          <w:rPr>
            <w:webHidden/>
          </w:rPr>
          <w:fldChar w:fldCharType="begin"/>
        </w:r>
        <w:r w:rsidR="005C307E">
          <w:rPr>
            <w:webHidden/>
          </w:rPr>
          <w:instrText xml:space="preserve"> PAGEREF _Toc23337480 \h </w:instrText>
        </w:r>
        <w:r w:rsidR="005C307E">
          <w:rPr>
            <w:webHidden/>
          </w:rPr>
        </w:r>
        <w:r w:rsidR="005C307E">
          <w:rPr>
            <w:webHidden/>
          </w:rPr>
          <w:fldChar w:fldCharType="separate"/>
        </w:r>
        <w:r w:rsidR="005E4D4F">
          <w:rPr>
            <w:webHidden/>
          </w:rPr>
          <w:t>153</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81" w:history="1">
        <w:r w:rsidR="005C307E" w:rsidRPr="00251F40">
          <w:rPr>
            <w:rStyle w:val="Hyperlink"/>
            <w:lang w:eastAsia="en-GB"/>
          </w:rPr>
          <w:t>1.</w:t>
        </w:r>
        <w:r w:rsidR="005C307E">
          <w:rPr>
            <w:rFonts w:asciiTheme="minorHAnsi" w:hAnsiTheme="minorHAnsi"/>
            <w:bCs w:val="0"/>
            <w:caps w:val="0"/>
            <w:sz w:val="22"/>
            <w:lang w:val="bg-BG"/>
          </w:rPr>
          <w:tab/>
        </w:r>
        <w:r w:rsidR="005C307E" w:rsidRPr="00251F40">
          <w:rPr>
            <w:rStyle w:val="Hyperlink"/>
            <w:lang w:eastAsia="en-GB"/>
          </w:rPr>
          <w:t>НАЦИОНАЛЕН ФОНД</w:t>
        </w:r>
        <w:r w:rsidR="005C307E">
          <w:rPr>
            <w:webHidden/>
          </w:rPr>
          <w:tab/>
        </w:r>
        <w:r w:rsidR="005C307E">
          <w:rPr>
            <w:webHidden/>
          </w:rPr>
          <w:fldChar w:fldCharType="begin"/>
        </w:r>
        <w:r w:rsidR="005C307E">
          <w:rPr>
            <w:webHidden/>
          </w:rPr>
          <w:instrText xml:space="preserve"> PAGEREF _Toc23337481 \h </w:instrText>
        </w:r>
        <w:r w:rsidR="005C307E">
          <w:rPr>
            <w:webHidden/>
          </w:rPr>
        </w:r>
        <w:r w:rsidR="005C307E">
          <w:rPr>
            <w:webHidden/>
          </w:rPr>
          <w:fldChar w:fldCharType="separate"/>
        </w:r>
        <w:r w:rsidR="005E4D4F">
          <w:rPr>
            <w:webHidden/>
          </w:rPr>
          <w:t>153</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82" w:history="1">
        <w:r w:rsidR="005C307E" w:rsidRPr="00251F40">
          <w:rPr>
            <w:rStyle w:val="Hyperlink"/>
          </w:rPr>
          <w:t>2.</w:t>
        </w:r>
        <w:r w:rsidR="005C307E">
          <w:rPr>
            <w:rFonts w:asciiTheme="minorHAnsi" w:hAnsiTheme="minorHAnsi"/>
            <w:bCs w:val="0"/>
            <w:caps w:val="0"/>
            <w:sz w:val="22"/>
            <w:lang w:val="bg-BG"/>
          </w:rPr>
          <w:tab/>
        </w:r>
        <w:r w:rsidR="005C307E" w:rsidRPr="00251F40">
          <w:rPr>
            <w:rStyle w:val="Hyperlink"/>
          </w:rPr>
          <w:t>Държавен Фонд „ЗЕМЕДЕЛИЕ“</w:t>
        </w:r>
        <w:r w:rsidR="005C307E">
          <w:rPr>
            <w:webHidden/>
          </w:rPr>
          <w:tab/>
        </w:r>
        <w:r w:rsidR="005C307E">
          <w:rPr>
            <w:webHidden/>
          </w:rPr>
          <w:fldChar w:fldCharType="begin"/>
        </w:r>
        <w:r w:rsidR="005C307E">
          <w:rPr>
            <w:webHidden/>
          </w:rPr>
          <w:instrText xml:space="preserve"> PAGEREF _Toc23337482 \h </w:instrText>
        </w:r>
        <w:r w:rsidR="005C307E">
          <w:rPr>
            <w:webHidden/>
          </w:rPr>
        </w:r>
        <w:r w:rsidR="005C307E">
          <w:rPr>
            <w:webHidden/>
          </w:rPr>
          <w:fldChar w:fldCharType="separate"/>
        </w:r>
        <w:r w:rsidR="005E4D4F">
          <w:rPr>
            <w:webHidden/>
          </w:rPr>
          <w:t>157</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83" w:history="1">
        <w:r w:rsidR="005C307E" w:rsidRPr="00251F40">
          <w:rPr>
            <w:rStyle w:val="Hyperlink"/>
          </w:rPr>
          <w:t>3.</w:t>
        </w:r>
        <w:r w:rsidR="005C307E">
          <w:rPr>
            <w:rFonts w:asciiTheme="minorHAnsi" w:hAnsiTheme="minorHAnsi"/>
            <w:bCs w:val="0"/>
            <w:caps w:val="0"/>
            <w:sz w:val="22"/>
            <w:lang w:val="bg-BG"/>
          </w:rPr>
          <w:tab/>
        </w:r>
        <w:r w:rsidR="005C307E" w:rsidRPr="00251F40">
          <w:rPr>
            <w:rStyle w:val="Hyperlink"/>
          </w:rPr>
          <w:t>Други сметки за средства от ЕС и средства по международни програми и договори, за които се прилага режим на сметките за средства от ЕС</w:t>
        </w:r>
        <w:r w:rsidR="005C307E">
          <w:rPr>
            <w:webHidden/>
          </w:rPr>
          <w:tab/>
        </w:r>
        <w:r w:rsidR="005C307E">
          <w:rPr>
            <w:webHidden/>
          </w:rPr>
          <w:fldChar w:fldCharType="begin"/>
        </w:r>
        <w:r w:rsidR="005C307E">
          <w:rPr>
            <w:webHidden/>
          </w:rPr>
          <w:instrText xml:space="preserve"> PAGEREF _Toc23337483 \h </w:instrText>
        </w:r>
        <w:r w:rsidR="005C307E">
          <w:rPr>
            <w:webHidden/>
          </w:rPr>
        </w:r>
        <w:r w:rsidR="005C307E">
          <w:rPr>
            <w:webHidden/>
          </w:rPr>
          <w:fldChar w:fldCharType="separate"/>
        </w:r>
        <w:r w:rsidR="005E4D4F">
          <w:rPr>
            <w:webHidden/>
          </w:rPr>
          <w:t>161</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84" w:history="1">
        <w:r w:rsidR="005C307E" w:rsidRPr="00251F40">
          <w:rPr>
            <w:rStyle w:val="Hyperlink"/>
          </w:rPr>
          <w:t>4.</w:t>
        </w:r>
        <w:r w:rsidR="005C307E">
          <w:rPr>
            <w:rFonts w:asciiTheme="minorHAnsi" w:hAnsiTheme="minorHAnsi"/>
            <w:bCs w:val="0"/>
            <w:caps w:val="0"/>
            <w:sz w:val="22"/>
            <w:lang w:val="bg-BG"/>
          </w:rPr>
          <w:tab/>
        </w:r>
        <w:r w:rsidR="005C307E" w:rsidRPr="00251F40">
          <w:rPr>
            <w:rStyle w:val="Hyperlink"/>
          </w:rPr>
          <w:t>Вноска в общия бюджет на ЕС за периода 2020-2022 г.</w:t>
        </w:r>
        <w:r w:rsidR="005C307E">
          <w:rPr>
            <w:webHidden/>
          </w:rPr>
          <w:tab/>
        </w:r>
        <w:r w:rsidR="005C307E">
          <w:rPr>
            <w:webHidden/>
          </w:rPr>
          <w:fldChar w:fldCharType="begin"/>
        </w:r>
        <w:r w:rsidR="005C307E">
          <w:rPr>
            <w:webHidden/>
          </w:rPr>
          <w:instrText xml:space="preserve"> PAGEREF _Toc23337484 \h </w:instrText>
        </w:r>
        <w:r w:rsidR="005C307E">
          <w:rPr>
            <w:webHidden/>
          </w:rPr>
        </w:r>
        <w:r w:rsidR="005C307E">
          <w:rPr>
            <w:webHidden/>
          </w:rPr>
          <w:fldChar w:fldCharType="separate"/>
        </w:r>
        <w:r w:rsidR="005E4D4F">
          <w:rPr>
            <w:webHidden/>
          </w:rPr>
          <w:t>163</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85" w:history="1">
        <w:r w:rsidR="005C307E" w:rsidRPr="00251F40">
          <w:rPr>
            <w:rStyle w:val="Hyperlink"/>
          </w:rPr>
          <w:t>5.</w:t>
        </w:r>
        <w:r w:rsidR="005C307E">
          <w:rPr>
            <w:rFonts w:asciiTheme="minorHAnsi" w:hAnsiTheme="minorHAnsi"/>
            <w:bCs w:val="0"/>
            <w:caps w:val="0"/>
            <w:sz w:val="22"/>
            <w:lang w:val="bg-BG"/>
          </w:rPr>
          <w:tab/>
        </w:r>
        <w:r w:rsidR="005C307E" w:rsidRPr="00251F40">
          <w:rPr>
            <w:rStyle w:val="Hyperlink"/>
          </w:rPr>
          <w:t>Оценка на макроикономическите ефекти от усвояването на средствата от европейските фондове и програми на ЕС за периода 2020-2022 г.</w:t>
        </w:r>
        <w:r w:rsidR="005C307E">
          <w:rPr>
            <w:webHidden/>
          </w:rPr>
          <w:tab/>
        </w:r>
        <w:r w:rsidR="005C307E">
          <w:rPr>
            <w:webHidden/>
          </w:rPr>
          <w:fldChar w:fldCharType="begin"/>
        </w:r>
        <w:r w:rsidR="005C307E">
          <w:rPr>
            <w:webHidden/>
          </w:rPr>
          <w:instrText xml:space="preserve"> PAGEREF _Toc23337485 \h </w:instrText>
        </w:r>
        <w:r w:rsidR="005C307E">
          <w:rPr>
            <w:webHidden/>
          </w:rPr>
        </w:r>
        <w:r w:rsidR="005C307E">
          <w:rPr>
            <w:webHidden/>
          </w:rPr>
          <w:fldChar w:fldCharType="separate"/>
        </w:r>
        <w:r w:rsidR="005E4D4F">
          <w:rPr>
            <w:webHidden/>
          </w:rPr>
          <w:t>165</w:t>
        </w:r>
        <w:r w:rsidR="005C307E">
          <w:rPr>
            <w:webHidden/>
          </w:rPr>
          <w:fldChar w:fldCharType="end"/>
        </w:r>
      </w:hyperlink>
    </w:p>
    <w:p w:rsidR="005C307E" w:rsidRDefault="00984FBC">
      <w:pPr>
        <w:pStyle w:val="TOC1"/>
        <w:rPr>
          <w:rFonts w:asciiTheme="minorHAnsi" w:hAnsiTheme="minorHAnsi"/>
          <w:b w:val="0"/>
          <w:color w:val="auto"/>
        </w:rPr>
      </w:pPr>
      <w:hyperlink w:anchor="_Toc23337486" w:history="1">
        <w:r w:rsidR="005C307E" w:rsidRPr="00251F40">
          <w:rPr>
            <w:rStyle w:val="Hyperlink"/>
          </w:rPr>
          <w:t>Част VI.  Политика по дълга и финансирането  за периода 2020-2022 г.</w:t>
        </w:r>
        <w:r w:rsidR="005C307E">
          <w:rPr>
            <w:webHidden/>
          </w:rPr>
          <w:tab/>
        </w:r>
        <w:r w:rsidR="005C307E">
          <w:rPr>
            <w:webHidden/>
          </w:rPr>
          <w:fldChar w:fldCharType="begin"/>
        </w:r>
        <w:r w:rsidR="005C307E">
          <w:rPr>
            <w:webHidden/>
          </w:rPr>
          <w:instrText xml:space="preserve"> PAGEREF _Toc23337486 \h </w:instrText>
        </w:r>
        <w:r w:rsidR="005C307E">
          <w:rPr>
            <w:webHidden/>
          </w:rPr>
        </w:r>
        <w:r w:rsidR="005C307E">
          <w:rPr>
            <w:webHidden/>
          </w:rPr>
          <w:fldChar w:fldCharType="separate"/>
        </w:r>
        <w:r w:rsidR="005E4D4F">
          <w:rPr>
            <w:webHidden/>
          </w:rPr>
          <w:t>167</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87" w:history="1">
        <w:r w:rsidR="005C307E" w:rsidRPr="00251F40">
          <w:rPr>
            <w:rStyle w:val="Hyperlink"/>
          </w:rPr>
          <w:t>1.</w:t>
        </w:r>
        <w:r w:rsidR="005C307E">
          <w:rPr>
            <w:rFonts w:asciiTheme="minorHAnsi" w:hAnsiTheme="minorHAnsi"/>
            <w:bCs w:val="0"/>
            <w:caps w:val="0"/>
            <w:sz w:val="22"/>
            <w:lang w:val="bg-BG"/>
          </w:rPr>
          <w:tab/>
        </w:r>
        <w:r w:rsidR="005C307E" w:rsidRPr="00251F40">
          <w:rPr>
            <w:rStyle w:val="Hyperlink"/>
          </w:rPr>
          <w:t>ДЪРЖАВЕН ДЪЛГ. ОБСЛУЖВАНЕ И ФИНАНСИРАНЕ</w:t>
        </w:r>
        <w:r w:rsidR="005C307E">
          <w:rPr>
            <w:webHidden/>
          </w:rPr>
          <w:tab/>
        </w:r>
        <w:r w:rsidR="005C307E">
          <w:rPr>
            <w:webHidden/>
          </w:rPr>
          <w:fldChar w:fldCharType="begin"/>
        </w:r>
        <w:r w:rsidR="005C307E">
          <w:rPr>
            <w:webHidden/>
          </w:rPr>
          <w:instrText xml:space="preserve"> PAGEREF _Toc23337487 \h </w:instrText>
        </w:r>
        <w:r w:rsidR="005C307E">
          <w:rPr>
            <w:webHidden/>
          </w:rPr>
        </w:r>
        <w:r w:rsidR="005C307E">
          <w:rPr>
            <w:webHidden/>
          </w:rPr>
          <w:fldChar w:fldCharType="separate"/>
        </w:r>
        <w:r w:rsidR="005E4D4F">
          <w:rPr>
            <w:webHidden/>
          </w:rPr>
          <w:t>168</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88" w:history="1">
        <w:r w:rsidR="005C307E" w:rsidRPr="00251F40">
          <w:rPr>
            <w:rStyle w:val="Hyperlink"/>
          </w:rPr>
          <w:t>2.</w:t>
        </w:r>
        <w:r w:rsidR="005C307E">
          <w:rPr>
            <w:rFonts w:asciiTheme="minorHAnsi" w:hAnsiTheme="minorHAnsi"/>
            <w:bCs w:val="0"/>
            <w:caps w:val="0"/>
            <w:sz w:val="22"/>
            <w:lang w:val="bg-BG"/>
          </w:rPr>
          <w:tab/>
        </w:r>
        <w:r w:rsidR="005C307E" w:rsidRPr="00251F40">
          <w:rPr>
            <w:rStyle w:val="Hyperlink"/>
          </w:rPr>
          <w:t>ДЪРЖАВНОГАРАНТИРАН ДЪЛГ</w:t>
        </w:r>
        <w:r w:rsidR="005C307E">
          <w:rPr>
            <w:webHidden/>
          </w:rPr>
          <w:tab/>
        </w:r>
        <w:r w:rsidR="005C307E">
          <w:rPr>
            <w:webHidden/>
          </w:rPr>
          <w:fldChar w:fldCharType="begin"/>
        </w:r>
        <w:r w:rsidR="005C307E">
          <w:rPr>
            <w:webHidden/>
          </w:rPr>
          <w:instrText xml:space="preserve"> PAGEREF _Toc23337488 \h </w:instrText>
        </w:r>
        <w:r w:rsidR="005C307E">
          <w:rPr>
            <w:webHidden/>
          </w:rPr>
        </w:r>
        <w:r w:rsidR="005C307E">
          <w:rPr>
            <w:webHidden/>
          </w:rPr>
          <w:fldChar w:fldCharType="separate"/>
        </w:r>
        <w:r w:rsidR="005E4D4F">
          <w:rPr>
            <w:webHidden/>
          </w:rPr>
          <w:t>169</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89" w:history="1">
        <w:r w:rsidR="005C307E" w:rsidRPr="00251F40">
          <w:rPr>
            <w:rStyle w:val="Hyperlink"/>
          </w:rPr>
          <w:t>3.</w:t>
        </w:r>
        <w:r w:rsidR="005C307E">
          <w:rPr>
            <w:rFonts w:asciiTheme="minorHAnsi" w:hAnsiTheme="minorHAnsi"/>
            <w:bCs w:val="0"/>
            <w:caps w:val="0"/>
            <w:sz w:val="22"/>
            <w:lang w:val="bg-BG"/>
          </w:rPr>
          <w:tab/>
        </w:r>
        <w:r w:rsidR="005C307E" w:rsidRPr="00251F40">
          <w:rPr>
            <w:rStyle w:val="Hyperlink"/>
          </w:rPr>
          <w:t>ДЪРЖАВЕН ДЪЛГ ЧРЕЗ ФИНАНСОВ ЛИЗИНГ И ДРУГИ ФОРМИ НА ДЪРЖАВЕН ДЪЛГ</w:t>
        </w:r>
        <w:r w:rsidR="005C307E">
          <w:rPr>
            <w:webHidden/>
          </w:rPr>
          <w:tab/>
        </w:r>
        <w:r w:rsidR="005C307E">
          <w:rPr>
            <w:webHidden/>
          </w:rPr>
          <w:fldChar w:fldCharType="begin"/>
        </w:r>
        <w:r w:rsidR="005C307E">
          <w:rPr>
            <w:webHidden/>
          </w:rPr>
          <w:instrText xml:space="preserve"> PAGEREF _Toc23337489 \h </w:instrText>
        </w:r>
        <w:r w:rsidR="005C307E">
          <w:rPr>
            <w:webHidden/>
          </w:rPr>
        </w:r>
        <w:r w:rsidR="005C307E">
          <w:rPr>
            <w:webHidden/>
          </w:rPr>
          <w:fldChar w:fldCharType="separate"/>
        </w:r>
        <w:r w:rsidR="005E4D4F">
          <w:rPr>
            <w:webHidden/>
          </w:rPr>
          <w:t>170</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90" w:history="1">
        <w:r w:rsidR="005C307E" w:rsidRPr="00251F40">
          <w:rPr>
            <w:rStyle w:val="Hyperlink"/>
          </w:rPr>
          <w:t>4.</w:t>
        </w:r>
        <w:r w:rsidR="005C307E">
          <w:rPr>
            <w:rFonts w:asciiTheme="minorHAnsi" w:hAnsiTheme="minorHAnsi"/>
            <w:bCs w:val="0"/>
            <w:caps w:val="0"/>
            <w:sz w:val="22"/>
            <w:lang w:val="bg-BG"/>
          </w:rPr>
          <w:tab/>
        </w:r>
        <w:r w:rsidR="005C307E" w:rsidRPr="00251F40">
          <w:rPr>
            <w:rStyle w:val="Hyperlink"/>
          </w:rPr>
          <w:t>ДРУГИ ОПЕРАЦИИ В ЧАСТТА НА ФИНАНСИРАНЕТО</w:t>
        </w:r>
        <w:r w:rsidR="005C307E">
          <w:rPr>
            <w:webHidden/>
          </w:rPr>
          <w:tab/>
        </w:r>
        <w:r w:rsidR="005C307E">
          <w:rPr>
            <w:webHidden/>
          </w:rPr>
          <w:fldChar w:fldCharType="begin"/>
        </w:r>
        <w:r w:rsidR="005C307E">
          <w:rPr>
            <w:webHidden/>
          </w:rPr>
          <w:instrText xml:space="preserve"> PAGEREF _Toc23337490 \h </w:instrText>
        </w:r>
        <w:r w:rsidR="005C307E">
          <w:rPr>
            <w:webHidden/>
          </w:rPr>
        </w:r>
        <w:r w:rsidR="005C307E">
          <w:rPr>
            <w:webHidden/>
          </w:rPr>
          <w:fldChar w:fldCharType="separate"/>
        </w:r>
        <w:r w:rsidR="005E4D4F">
          <w:rPr>
            <w:webHidden/>
          </w:rPr>
          <w:t>170</w:t>
        </w:r>
        <w:r w:rsidR="005C307E">
          <w:rPr>
            <w:webHidden/>
          </w:rPr>
          <w:fldChar w:fldCharType="end"/>
        </w:r>
      </w:hyperlink>
    </w:p>
    <w:p w:rsidR="005C307E" w:rsidRDefault="00984FBC">
      <w:pPr>
        <w:pStyle w:val="TOC1"/>
        <w:rPr>
          <w:rFonts w:asciiTheme="minorHAnsi" w:hAnsiTheme="minorHAnsi"/>
          <w:b w:val="0"/>
          <w:color w:val="auto"/>
        </w:rPr>
      </w:pPr>
      <w:hyperlink w:anchor="_Toc23337491" w:history="1">
        <w:r w:rsidR="005C307E" w:rsidRPr="00251F40">
          <w:rPr>
            <w:rStyle w:val="Hyperlink"/>
          </w:rPr>
          <w:t>Част VII.  Перспективи за развитието на публичните финанси</w:t>
        </w:r>
        <w:r w:rsidR="005C307E">
          <w:rPr>
            <w:webHidden/>
          </w:rPr>
          <w:tab/>
        </w:r>
        <w:r w:rsidR="005C307E">
          <w:rPr>
            <w:webHidden/>
          </w:rPr>
          <w:fldChar w:fldCharType="begin"/>
        </w:r>
        <w:r w:rsidR="005C307E">
          <w:rPr>
            <w:webHidden/>
          </w:rPr>
          <w:instrText xml:space="preserve"> PAGEREF _Toc23337491 \h </w:instrText>
        </w:r>
        <w:r w:rsidR="005C307E">
          <w:rPr>
            <w:webHidden/>
          </w:rPr>
        </w:r>
        <w:r w:rsidR="005C307E">
          <w:rPr>
            <w:webHidden/>
          </w:rPr>
          <w:fldChar w:fldCharType="separate"/>
        </w:r>
        <w:r w:rsidR="005E4D4F">
          <w:rPr>
            <w:webHidden/>
          </w:rPr>
          <w:t>173</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92" w:history="1">
        <w:r w:rsidR="005C307E" w:rsidRPr="00251F40">
          <w:rPr>
            <w:rStyle w:val="Hyperlink"/>
          </w:rPr>
          <w:t>1.</w:t>
        </w:r>
        <w:r w:rsidR="005C307E">
          <w:rPr>
            <w:rFonts w:asciiTheme="minorHAnsi" w:hAnsiTheme="minorHAnsi"/>
            <w:bCs w:val="0"/>
            <w:caps w:val="0"/>
            <w:sz w:val="22"/>
            <w:lang w:val="bg-BG"/>
          </w:rPr>
          <w:tab/>
        </w:r>
        <w:r w:rsidR="005C307E" w:rsidRPr="00251F40">
          <w:rPr>
            <w:rStyle w:val="Hyperlink"/>
          </w:rPr>
          <w:t>УСТОЙЧИВОСТ НА ПУБЛИЧНИТЕ ФИНАНСИ</w:t>
        </w:r>
        <w:r w:rsidR="005C307E">
          <w:rPr>
            <w:webHidden/>
          </w:rPr>
          <w:tab/>
        </w:r>
        <w:r w:rsidR="005C307E">
          <w:rPr>
            <w:webHidden/>
          </w:rPr>
          <w:fldChar w:fldCharType="begin"/>
        </w:r>
        <w:r w:rsidR="005C307E">
          <w:rPr>
            <w:webHidden/>
          </w:rPr>
          <w:instrText xml:space="preserve"> PAGEREF _Toc23337492 \h </w:instrText>
        </w:r>
        <w:r w:rsidR="005C307E">
          <w:rPr>
            <w:webHidden/>
          </w:rPr>
        </w:r>
        <w:r w:rsidR="005C307E">
          <w:rPr>
            <w:webHidden/>
          </w:rPr>
          <w:fldChar w:fldCharType="separate"/>
        </w:r>
        <w:r w:rsidR="005E4D4F">
          <w:rPr>
            <w:webHidden/>
          </w:rPr>
          <w:t>173</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93" w:history="1">
        <w:r w:rsidR="005C307E" w:rsidRPr="00251F40">
          <w:rPr>
            <w:rStyle w:val="Hyperlink"/>
          </w:rPr>
          <w:t>2.</w:t>
        </w:r>
        <w:r w:rsidR="005C307E">
          <w:rPr>
            <w:rFonts w:asciiTheme="minorHAnsi" w:hAnsiTheme="minorHAnsi"/>
            <w:bCs w:val="0"/>
            <w:caps w:val="0"/>
            <w:sz w:val="22"/>
            <w:lang w:val="bg-BG"/>
          </w:rPr>
          <w:tab/>
        </w:r>
        <w:r w:rsidR="005C307E" w:rsidRPr="00251F40">
          <w:rPr>
            <w:rStyle w:val="Hyperlink"/>
          </w:rPr>
          <w:t>ФИСКАЛНИ РИСКОВЕ</w:t>
        </w:r>
        <w:r w:rsidR="005C307E">
          <w:rPr>
            <w:webHidden/>
          </w:rPr>
          <w:tab/>
        </w:r>
        <w:r w:rsidR="005C307E">
          <w:rPr>
            <w:webHidden/>
          </w:rPr>
          <w:fldChar w:fldCharType="begin"/>
        </w:r>
        <w:r w:rsidR="005C307E">
          <w:rPr>
            <w:webHidden/>
          </w:rPr>
          <w:instrText xml:space="preserve"> PAGEREF _Toc23337493 \h </w:instrText>
        </w:r>
        <w:r w:rsidR="005C307E">
          <w:rPr>
            <w:webHidden/>
          </w:rPr>
        </w:r>
        <w:r w:rsidR="005C307E">
          <w:rPr>
            <w:webHidden/>
          </w:rPr>
          <w:fldChar w:fldCharType="separate"/>
        </w:r>
        <w:r w:rsidR="005E4D4F">
          <w:rPr>
            <w:webHidden/>
          </w:rPr>
          <w:t>175</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94" w:history="1">
        <w:r w:rsidR="005C307E" w:rsidRPr="00251F40">
          <w:rPr>
            <w:rStyle w:val="Hyperlink"/>
          </w:rPr>
          <w:t>3.</w:t>
        </w:r>
        <w:r w:rsidR="005C307E">
          <w:rPr>
            <w:rFonts w:asciiTheme="minorHAnsi" w:hAnsiTheme="minorHAnsi"/>
            <w:bCs w:val="0"/>
            <w:caps w:val="0"/>
            <w:sz w:val="22"/>
            <w:lang w:val="bg-BG"/>
          </w:rPr>
          <w:tab/>
        </w:r>
        <w:r w:rsidR="005C307E" w:rsidRPr="00251F40">
          <w:rPr>
            <w:rStyle w:val="Hyperlink"/>
          </w:rPr>
          <w:t>Анализ на чувствителността</w:t>
        </w:r>
        <w:r w:rsidR="005C307E">
          <w:rPr>
            <w:webHidden/>
          </w:rPr>
          <w:tab/>
        </w:r>
        <w:r w:rsidR="005C307E">
          <w:rPr>
            <w:webHidden/>
          </w:rPr>
          <w:fldChar w:fldCharType="begin"/>
        </w:r>
        <w:r w:rsidR="005C307E">
          <w:rPr>
            <w:webHidden/>
          </w:rPr>
          <w:instrText xml:space="preserve"> PAGEREF _Toc23337494 \h </w:instrText>
        </w:r>
        <w:r w:rsidR="005C307E">
          <w:rPr>
            <w:webHidden/>
          </w:rPr>
        </w:r>
        <w:r w:rsidR="005C307E">
          <w:rPr>
            <w:webHidden/>
          </w:rPr>
          <w:fldChar w:fldCharType="separate"/>
        </w:r>
        <w:r w:rsidR="005E4D4F">
          <w:rPr>
            <w:webHidden/>
          </w:rPr>
          <w:t>176</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95" w:history="1">
        <w:r w:rsidR="005C307E" w:rsidRPr="00251F40">
          <w:rPr>
            <w:rStyle w:val="Hyperlink"/>
          </w:rPr>
          <w:t>4.</w:t>
        </w:r>
        <w:r w:rsidR="005C307E">
          <w:rPr>
            <w:rFonts w:asciiTheme="minorHAnsi" w:hAnsiTheme="minorHAnsi"/>
            <w:bCs w:val="0"/>
            <w:caps w:val="0"/>
            <w:sz w:val="22"/>
            <w:lang w:val="bg-BG"/>
          </w:rPr>
          <w:tab/>
        </w:r>
        <w:r w:rsidR="005C307E" w:rsidRPr="00251F40">
          <w:rPr>
            <w:rStyle w:val="Hyperlink"/>
          </w:rPr>
          <w:t>ПРОЦЕДУРИ И КАЧЕСТВО НА ПУБЛИЧНИТЕ ФИНАНСИ</w:t>
        </w:r>
        <w:r w:rsidR="005C307E">
          <w:rPr>
            <w:webHidden/>
          </w:rPr>
          <w:tab/>
        </w:r>
        <w:r w:rsidR="005C307E">
          <w:rPr>
            <w:webHidden/>
          </w:rPr>
          <w:fldChar w:fldCharType="begin"/>
        </w:r>
        <w:r w:rsidR="005C307E">
          <w:rPr>
            <w:webHidden/>
          </w:rPr>
          <w:instrText xml:space="preserve"> PAGEREF _Toc23337495 \h </w:instrText>
        </w:r>
        <w:r w:rsidR="005C307E">
          <w:rPr>
            <w:webHidden/>
          </w:rPr>
        </w:r>
        <w:r w:rsidR="005C307E">
          <w:rPr>
            <w:webHidden/>
          </w:rPr>
          <w:fldChar w:fldCharType="separate"/>
        </w:r>
        <w:r w:rsidR="005E4D4F">
          <w:rPr>
            <w:webHidden/>
          </w:rPr>
          <w:t>179</w:t>
        </w:r>
        <w:r w:rsidR="005C307E">
          <w:rPr>
            <w:webHidden/>
          </w:rPr>
          <w:fldChar w:fldCharType="end"/>
        </w:r>
      </w:hyperlink>
    </w:p>
    <w:p w:rsidR="005C307E" w:rsidRDefault="00984FBC">
      <w:pPr>
        <w:pStyle w:val="TOC1"/>
        <w:rPr>
          <w:rFonts w:asciiTheme="minorHAnsi" w:hAnsiTheme="minorHAnsi"/>
          <w:b w:val="0"/>
          <w:color w:val="auto"/>
        </w:rPr>
      </w:pPr>
      <w:hyperlink w:anchor="_Toc23337496" w:history="1">
        <w:r w:rsidR="005C307E" w:rsidRPr="00251F40">
          <w:rPr>
            <w:rStyle w:val="Hyperlink"/>
          </w:rPr>
          <w:t>Част VIII.  Мотиви към предложенията за промяна на други закони в проекта на ЗДБРБ за 2020 г.</w:t>
        </w:r>
        <w:r w:rsidR="005C307E">
          <w:rPr>
            <w:webHidden/>
          </w:rPr>
          <w:tab/>
        </w:r>
        <w:r w:rsidR="005C307E">
          <w:rPr>
            <w:webHidden/>
          </w:rPr>
          <w:fldChar w:fldCharType="begin"/>
        </w:r>
        <w:r w:rsidR="005C307E">
          <w:rPr>
            <w:webHidden/>
          </w:rPr>
          <w:instrText xml:space="preserve"> PAGEREF _Toc23337496 \h </w:instrText>
        </w:r>
        <w:r w:rsidR="005C307E">
          <w:rPr>
            <w:webHidden/>
          </w:rPr>
        </w:r>
        <w:r w:rsidR="005C307E">
          <w:rPr>
            <w:webHidden/>
          </w:rPr>
          <w:fldChar w:fldCharType="separate"/>
        </w:r>
        <w:r w:rsidR="005E4D4F">
          <w:rPr>
            <w:webHidden/>
          </w:rPr>
          <w:t>187</w:t>
        </w:r>
        <w:r w:rsidR="005C307E">
          <w:rPr>
            <w:webHidden/>
          </w:rPr>
          <w:fldChar w:fldCharType="end"/>
        </w:r>
      </w:hyperlink>
    </w:p>
    <w:p w:rsidR="005C307E" w:rsidRDefault="00984FBC">
      <w:pPr>
        <w:pStyle w:val="TOC1"/>
        <w:rPr>
          <w:rFonts w:asciiTheme="minorHAnsi" w:hAnsiTheme="minorHAnsi"/>
          <w:b w:val="0"/>
          <w:color w:val="auto"/>
        </w:rPr>
      </w:pPr>
      <w:hyperlink w:anchor="_Toc23337497" w:history="1">
        <w:r w:rsidR="005C307E" w:rsidRPr="00251F40">
          <w:rPr>
            <w:rStyle w:val="Hyperlink"/>
          </w:rPr>
          <w:t>Част IX.  Приложения</w:t>
        </w:r>
        <w:r w:rsidR="005C307E">
          <w:rPr>
            <w:webHidden/>
          </w:rPr>
          <w:tab/>
        </w:r>
        <w:r w:rsidR="005C307E">
          <w:rPr>
            <w:webHidden/>
          </w:rPr>
          <w:fldChar w:fldCharType="begin"/>
        </w:r>
        <w:r w:rsidR="005C307E">
          <w:rPr>
            <w:webHidden/>
          </w:rPr>
          <w:instrText xml:space="preserve"> PAGEREF _Toc23337497 \h </w:instrText>
        </w:r>
        <w:r w:rsidR="005C307E">
          <w:rPr>
            <w:webHidden/>
          </w:rPr>
        </w:r>
        <w:r w:rsidR="005C307E">
          <w:rPr>
            <w:webHidden/>
          </w:rPr>
          <w:fldChar w:fldCharType="separate"/>
        </w:r>
        <w:r w:rsidR="005E4D4F">
          <w:rPr>
            <w:webHidden/>
          </w:rPr>
          <w:t>195</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98" w:history="1">
        <w:r w:rsidR="005C307E" w:rsidRPr="00251F40">
          <w:rPr>
            <w:rStyle w:val="Hyperlink"/>
          </w:rPr>
          <w:t>ПРИЛОЖЕНИЕ № 1:  ПРЕГЛЕД НА ИЗПЪЛНЕНИЕТО НА КФП ЗА 2018 Г., преглед на текущото ИЗПЪЛНЕНИЕ на кфп за 2019 г. И ОЦЕНКА НА ИЗПЪЛНЕНИЕТО НА КФП ЗА 2019 Г.</w:t>
        </w:r>
        <w:r w:rsidR="005C307E">
          <w:rPr>
            <w:webHidden/>
          </w:rPr>
          <w:tab/>
        </w:r>
        <w:r w:rsidR="005C307E">
          <w:rPr>
            <w:webHidden/>
          </w:rPr>
          <w:fldChar w:fldCharType="begin"/>
        </w:r>
        <w:r w:rsidR="005C307E">
          <w:rPr>
            <w:webHidden/>
          </w:rPr>
          <w:instrText xml:space="preserve"> PAGEREF _Toc23337498 \h </w:instrText>
        </w:r>
        <w:r w:rsidR="005C307E">
          <w:rPr>
            <w:webHidden/>
          </w:rPr>
        </w:r>
        <w:r w:rsidR="005C307E">
          <w:rPr>
            <w:webHidden/>
          </w:rPr>
          <w:fldChar w:fldCharType="separate"/>
        </w:r>
        <w:r w:rsidR="005E4D4F">
          <w:rPr>
            <w:webHidden/>
          </w:rPr>
          <w:t>195</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499" w:history="1">
        <w:r w:rsidR="005C307E" w:rsidRPr="00251F40">
          <w:rPr>
            <w:rStyle w:val="Hyperlink"/>
          </w:rPr>
          <w:t>1.</w:t>
        </w:r>
        <w:r w:rsidR="005C307E">
          <w:rPr>
            <w:rFonts w:asciiTheme="minorHAnsi" w:hAnsiTheme="minorHAnsi"/>
            <w:bCs w:val="0"/>
            <w:caps w:val="0"/>
            <w:sz w:val="22"/>
            <w:lang w:val="bg-BG"/>
          </w:rPr>
          <w:tab/>
        </w:r>
        <w:r w:rsidR="005C307E" w:rsidRPr="00251F40">
          <w:rPr>
            <w:rStyle w:val="Hyperlink"/>
          </w:rPr>
          <w:t>ПРЕГЛЕД НА ИЗПЪЛНЕНИЕТО НА КФП ЗА 2018 г.</w:t>
        </w:r>
        <w:r w:rsidR="005C307E">
          <w:rPr>
            <w:webHidden/>
          </w:rPr>
          <w:tab/>
        </w:r>
        <w:r w:rsidR="005C307E">
          <w:rPr>
            <w:webHidden/>
          </w:rPr>
          <w:fldChar w:fldCharType="begin"/>
        </w:r>
        <w:r w:rsidR="005C307E">
          <w:rPr>
            <w:webHidden/>
          </w:rPr>
          <w:instrText xml:space="preserve"> PAGEREF _Toc23337499 \h </w:instrText>
        </w:r>
        <w:r w:rsidR="005C307E">
          <w:rPr>
            <w:webHidden/>
          </w:rPr>
        </w:r>
        <w:r w:rsidR="005C307E">
          <w:rPr>
            <w:webHidden/>
          </w:rPr>
          <w:fldChar w:fldCharType="separate"/>
        </w:r>
        <w:r w:rsidR="005E4D4F">
          <w:rPr>
            <w:webHidden/>
          </w:rPr>
          <w:t>195</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0" w:history="1">
        <w:r w:rsidR="005C307E" w:rsidRPr="00251F40">
          <w:rPr>
            <w:rStyle w:val="Hyperlink"/>
          </w:rPr>
          <w:t>2.</w:t>
        </w:r>
        <w:r w:rsidR="005C307E">
          <w:rPr>
            <w:rFonts w:asciiTheme="minorHAnsi" w:hAnsiTheme="minorHAnsi"/>
            <w:bCs w:val="0"/>
            <w:caps w:val="0"/>
            <w:sz w:val="22"/>
            <w:lang w:val="bg-BG"/>
          </w:rPr>
          <w:tab/>
        </w:r>
        <w:r w:rsidR="005C307E" w:rsidRPr="00251F40">
          <w:rPr>
            <w:rStyle w:val="Hyperlink"/>
          </w:rPr>
          <w:t>преглед на текущото Изпълнение на КФП за 2019 г.</w:t>
        </w:r>
        <w:r w:rsidR="005C307E">
          <w:rPr>
            <w:webHidden/>
          </w:rPr>
          <w:tab/>
        </w:r>
        <w:r w:rsidR="005C307E">
          <w:rPr>
            <w:webHidden/>
          </w:rPr>
          <w:fldChar w:fldCharType="begin"/>
        </w:r>
        <w:r w:rsidR="005C307E">
          <w:rPr>
            <w:webHidden/>
          </w:rPr>
          <w:instrText xml:space="preserve"> PAGEREF _Toc23337500 \h </w:instrText>
        </w:r>
        <w:r w:rsidR="005C307E">
          <w:rPr>
            <w:webHidden/>
          </w:rPr>
        </w:r>
        <w:r w:rsidR="005C307E">
          <w:rPr>
            <w:webHidden/>
          </w:rPr>
          <w:fldChar w:fldCharType="separate"/>
        </w:r>
        <w:r w:rsidR="005E4D4F">
          <w:rPr>
            <w:webHidden/>
          </w:rPr>
          <w:t>200</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1" w:history="1">
        <w:r w:rsidR="005C307E" w:rsidRPr="00251F40">
          <w:rPr>
            <w:rStyle w:val="Hyperlink"/>
          </w:rPr>
          <w:t>3.</w:t>
        </w:r>
        <w:r w:rsidR="005C307E">
          <w:rPr>
            <w:rFonts w:asciiTheme="minorHAnsi" w:hAnsiTheme="minorHAnsi"/>
            <w:bCs w:val="0"/>
            <w:caps w:val="0"/>
            <w:sz w:val="22"/>
            <w:lang w:val="bg-BG"/>
          </w:rPr>
          <w:tab/>
        </w:r>
        <w:r w:rsidR="005C307E" w:rsidRPr="00251F40">
          <w:rPr>
            <w:rStyle w:val="Hyperlink"/>
          </w:rPr>
          <w:t>Оценка на изпълнението на КФП за 2019 г.</w:t>
        </w:r>
        <w:r w:rsidR="005C307E">
          <w:rPr>
            <w:webHidden/>
          </w:rPr>
          <w:tab/>
        </w:r>
        <w:r w:rsidR="005C307E">
          <w:rPr>
            <w:webHidden/>
          </w:rPr>
          <w:fldChar w:fldCharType="begin"/>
        </w:r>
        <w:r w:rsidR="005C307E">
          <w:rPr>
            <w:webHidden/>
          </w:rPr>
          <w:instrText xml:space="preserve"> PAGEREF _Toc23337501 \h </w:instrText>
        </w:r>
        <w:r w:rsidR="005C307E">
          <w:rPr>
            <w:webHidden/>
          </w:rPr>
        </w:r>
        <w:r w:rsidR="005C307E">
          <w:rPr>
            <w:webHidden/>
          </w:rPr>
          <w:fldChar w:fldCharType="separate"/>
        </w:r>
        <w:r w:rsidR="005E4D4F">
          <w:rPr>
            <w:webHidden/>
          </w:rPr>
          <w:t>204</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2" w:history="1">
        <w:r w:rsidR="005C307E" w:rsidRPr="00251F40">
          <w:rPr>
            <w:rStyle w:val="Hyperlink"/>
          </w:rPr>
          <w:t>Приложение № 2:  Основни допускания по актуализираната средносрочна бюджетна прогноза за периода 2020-2022 г.</w:t>
        </w:r>
        <w:r w:rsidR="005C307E">
          <w:rPr>
            <w:webHidden/>
          </w:rPr>
          <w:tab/>
        </w:r>
        <w:r w:rsidR="005C307E">
          <w:rPr>
            <w:webHidden/>
          </w:rPr>
          <w:fldChar w:fldCharType="begin"/>
        </w:r>
        <w:r w:rsidR="005C307E">
          <w:rPr>
            <w:webHidden/>
          </w:rPr>
          <w:instrText xml:space="preserve"> PAGEREF _Toc23337502 \h </w:instrText>
        </w:r>
        <w:r w:rsidR="005C307E">
          <w:rPr>
            <w:webHidden/>
          </w:rPr>
        </w:r>
        <w:r w:rsidR="005C307E">
          <w:rPr>
            <w:webHidden/>
          </w:rPr>
          <w:fldChar w:fldCharType="separate"/>
        </w:r>
        <w:r w:rsidR="005E4D4F">
          <w:rPr>
            <w:webHidden/>
          </w:rPr>
          <w:t>206</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3" w:history="1">
        <w:r w:rsidR="005C307E" w:rsidRPr="00251F40">
          <w:rPr>
            <w:rStyle w:val="Hyperlink"/>
          </w:rPr>
          <w:t>Приложение № 3:  консолидирана фискална програма за периода 2017-2022 г.</w:t>
        </w:r>
        <w:r w:rsidR="005C307E">
          <w:rPr>
            <w:webHidden/>
          </w:rPr>
          <w:tab/>
        </w:r>
        <w:r w:rsidR="005C307E">
          <w:rPr>
            <w:webHidden/>
          </w:rPr>
          <w:fldChar w:fldCharType="begin"/>
        </w:r>
        <w:r w:rsidR="005C307E">
          <w:rPr>
            <w:webHidden/>
          </w:rPr>
          <w:instrText xml:space="preserve"> PAGEREF _Toc23337503 \h </w:instrText>
        </w:r>
        <w:r w:rsidR="005C307E">
          <w:rPr>
            <w:webHidden/>
          </w:rPr>
        </w:r>
        <w:r w:rsidR="005C307E">
          <w:rPr>
            <w:webHidden/>
          </w:rPr>
          <w:fldChar w:fldCharType="separate"/>
        </w:r>
        <w:r w:rsidR="005E4D4F">
          <w:rPr>
            <w:webHidden/>
          </w:rPr>
          <w:t>213</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4" w:history="1">
        <w:r w:rsidR="005C307E" w:rsidRPr="00251F40">
          <w:rPr>
            <w:rStyle w:val="Hyperlink"/>
          </w:rPr>
          <w:t>Приложение № 4:  Тавани на разходите по бюджетни организации за периода 2020-2022 г.</w:t>
        </w:r>
        <w:r w:rsidR="005C307E">
          <w:rPr>
            <w:webHidden/>
          </w:rPr>
          <w:tab/>
        </w:r>
        <w:r w:rsidR="005C307E">
          <w:rPr>
            <w:webHidden/>
          </w:rPr>
          <w:fldChar w:fldCharType="begin"/>
        </w:r>
        <w:r w:rsidR="005C307E">
          <w:rPr>
            <w:webHidden/>
          </w:rPr>
          <w:instrText xml:space="preserve"> PAGEREF _Toc23337504 \h </w:instrText>
        </w:r>
        <w:r w:rsidR="005C307E">
          <w:rPr>
            <w:webHidden/>
          </w:rPr>
        </w:r>
        <w:r w:rsidR="005C307E">
          <w:rPr>
            <w:webHidden/>
          </w:rPr>
          <w:fldChar w:fldCharType="separate"/>
        </w:r>
        <w:r w:rsidR="005E4D4F">
          <w:rPr>
            <w:webHidden/>
          </w:rPr>
          <w:t>217</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5" w:history="1">
        <w:r w:rsidR="005C307E" w:rsidRPr="00251F40">
          <w:rPr>
            <w:rStyle w:val="Hyperlink"/>
          </w:rPr>
          <w:t>Приложение № 5:  Препоръчителни тавани на разходите по бюджетите на Народното събрание и на съдебната власт за периода 2020-2022 г.</w:t>
        </w:r>
        <w:r w:rsidR="005C307E">
          <w:rPr>
            <w:webHidden/>
          </w:rPr>
          <w:tab/>
        </w:r>
        <w:r w:rsidR="005C307E">
          <w:rPr>
            <w:webHidden/>
          </w:rPr>
          <w:fldChar w:fldCharType="begin"/>
        </w:r>
        <w:r w:rsidR="005C307E">
          <w:rPr>
            <w:webHidden/>
          </w:rPr>
          <w:instrText xml:space="preserve"> PAGEREF _Toc23337505 \h </w:instrText>
        </w:r>
        <w:r w:rsidR="005C307E">
          <w:rPr>
            <w:webHidden/>
          </w:rPr>
        </w:r>
        <w:r w:rsidR="005C307E">
          <w:rPr>
            <w:webHidden/>
          </w:rPr>
          <w:fldChar w:fldCharType="separate"/>
        </w:r>
        <w:r w:rsidR="005E4D4F">
          <w:rPr>
            <w:webHidden/>
          </w:rPr>
          <w:t>219</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6" w:history="1">
        <w:r w:rsidR="005C307E" w:rsidRPr="00251F40">
          <w:rPr>
            <w:rStyle w:val="Hyperlink"/>
          </w:rPr>
          <w:t>Приложение № 6:  Размери на бюджетните взаимоотношения (трансферите) на държавния бюджет с бюджетите на БНТ, БНР, БТА, БАН, държавните висши училища и държавните висши военни училища за периода 2020-2022 г.</w:t>
        </w:r>
        <w:r w:rsidR="005C307E">
          <w:rPr>
            <w:webHidden/>
          </w:rPr>
          <w:tab/>
        </w:r>
        <w:r w:rsidR="005C307E">
          <w:rPr>
            <w:webHidden/>
          </w:rPr>
          <w:fldChar w:fldCharType="begin"/>
        </w:r>
        <w:r w:rsidR="005C307E">
          <w:rPr>
            <w:webHidden/>
          </w:rPr>
          <w:instrText xml:space="preserve"> PAGEREF _Toc23337506 \h </w:instrText>
        </w:r>
        <w:r w:rsidR="005C307E">
          <w:rPr>
            <w:webHidden/>
          </w:rPr>
        </w:r>
        <w:r w:rsidR="005C307E">
          <w:rPr>
            <w:webHidden/>
          </w:rPr>
          <w:fldChar w:fldCharType="separate"/>
        </w:r>
        <w:r w:rsidR="005E4D4F">
          <w:rPr>
            <w:webHidden/>
          </w:rPr>
          <w:t>219</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7" w:history="1">
        <w:r w:rsidR="005C307E" w:rsidRPr="00251F40">
          <w:rPr>
            <w:rStyle w:val="Hyperlink"/>
          </w:rPr>
          <w:t>Приложение № 7:  Тавани на разходите и/или на трансферите (нето) по сметките за средствата от Европейския съюз за периода 2020-2022 г.</w:t>
        </w:r>
        <w:r w:rsidR="005C307E">
          <w:rPr>
            <w:webHidden/>
          </w:rPr>
          <w:tab/>
        </w:r>
        <w:r w:rsidR="005C307E">
          <w:rPr>
            <w:webHidden/>
          </w:rPr>
          <w:fldChar w:fldCharType="begin"/>
        </w:r>
        <w:r w:rsidR="005C307E">
          <w:rPr>
            <w:webHidden/>
          </w:rPr>
          <w:instrText xml:space="preserve"> PAGEREF _Toc23337507 \h </w:instrText>
        </w:r>
        <w:r w:rsidR="005C307E">
          <w:rPr>
            <w:webHidden/>
          </w:rPr>
        </w:r>
        <w:r w:rsidR="005C307E">
          <w:rPr>
            <w:webHidden/>
          </w:rPr>
          <w:fldChar w:fldCharType="separate"/>
        </w:r>
        <w:r w:rsidR="005E4D4F">
          <w:rPr>
            <w:webHidden/>
          </w:rPr>
          <w:t>220</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8" w:history="1">
        <w:r w:rsidR="005C307E" w:rsidRPr="00251F40">
          <w:rPr>
            <w:rStyle w:val="Hyperlink"/>
          </w:rPr>
          <w:t>Приложение № 8:  Тавани на разходите и трансферите (нето) по други икономически обособени лица и структурни единици, включени в КФП за периода 2020-2022 г.</w:t>
        </w:r>
        <w:r w:rsidR="005C307E">
          <w:rPr>
            <w:webHidden/>
          </w:rPr>
          <w:tab/>
        </w:r>
        <w:r w:rsidR="005C307E">
          <w:rPr>
            <w:webHidden/>
          </w:rPr>
          <w:fldChar w:fldCharType="begin"/>
        </w:r>
        <w:r w:rsidR="005C307E">
          <w:rPr>
            <w:webHidden/>
          </w:rPr>
          <w:instrText xml:space="preserve"> PAGEREF _Toc23337508 \h </w:instrText>
        </w:r>
        <w:r w:rsidR="005C307E">
          <w:rPr>
            <w:webHidden/>
          </w:rPr>
        </w:r>
        <w:r w:rsidR="005C307E">
          <w:rPr>
            <w:webHidden/>
          </w:rPr>
          <w:fldChar w:fldCharType="separate"/>
        </w:r>
        <w:r w:rsidR="005E4D4F">
          <w:rPr>
            <w:webHidden/>
          </w:rPr>
          <w:t>221</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09" w:history="1">
        <w:r w:rsidR="005C307E" w:rsidRPr="00251F40">
          <w:rPr>
            <w:rStyle w:val="Hyperlink"/>
          </w:rPr>
          <w:t>Приложение № 9:  Размери на ОСНОВНИТЕ бюджетни взаимоотношения между централния бюджет и бюджетите на общините за периода 2020-2022 г.</w:t>
        </w:r>
        <w:r w:rsidR="005C307E">
          <w:rPr>
            <w:webHidden/>
          </w:rPr>
          <w:tab/>
        </w:r>
        <w:r w:rsidR="005C307E">
          <w:rPr>
            <w:webHidden/>
          </w:rPr>
          <w:fldChar w:fldCharType="begin"/>
        </w:r>
        <w:r w:rsidR="005C307E">
          <w:rPr>
            <w:webHidden/>
          </w:rPr>
          <w:instrText xml:space="preserve"> PAGEREF _Toc23337509 \h </w:instrText>
        </w:r>
        <w:r w:rsidR="005C307E">
          <w:rPr>
            <w:webHidden/>
          </w:rPr>
        </w:r>
        <w:r w:rsidR="005C307E">
          <w:rPr>
            <w:webHidden/>
          </w:rPr>
          <w:fldChar w:fldCharType="separate"/>
        </w:r>
        <w:r w:rsidR="005E4D4F">
          <w:rPr>
            <w:webHidden/>
          </w:rPr>
          <w:t>222</w:t>
        </w:r>
        <w:r w:rsidR="005C307E">
          <w:rPr>
            <w:webHidden/>
          </w:rPr>
          <w:fldChar w:fldCharType="end"/>
        </w:r>
      </w:hyperlink>
    </w:p>
    <w:p w:rsidR="005C307E" w:rsidRDefault="00984FBC">
      <w:pPr>
        <w:pStyle w:val="TOC2"/>
        <w:rPr>
          <w:rFonts w:asciiTheme="minorHAnsi" w:hAnsiTheme="minorHAnsi"/>
          <w:bCs w:val="0"/>
          <w:caps w:val="0"/>
          <w:sz w:val="22"/>
          <w:lang w:val="bg-BG"/>
        </w:rPr>
      </w:pPr>
      <w:hyperlink w:anchor="_Toc23337510" w:history="1">
        <w:r w:rsidR="005C307E" w:rsidRPr="00251F40">
          <w:rPr>
            <w:rStyle w:val="Hyperlink"/>
          </w:rPr>
          <w:t>Приложение № 10:  ДАНЪЧНИ РАЗХОДИ ЗА 2018 И 2020 г.</w:t>
        </w:r>
        <w:r w:rsidR="005C307E">
          <w:rPr>
            <w:webHidden/>
          </w:rPr>
          <w:tab/>
        </w:r>
        <w:r w:rsidR="005C307E">
          <w:rPr>
            <w:webHidden/>
          </w:rPr>
          <w:fldChar w:fldCharType="begin"/>
        </w:r>
        <w:r w:rsidR="005C307E">
          <w:rPr>
            <w:webHidden/>
          </w:rPr>
          <w:instrText xml:space="preserve"> PAGEREF _Toc23337510 \h </w:instrText>
        </w:r>
        <w:r w:rsidR="005C307E">
          <w:rPr>
            <w:webHidden/>
          </w:rPr>
        </w:r>
        <w:r w:rsidR="005C307E">
          <w:rPr>
            <w:webHidden/>
          </w:rPr>
          <w:fldChar w:fldCharType="separate"/>
        </w:r>
        <w:r w:rsidR="005E4D4F">
          <w:rPr>
            <w:webHidden/>
          </w:rPr>
          <w:t>223</w:t>
        </w:r>
        <w:r w:rsidR="005C307E">
          <w:rPr>
            <w:webHidden/>
          </w:rPr>
          <w:fldChar w:fldCharType="end"/>
        </w:r>
      </w:hyperlink>
    </w:p>
    <w:p w:rsidR="00310779" w:rsidRPr="00874FBD" w:rsidRDefault="00E269CB" w:rsidP="004C3CD4">
      <w:pPr>
        <w:spacing w:after="0"/>
        <w:jc w:val="left"/>
        <w:rPr>
          <w:b/>
          <w:bCs/>
          <w:caps/>
          <w:sz w:val="28"/>
          <w:szCs w:val="32"/>
          <w:lang w:val="en-US"/>
        </w:rPr>
      </w:pPr>
      <w:r>
        <w:rPr>
          <w:w w:val="90"/>
          <w:lang w:val="ru-RU" w:eastAsia="zh-CN"/>
        </w:rPr>
        <w:fldChar w:fldCharType="end"/>
      </w:r>
    </w:p>
    <w:p w:rsidR="004C3CD4" w:rsidRDefault="004C3CD4" w:rsidP="00106543">
      <w:pPr>
        <w:rPr>
          <w:rStyle w:val="Hyperlink"/>
          <w:rFonts w:eastAsia="Times New Roman"/>
          <w:szCs w:val="20"/>
          <w:lang w:eastAsia="en-GB"/>
        </w:rPr>
      </w:pPr>
      <w:r>
        <w:rPr>
          <w:rStyle w:val="Hyperlink"/>
          <w:rFonts w:eastAsia="Times New Roman"/>
          <w:szCs w:val="20"/>
          <w:lang w:eastAsia="en-GB"/>
        </w:rPr>
        <w:br w:type="page"/>
      </w:r>
    </w:p>
    <w:p w:rsidR="004C3CD4" w:rsidRPr="00E25A58" w:rsidRDefault="004C3CD4" w:rsidP="00E25A58">
      <w:pPr>
        <w:rPr>
          <w:spacing w:val="12"/>
          <w:sz w:val="32"/>
        </w:rPr>
      </w:pPr>
      <w:bookmarkStart w:id="15" w:name="_Toc464746958"/>
      <w:bookmarkStart w:id="16" w:name="_Toc465070435"/>
      <w:bookmarkStart w:id="17" w:name="_Toc465176563"/>
      <w:bookmarkStart w:id="18" w:name="_Toc465177067"/>
      <w:bookmarkStart w:id="19" w:name="_Toc465177880"/>
      <w:bookmarkStart w:id="20" w:name="_Toc465177988"/>
      <w:bookmarkStart w:id="21" w:name="_Toc465178096"/>
      <w:r w:rsidRPr="00E25A58">
        <w:rPr>
          <w:spacing w:val="12"/>
          <w:sz w:val="32"/>
        </w:rPr>
        <w:t>Списък с включените в текста таблици</w:t>
      </w:r>
      <w:bookmarkEnd w:id="15"/>
      <w:bookmarkEnd w:id="16"/>
      <w:bookmarkEnd w:id="17"/>
      <w:bookmarkEnd w:id="18"/>
      <w:bookmarkEnd w:id="19"/>
      <w:bookmarkEnd w:id="20"/>
      <w:bookmarkEnd w:id="21"/>
      <w:r w:rsidRPr="00E25A58">
        <w:rPr>
          <w:spacing w:val="12"/>
          <w:sz w:val="32"/>
        </w:rPr>
        <w:t xml:space="preserve"> </w:t>
      </w:r>
    </w:p>
    <w:p w:rsidR="004C3CD4" w:rsidRDefault="004C3CD4" w:rsidP="00280B15">
      <w:pPr>
        <w:rPr>
          <w:rStyle w:val="Hyperlink"/>
          <w:rFonts w:eastAsia="Times New Roman"/>
          <w:szCs w:val="20"/>
          <w:lang w:eastAsia="en-GB"/>
        </w:rPr>
      </w:pPr>
    </w:p>
    <w:p w:rsidR="005C307E" w:rsidRPr="005C307E" w:rsidRDefault="004C3CD4" w:rsidP="005C307E">
      <w:pPr>
        <w:pStyle w:val="TableofFigures"/>
        <w:tabs>
          <w:tab w:val="left" w:pos="1276"/>
          <w:tab w:val="right" w:leader="dot" w:pos="9060"/>
        </w:tabs>
        <w:rPr>
          <w:rFonts w:asciiTheme="minorHAnsi" w:eastAsiaTheme="minorEastAsia" w:hAnsiTheme="minorHAnsi"/>
          <w:noProof/>
          <w:sz w:val="20"/>
          <w:szCs w:val="20"/>
          <w:lang w:eastAsia="bg-BG"/>
        </w:rPr>
      </w:pPr>
      <w:r w:rsidRPr="005C307E">
        <w:rPr>
          <w:rStyle w:val="Hyperlink"/>
          <w:sz w:val="20"/>
          <w:szCs w:val="20"/>
          <w:highlight w:val="yellow"/>
        </w:rPr>
        <w:fldChar w:fldCharType="begin"/>
      </w:r>
      <w:r w:rsidRPr="005C307E">
        <w:rPr>
          <w:rStyle w:val="Hyperlink"/>
          <w:sz w:val="20"/>
          <w:szCs w:val="20"/>
          <w:highlight w:val="yellow"/>
        </w:rPr>
        <w:instrText xml:space="preserve"> TOC \h \z \c "Табл." </w:instrText>
      </w:r>
      <w:r w:rsidRPr="005C307E">
        <w:rPr>
          <w:rStyle w:val="Hyperlink"/>
          <w:sz w:val="20"/>
          <w:szCs w:val="20"/>
          <w:highlight w:val="yellow"/>
        </w:rPr>
        <w:fldChar w:fldCharType="separate"/>
      </w:r>
      <w:hyperlink w:anchor="_Toc23337511" w:history="1">
        <w:r w:rsidR="005C307E" w:rsidRPr="005C307E">
          <w:rPr>
            <w:rStyle w:val="Hyperlink"/>
            <w:rFonts w:eastAsiaTheme="majorEastAsia"/>
            <w:noProof/>
            <w:sz w:val="20"/>
            <w:szCs w:val="20"/>
          </w:rPr>
          <w:t>Табл. I</w:t>
        </w:r>
        <w:r w:rsidR="005C307E" w:rsidRPr="005C307E">
          <w:rPr>
            <w:rStyle w:val="Hyperlink"/>
            <w:rFonts w:eastAsiaTheme="majorEastAsia"/>
            <w:noProof/>
            <w:sz w:val="20"/>
            <w:szCs w:val="20"/>
          </w:rPr>
          <w:noBreakHyphen/>
          <w:t>1</w:t>
        </w:r>
        <w:r w:rsidR="005C307E" w:rsidRPr="005C307E">
          <w:rPr>
            <w:rStyle w:val="Hyperlink"/>
            <w:rFonts w:eastAsiaTheme="majorEastAsia"/>
            <w:iCs/>
            <w:noProof/>
            <w:sz w:val="20"/>
            <w:szCs w:val="20"/>
          </w:rPr>
          <w:t>:</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iCs/>
            <w:noProof/>
            <w:sz w:val="20"/>
            <w:szCs w:val="20"/>
          </w:rPr>
          <w:t>Основни допускания за развитието на външната среда</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_Toc23337511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14</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12" w:history="1">
        <w:r w:rsidR="005C307E" w:rsidRPr="005C307E">
          <w:rPr>
            <w:rStyle w:val="Hyperlink"/>
            <w:rFonts w:eastAsiaTheme="majorEastAsia"/>
            <w:noProof/>
            <w:sz w:val="20"/>
            <w:szCs w:val="20"/>
          </w:rPr>
          <w:t>Табл. I</w:t>
        </w:r>
        <w:r w:rsidR="005C307E" w:rsidRPr="005C307E">
          <w:rPr>
            <w:rStyle w:val="Hyperlink"/>
            <w:rFonts w:eastAsiaTheme="majorEastAsia"/>
            <w:noProof/>
            <w:sz w:val="20"/>
            <w:szCs w:val="20"/>
          </w:rPr>
          <w:noBreakHyphen/>
          <w:t>2:</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lang w:eastAsia="zh-CN"/>
          </w:rPr>
          <w:t>Основни макроикономически показатели</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_Toc23337512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18</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13" w:history="1">
        <w:r w:rsidR="005C307E" w:rsidRPr="005C307E">
          <w:rPr>
            <w:rStyle w:val="Hyperlink"/>
            <w:rFonts w:eastAsiaTheme="majorEastAsia"/>
            <w:noProof/>
            <w:sz w:val="20"/>
            <w:szCs w:val="20"/>
          </w:rPr>
          <w:t>Табл. I</w:t>
        </w:r>
        <w:r w:rsidR="005C307E" w:rsidRPr="005C307E">
          <w:rPr>
            <w:rStyle w:val="Hyperlink"/>
            <w:rFonts w:eastAsiaTheme="majorEastAsia"/>
            <w:noProof/>
            <w:sz w:val="20"/>
            <w:szCs w:val="20"/>
          </w:rPr>
          <w:noBreakHyphen/>
          <w:t>3:</w:t>
        </w:r>
        <w:r w:rsidR="005C307E" w:rsidRPr="005C307E">
          <w:rPr>
            <w:rFonts w:asciiTheme="minorHAnsi" w:eastAsiaTheme="minorEastAsia" w:hAnsiTheme="minorHAnsi"/>
            <w:noProof/>
            <w:sz w:val="20"/>
            <w:szCs w:val="20"/>
            <w:lang w:eastAsia="bg-BG"/>
          </w:rPr>
          <w:tab/>
        </w:r>
        <w:r w:rsidR="005C307E" w:rsidRPr="005C307E">
          <w:rPr>
            <w:rStyle w:val="Hyperlink"/>
            <w:rFonts w:eastAsia="Batang"/>
            <w:noProof/>
            <w:sz w:val="20"/>
            <w:szCs w:val="20"/>
          </w:rPr>
          <w:t>Стойности на потенциалния растеж и на отклонението от потенциалния БВП</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_Toc23337513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23</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14" w:history="1">
        <w:r w:rsidR="005C307E" w:rsidRPr="005C307E">
          <w:rPr>
            <w:rStyle w:val="Hyperlink"/>
            <w:rFonts w:eastAsiaTheme="majorEastAsia"/>
            <w:noProof/>
            <w:sz w:val="20"/>
            <w:szCs w:val="20"/>
          </w:rPr>
          <w:t>Табл. I</w:t>
        </w:r>
        <w:r w:rsidR="005C307E" w:rsidRPr="005C307E">
          <w:rPr>
            <w:rStyle w:val="Hyperlink"/>
            <w:rFonts w:eastAsiaTheme="majorEastAsia"/>
            <w:noProof/>
            <w:sz w:val="20"/>
            <w:szCs w:val="20"/>
          </w:rPr>
          <w:noBreakHyphen/>
          <w:t>4: </w:t>
        </w:r>
        <w:r w:rsidR="005C307E">
          <w:rPr>
            <w:rStyle w:val="Hyperlink"/>
            <w:rFonts w:eastAsiaTheme="majorEastAsia"/>
            <w:noProof/>
            <w:sz w:val="20"/>
            <w:szCs w:val="20"/>
          </w:rPr>
          <w:tab/>
        </w:r>
        <w:r w:rsidR="005C307E" w:rsidRPr="005C307E">
          <w:rPr>
            <w:rStyle w:val="Hyperlink"/>
            <w:rFonts w:eastAsiaTheme="majorEastAsia"/>
            <w:noProof/>
            <w:sz w:val="20"/>
            <w:szCs w:val="20"/>
          </w:rPr>
          <w:t>Приноси към потенциалния растеж (пр.п.)</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_Toc23337514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23</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15" w:history="1">
        <w:r w:rsidR="005C307E" w:rsidRPr="005C307E">
          <w:rPr>
            <w:rStyle w:val="Hyperlink"/>
            <w:rFonts w:eastAsiaTheme="majorEastAsia"/>
            <w:noProof/>
            <w:sz w:val="20"/>
            <w:szCs w:val="20"/>
          </w:rPr>
          <w:t>Табл. I</w:t>
        </w:r>
        <w:r w:rsidR="005C307E" w:rsidRPr="005C307E">
          <w:rPr>
            <w:rStyle w:val="Hyperlink"/>
            <w:rFonts w:eastAsiaTheme="majorEastAsia"/>
            <w:noProof/>
            <w:sz w:val="20"/>
            <w:szCs w:val="20"/>
          </w:rPr>
          <w:noBreakHyphen/>
          <w:t>5:</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lang w:eastAsia="zh-CN"/>
          </w:rPr>
          <w:t>Сравнение на макроикономическата прогноза на МФ с прогнозата на ЕК</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_Toc23337515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23</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16"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1:</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Основни показатели (% от БВП)</w:t>
        </w:r>
        <w:r w:rsidR="005C307E" w:rsidRPr="005C307E">
          <w:rPr>
            <w:rStyle w:val="Hyperlink"/>
            <w:rFonts w:eastAsiaTheme="majorEastAsia"/>
            <w:noProof/>
            <w:sz w:val="20"/>
            <w:szCs w:val="20"/>
            <w:vertAlign w:val="superscript"/>
          </w:rPr>
          <w:t xml:space="preserve"> </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_Toc23337516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27</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17"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2:</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Принос на основните приходни категории в консолидацията на бюджетното салдо по КФП за 2020 г. и поддържане на бюджетната позиция до 2022 г.</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_Toc23337517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28</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18"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3:</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Принос на основните разходни категории в консолидацията на бюджетното салдо по КФП за 2020 г. и поддържане на бюджетната позиция до 2022 г.</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_Toc23337518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29</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19"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4:</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Основни показатели по КФП (2019-20</w:t>
        </w:r>
        <w:r w:rsidR="005C307E" w:rsidRPr="005C307E">
          <w:rPr>
            <w:rStyle w:val="Hyperlink"/>
            <w:rFonts w:eastAsiaTheme="majorEastAsia"/>
            <w:noProof/>
            <w:sz w:val="20"/>
            <w:szCs w:val="20"/>
            <w:lang w:val="ru-RU"/>
          </w:rPr>
          <w:t>22</w:t>
        </w:r>
        <w:r w:rsidR="005C307E" w:rsidRPr="005C307E">
          <w:rPr>
            <w:rStyle w:val="Hyperlink"/>
            <w:rFonts w:eastAsiaTheme="majorEastAsia"/>
            <w:noProof/>
            <w:sz w:val="20"/>
            <w:szCs w:val="20"/>
          </w:rPr>
          <w:t> г.)</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_Toc23337519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31</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20"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5:</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 xml:space="preserve">КФП – Национален бюджет </w:t>
        </w:r>
        <w:r w:rsidR="005C307E" w:rsidRPr="005C307E">
          <w:rPr>
            <w:rStyle w:val="Hyperlink"/>
            <w:rFonts w:eastAsiaTheme="majorEastAsia"/>
            <w:noProof/>
            <w:sz w:val="20"/>
            <w:szCs w:val="20"/>
            <w:lang w:val="ru-RU"/>
          </w:rPr>
          <w:t>(</w:t>
        </w:r>
        <w:r w:rsidR="005C307E" w:rsidRPr="005C307E">
          <w:rPr>
            <w:rStyle w:val="Hyperlink"/>
            <w:rFonts w:eastAsiaTheme="majorEastAsia"/>
            <w:noProof/>
            <w:sz w:val="20"/>
            <w:szCs w:val="20"/>
          </w:rPr>
          <w:t>2019-2022 г.</w:t>
        </w:r>
        <w:r w:rsidR="005C307E" w:rsidRPr="005C307E">
          <w:rPr>
            <w:rStyle w:val="Hyperlink"/>
            <w:rFonts w:eastAsiaTheme="majorEastAsia"/>
            <w:noProof/>
            <w:sz w:val="20"/>
            <w:szCs w:val="20"/>
            <w:lang w:val="ru-RU"/>
          </w:rPr>
          <w:t>)</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_Toc23337520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32</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21"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6:</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 xml:space="preserve">КФП – Сметки за средства от ЕС </w:t>
        </w:r>
        <w:r w:rsidR="005C307E" w:rsidRPr="005C307E">
          <w:rPr>
            <w:rStyle w:val="Hyperlink"/>
            <w:rFonts w:eastAsiaTheme="majorEastAsia"/>
            <w:noProof/>
            <w:sz w:val="20"/>
            <w:szCs w:val="20"/>
            <w:lang w:val="ru-RU"/>
          </w:rPr>
          <w:t>(</w:t>
        </w:r>
        <w:r w:rsidR="005C307E" w:rsidRPr="005C307E">
          <w:rPr>
            <w:rStyle w:val="Hyperlink"/>
            <w:rFonts w:eastAsiaTheme="majorEastAsia"/>
            <w:noProof/>
            <w:sz w:val="20"/>
            <w:szCs w:val="20"/>
          </w:rPr>
          <w:t>2019-2022 г.</w:t>
        </w:r>
        <w:r w:rsidR="005C307E" w:rsidRPr="005C307E">
          <w:rPr>
            <w:rStyle w:val="Hyperlink"/>
            <w:rFonts w:eastAsiaTheme="majorEastAsia"/>
            <w:noProof/>
            <w:sz w:val="20"/>
            <w:szCs w:val="20"/>
            <w:lang w:val="ru-RU"/>
          </w:rPr>
          <w:t>)</w:t>
        </w:r>
        <w:r w:rsidR="005C307E" w:rsidRPr="005C307E">
          <w:rPr>
            <w:rStyle w:val="Hyperlink"/>
            <w:rFonts w:eastAsiaTheme="majorEastAsia"/>
            <w:noProof/>
            <w:sz w:val="20"/>
            <w:szCs w:val="20"/>
            <w:vertAlign w:val="superscript"/>
          </w:rPr>
          <w:t xml:space="preserve"> </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_Toc23337521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33</w:t>
        </w:r>
        <w:r w:rsidR="005C307E" w:rsidRPr="005C307E">
          <w:rPr>
            <w:noProof/>
            <w:webHidden/>
            <w:sz w:val="20"/>
            <w:szCs w:val="20"/>
          </w:rPr>
          <w:fldChar w:fldCharType="end"/>
        </w:r>
      </w:hyperlink>
    </w:p>
    <w:p w:rsidR="005C307E" w:rsidRPr="005C307E" w:rsidRDefault="00984FBC" w:rsidP="005C307E">
      <w:pPr>
        <w:pStyle w:val="TableofFigures"/>
        <w:tabs>
          <w:tab w:val="left" w:pos="1276"/>
          <w:tab w:val="left" w:pos="1314"/>
          <w:tab w:val="right" w:leader="dot" w:pos="9060"/>
        </w:tabs>
        <w:rPr>
          <w:rFonts w:asciiTheme="minorHAnsi" w:eastAsiaTheme="minorEastAsia" w:hAnsiTheme="minorHAnsi"/>
          <w:noProof/>
          <w:sz w:val="20"/>
          <w:szCs w:val="20"/>
          <w:lang w:eastAsia="bg-BG"/>
        </w:rPr>
      </w:pPr>
      <w:hyperlink w:anchor="_Toc23337522"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7:</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Изменение на показателите на сектор „Държавно управление“ за периода 2020-2022 г.</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_Toc23337522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34</w:t>
        </w:r>
        <w:r w:rsidR="005C307E" w:rsidRPr="005C307E">
          <w:rPr>
            <w:noProof/>
            <w:webHidden/>
            <w:sz w:val="20"/>
            <w:szCs w:val="20"/>
          </w:rPr>
          <w:fldChar w:fldCharType="end"/>
        </w:r>
      </w:hyperlink>
    </w:p>
    <w:p w:rsidR="005C307E" w:rsidRPr="005C307E" w:rsidRDefault="00984FBC" w:rsidP="005C307E">
      <w:pPr>
        <w:pStyle w:val="TableofFigures"/>
        <w:tabs>
          <w:tab w:val="left" w:pos="1276"/>
          <w:tab w:val="left" w:pos="1318"/>
          <w:tab w:val="right" w:leader="dot" w:pos="9060"/>
        </w:tabs>
        <w:rPr>
          <w:rFonts w:asciiTheme="minorHAnsi" w:eastAsiaTheme="minorEastAsia" w:hAnsiTheme="minorHAnsi"/>
          <w:noProof/>
          <w:sz w:val="20"/>
          <w:szCs w:val="20"/>
          <w:lang w:eastAsia="bg-BG"/>
        </w:rPr>
      </w:pPr>
      <w:hyperlink w:anchor="_Toc23337523"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8:</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 xml:space="preserve"> Бюджетна прогноза на сектор „Държавно управление“ при непроменени политики за периода 2020-20</w:t>
        </w:r>
        <w:r w:rsidR="005C307E" w:rsidRPr="005C307E">
          <w:rPr>
            <w:rStyle w:val="Hyperlink"/>
            <w:rFonts w:eastAsiaTheme="majorEastAsia"/>
            <w:noProof/>
            <w:sz w:val="20"/>
            <w:szCs w:val="20"/>
            <w:lang w:val="ru-RU"/>
          </w:rPr>
          <w:t>22</w:t>
        </w:r>
        <w:r w:rsidR="005C307E" w:rsidRPr="005C307E">
          <w:rPr>
            <w:rStyle w:val="Hyperlink"/>
            <w:rFonts w:eastAsiaTheme="majorEastAsia"/>
            <w:noProof/>
            <w:sz w:val="20"/>
            <w:szCs w:val="20"/>
          </w:rPr>
          <w:t> г.</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_Toc23337523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36</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24"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9:</w:t>
        </w:r>
        <w:r w:rsidR="005C307E" w:rsidRPr="005C307E">
          <w:rPr>
            <w:rStyle w:val="Hyperlink"/>
            <w:rFonts w:eastAsiaTheme="majorEastAsia"/>
            <w:noProof/>
            <w:sz w:val="20"/>
            <w:szCs w:val="20"/>
            <w:lang w:val="ru-RU"/>
          </w:rPr>
          <w:t xml:space="preserve"> </w:t>
        </w:r>
        <w:r w:rsidR="005C307E">
          <w:rPr>
            <w:rStyle w:val="Hyperlink"/>
            <w:rFonts w:eastAsiaTheme="majorEastAsia"/>
            <w:noProof/>
            <w:sz w:val="20"/>
            <w:szCs w:val="20"/>
            <w:lang w:val="ru-RU"/>
          </w:rPr>
          <w:tab/>
        </w:r>
        <w:r w:rsidR="005C307E" w:rsidRPr="005C307E">
          <w:rPr>
            <w:rStyle w:val="Hyperlink"/>
            <w:rFonts w:eastAsiaTheme="majorEastAsia"/>
            <w:noProof/>
            <w:sz w:val="20"/>
            <w:szCs w:val="20"/>
          </w:rPr>
          <w:t>Дискреционни приходни мерки на начислена основа, млн. лв.</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_Toc23337524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39</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25"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 xml:space="preserve">10: </w:t>
        </w:r>
        <w:r w:rsidR="005C307E">
          <w:rPr>
            <w:rStyle w:val="Hyperlink"/>
            <w:rFonts w:eastAsiaTheme="majorEastAsia"/>
            <w:noProof/>
            <w:sz w:val="20"/>
            <w:szCs w:val="20"/>
          </w:rPr>
          <w:tab/>
        </w:r>
        <w:r w:rsidR="005C307E" w:rsidRPr="005C307E">
          <w:rPr>
            <w:rStyle w:val="Hyperlink"/>
            <w:rFonts w:eastAsiaTheme="majorEastAsia"/>
            <w:noProof/>
            <w:sz w:val="20"/>
            <w:szCs w:val="20"/>
          </w:rPr>
          <w:t>Дискреционни разходни мерки на начислена основа, млн. лв.</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_Toc23337525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41</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26" w:history="1">
        <w:r w:rsidR="005C307E" w:rsidRPr="005C307E">
          <w:rPr>
            <w:rStyle w:val="Hyperlink"/>
            <w:rFonts w:eastAsiaTheme="majorEastAsia"/>
            <w:noProof/>
            <w:sz w:val="20"/>
            <w:szCs w:val="20"/>
          </w:rPr>
          <w:t>Табл. II</w:t>
        </w:r>
        <w:r w:rsidR="005C307E" w:rsidRPr="005C307E">
          <w:rPr>
            <w:rStyle w:val="Hyperlink"/>
            <w:rFonts w:eastAsiaTheme="majorEastAsia"/>
            <w:noProof/>
            <w:sz w:val="20"/>
            <w:szCs w:val="20"/>
          </w:rPr>
          <w:noBreakHyphen/>
          <w:t xml:space="preserve">11: </w:t>
        </w:r>
        <w:r w:rsidR="005C307E">
          <w:rPr>
            <w:rStyle w:val="Hyperlink"/>
            <w:rFonts w:eastAsiaTheme="majorEastAsia"/>
            <w:noProof/>
            <w:sz w:val="20"/>
            <w:szCs w:val="20"/>
          </w:rPr>
          <w:tab/>
        </w:r>
        <w:r w:rsidR="005C307E" w:rsidRPr="005C307E">
          <w:rPr>
            <w:rStyle w:val="Hyperlink"/>
            <w:rFonts w:eastAsiaTheme="majorEastAsia"/>
            <w:noProof/>
            <w:sz w:val="20"/>
            <w:szCs w:val="20"/>
          </w:rPr>
          <w:t>Сравнение на бюджетната прогноза на МФ с прогнозата на ЕК</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_Toc23337526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43</w:t>
        </w:r>
        <w:r w:rsidR="005C307E" w:rsidRPr="005C307E">
          <w:rPr>
            <w:noProof/>
            <w:webHidden/>
            <w:sz w:val="20"/>
            <w:szCs w:val="20"/>
          </w:rPr>
          <w:fldChar w:fldCharType="end"/>
        </w:r>
      </w:hyperlink>
    </w:p>
    <w:p w:rsidR="005C307E" w:rsidRPr="005C307E" w:rsidRDefault="00984FBC" w:rsidP="005C307E">
      <w:pPr>
        <w:pStyle w:val="TableofFigures"/>
        <w:tabs>
          <w:tab w:val="left" w:pos="1276"/>
          <w:tab w:val="left" w:pos="1367"/>
          <w:tab w:val="right" w:leader="dot" w:pos="9060"/>
        </w:tabs>
        <w:rPr>
          <w:rFonts w:asciiTheme="minorHAnsi" w:eastAsiaTheme="minorEastAsia" w:hAnsiTheme="minorHAnsi"/>
          <w:noProof/>
          <w:sz w:val="20"/>
          <w:szCs w:val="20"/>
          <w:lang w:eastAsia="bg-BG"/>
        </w:rPr>
      </w:pPr>
      <w:hyperlink w:anchor="_Toc23337527" w:history="1">
        <w:r w:rsidR="005C307E" w:rsidRPr="005C307E">
          <w:rPr>
            <w:rStyle w:val="Hyperlink"/>
            <w:rFonts w:eastAsiaTheme="majorEastAsia"/>
            <w:noProof/>
            <w:sz w:val="20"/>
            <w:szCs w:val="20"/>
          </w:rPr>
          <w:t>Табл. III</w:t>
        </w:r>
        <w:r w:rsidR="005C307E" w:rsidRPr="005C307E">
          <w:rPr>
            <w:rStyle w:val="Hyperlink"/>
            <w:rFonts w:eastAsiaTheme="majorEastAsia"/>
            <w:noProof/>
            <w:sz w:val="20"/>
            <w:szCs w:val="20"/>
          </w:rPr>
          <w:noBreakHyphen/>
          <w:t>1:</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cs="Calibri"/>
            <w:noProof/>
            <w:sz w:val="20"/>
            <w:szCs w:val="20"/>
          </w:rPr>
          <w:t>Разходи по функции по КФП за периода 2019-20</w:t>
        </w:r>
        <w:r w:rsidR="005C307E" w:rsidRPr="005C307E">
          <w:rPr>
            <w:rStyle w:val="Hyperlink"/>
            <w:rFonts w:eastAsiaTheme="majorEastAsia" w:cs="Calibri"/>
            <w:noProof/>
            <w:sz w:val="20"/>
            <w:szCs w:val="20"/>
            <w:lang w:val="ru-RU"/>
          </w:rPr>
          <w:t>2</w:t>
        </w:r>
        <w:r w:rsidR="005C307E" w:rsidRPr="005C307E">
          <w:rPr>
            <w:rStyle w:val="Hyperlink"/>
            <w:rFonts w:eastAsiaTheme="majorEastAsia" w:cs="Calibri"/>
            <w:noProof/>
            <w:sz w:val="20"/>
            <w:szCs w:val="20"/>
          </w:rPr>
          <w:t>2 г. с разпределен резерв по функции (без вноска в общия бюджет на ЕС)</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_Toc23337527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64</w:t>
        </w:r>
        <w:r w:rsidR="005C307E" w:rsidRPr="005C307E">
          <w:rPr>
            <w:noProof/>
            <w:webHidden/>
            <w:sz w:val="20"/>
            <w:szCs w:val="20"/>
          </w:rPr>
          <w:fldChar w:fldCharType="end"/>
        </w:r>
      </w:hyperlink>
    </w:p>
    <w:p w:rsidR="005C307E" w:rsidRPr="005C307E" w:rsidRDefault="00984FBC" w:rsidP="005C307E">
      <w:pPr>
        <w:pStyle w:val="TableofFigures"/>
        <w:tabs>
          <w:tab w:val="left" w:pos="1276"/>
          <w:tab w:val="left" w:pos="1341"/>
          <w:tab w:val="right" w:leader="dot" w:pos="9060"/>
        </w:tabs>
        <w:rPr>
          <w:rFonts w:asciiTheme="minorHAnsi" w:eastAsiaTheme="minorEastAsia" w:hAnsiTheme="minorHAnsi"/>
          <w:noProof/>
          <w:sz w:val="20"/>
          <w:szCs w:val="20"/>
          <w:lang w:eastAsia="bg-BG"/>
        </w:rPr>
      </w:pPr>
      <w:hyperlink w:anchor="_Toc23337528" w:history="1">
        <w:r w:rsidR="005C307E" w:rsidRPr="005C307E">
          <w:rPr>
            <w:rStyle w:val="Hyperlink"/>
            <w:rFonts w:eastAsiaTheme="majorEastAsia"/>
            <w:noProof/>
            <w:sz w:val="20"/>
            <w:szCs w:val="20"/>
          </w:rPr>
          <w:t>Табл. III</w:t>
        </w:r>
        <w:r w:rsidR="005C307E" w:rsidRPr="005C307E">
          <w:rPr>
            <w:rStyle w:val="Hyperlink"/>
            <w:rFonts w:eastAsiaTheme="majorEastAsia"/>
            <w:noProof/>
            <w:sz w:val="20"/>
            <w:szCs w:val="20"/>
          </w:rPr>
          <w:noBreakHyphen/>
          <w:t>2:</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 xml:space="preserve">Условия за пенсиониране по чл. 68, ал. 1-2 на КСО </w:t>
        </w:r>
        <w:r w:rsidR="005C307E" w:rsidRPr="005C307E">
          <w:rPr>
            <w:rStyle w:val="Hyperlink"/>
            <w:rFonts w:eastAsiaTheme="majorEastAsia"/>
            <w:noProof/>
            <w:sz w:val="20"/>
            <w:szCs w:val="20"/>
            <w:lang w:val="ru-RU"/>
          </w:rPr>
          <w:t>(</w:t>
        </w:r>
        <w:r w:rsidR="005C307E" w:rsidRPr="005C307E">
          <w:rPr>
            <w:rStyle w:val="Hyperlink"/>
            <w:rFonts w:eastAsiaTheme="majorEastAsia"/>
            <w:noProof/>
            <w:sz w:val="20"/>
            <w:szCs w:val="20"/>
          </w:rPr>
          <w:t>2019-2022 г.</w:t>
        </w:r>
        <w:r w:rsidR="005C307E" w:rsidRPr="005C307E">
          <w:rPr>
            <w:rStyle w:val="Hyperlink"/>
            <w:rFonts w:eastAsiaTheme="majorEastAsia"/>
            <w:noProof/>
            <w:sz w:val="20"/>
            <w:szCs w:val="20"/>
            <w:lang w:val="ru-RU"/>
          </w:rPr>
          <w:t>)</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_Toc23337528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66</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29" w:history="1">
        <w:r w:rsidR="005C307E" w:rsidRPr="005C307E">
          <w:rPr>
            <w:rStyle w:val="Hyperlink"/>
            <w:rFonts w:eastAsiaTheme="majorEastAsia"/>
            <w:noProof/>
            <w:sz w:val="20"/>
            <w:szCs w:val="20"/>
          </w:rPr>
          <w:t>Табл. III</w:t>
        </w:r>
        <w:r w:rsidR="005C307E" w:rsidRPr="005C307E">
          <w:rPr>
            <w:rStyle w:val="Hyperlink"/>
            <w:rFonts w:eastAsiaTheme="majorEastAsia"/>
            <w:noProof/>
            <w:sz w:val="20"/>
            <w:szCs w:val="20"/>
          </w:rPr>
          <w:noBreakHyphen/>
          <w:t xml:space="preserve">3: </w:t>
        </w:r>
        <w:r w:rsidR="005C307E">
          <w:rPr>
            <w:rStyle w:val="Hyperlink"/>
            <w:rFonts w:eastAsiaTheme="majorEastAsia"/>
            <w:noProof/>
            <w:sz w:val="20"/>
            <w:szCs w:val="20"/>
          </w:rPr>
          <w:tab/>
        </w:r>
        <w:r w:rsidR="005C307E" w:rsidRPr="005C307E">
          <w:rPr>
            <w:rStyle w:val="Hyperlink"/>
            <w:rFonts w:eastAsiaTheme="majorEastAsia"/>
            <w:noProof/>
            <w:sz w:val="20"/>
            <w:szCs w:val="20"/>
          </w:rPr>
          <w:t>Разходи за отбрана за периода 2019-2022 г.</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_Toc23337529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86</w:t>
        </w:r>
        <w:r w:rsidR="005C307E" w:rsidRPr="005C307E">
          <w:rPr>
            <w:noProof/>
            <w:webHidden/>
            <w:sz w:val="20"/>
            <w:szCs w:val="20"/>
          </w:rPr>
          <w:fldChar w:fldCharType="end"/>
        </w:r>
      </w:hyperlink>
    </w:p>
    <w:p w:rsidR="005C307E" w:rsidRPr="005C307E" w:rsidRDefault="00984FBC" w:rsidP="005C307E">
      <w:pPr>
        <w:pStyle w:val="TableofFigures"/>
        <w:tabs>
          <w:tab w:val="left" w:pos="1276"/>
          <w:tab w:val="left" w:pos="1367"/>
          <w:tab w:val="right" w:leader="dot" w:pos="9060"/>
        </w:tabs>
        <w:rPr>
          <w:rFonts w:asciiTheme="minorHAnsi" w:eastAsiaTheme="minorEastAsia" w:hAnsiTheme="minorHAnsi"/>
          <w:noProof/>
          <w:sz w:val="20"/>
          <w:szCs w:val="20"/>
          <w:lang w:eastAsia="bg-BG"/>
        </w:rPr>
      </w:pPr>
      <w:hyperlink w:anchor="_Toc23337530" w:history="1">
        <w:r w:rsidR="005C307E" w:rsidRPr="005C307E">
          <w:rPr>
            <w:rStyle w:val="Hyperlink"/>
            <w:rFonts w:eastAsiaTheme="majorEastAsia"/>
            <w:noProof/>
            <w:sz w:val="20"/>
            <w:szCs w:val="20"/>
          </w:rPr>
          <w:t>Табл. IV</w:t>
        </w:r>
        <w:r w:rsidR="005C307E" w:rsidRPr="005C307E">
          <w:rPr>
            <w:rStyle w:val="Hyperlink"/>
            <w:rFonts w:eastAsiaTheme="majorEastAsia"/>
            <w:noProof/>
            <w:sz w:val="20"/>
            <w:szCs w:val="20"/>
          </w:rPr>
          <w:noBreakHyphen/>
          <w:t>1:</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Основни бюджетни взаимоотношения на общините с централния бюджет (в хил. лв.)</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_Toc23337530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150</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31" w:history="1">
        <w:r w:rsidR="005C307E" w:rsidRPr="005C307E">
          <w:rPr>
            <w:rStyle w:val="Hyperlink"/>
            <w:rFonts w:eastAsiaTheme="majorEastAsia"/>
            <w:noProof/>
            <w:sz w:val="20"/>
            <w:szCs w:val="20"/>
          </w:rPr>
          <w:t>Табл. V</w:t>
        </w:r>
        <w:r w:rsidR="005C307E" w:rsidRPr="005C307E">
          <w:rPr>
            <w:rStyle w:val="Hyperlink"/>
            <w:rFonts w:eastAsiaTheme="majorEastAsia"/>
            <w:noProof/>
            <w:sz w:val="20"/>
            <w:szCs w:val="20"/>
          </w:rPr>
          <w:noBreakHyphen/>
          <w:t>1:</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Разходи и плащания за селскостопанската политика за периода 2020-2022 г.</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_Toc23337531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160</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32" w:history="1">
        <w:r w:rsidR="005C307E" w:rsidRPr="005C307E">
          <w:rPr>
            <w:rStyle w:val="Hyperlink"/>
            <w:rFonts w:eastAsiaTheme="majorEastAsia"/>
            <w:noProof/>
            <w:sz w:val="20"/>
            <w:szCs w:val="20"/>
          </w:rPr>
          <w:t>Табл. V</w:t>
        </w:r>
        <w:r w:rsidR="005C307E" w:rsidRPr="005C307E">
          <w:rPr>
            <w:rStyle w:val="Hyperlink"/>
            <w:rFonts w:eastAsiaTheme="majorEastAsia"/>
            <w:noProof/>
            <w:sz w:val="20"/>
            <w:szCs w:val="20"/>
          </w:rPr>
          <w:noBreakHyphen/>
          <w:t>2:</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cs="Calibri"/>
            <w:noProof/>
            <w:sz w:val="20"/>
            <w:szCs w:val="20"/>
          </w:rPr>
          <w:t>Разходи и плащания за рибарската политика за периода 2020-2022 г.</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_Toc23337532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161</w:t>
        </w:r>
        <w:r w:rsidR="005C307E" w:rsidRPr="005C307E">
          <w:rPr>
            <w:noProof/>
            <w:webHidden/>
            <w:sz w:val="20"/>
            <w:szCs w:val="20"/>
          </w:rPr>
          <w:fldChar w:fldCharType="end"/>
        </w:r>
      </w:hyperlink>
    </w:p>
    <w:p w:rsidR="005C307E" w:rsidRPr="005C307E" w:rsidRDefault="00984FBC" w:rsidP="005C307E">
      <w:pPr>
        <w:pStyle w:val="TableofFigures"/>
        <w:tabs>
          <w:tab w:val="left" w:pos="1276"/>
          <w:tab w:val="right" w:leader="dot" w:pos="9060"/>
        </w:tabs>
        <w:rPr>
          <w:rFonts w:asciiTheme="minorHAnsi" w:eastAsiaTheme="minorEastAsia" w:hAnsiTheme="minorHAnsi"/>
          <w:noProof/>
          <w:sz w:val="20"/>
          <w:szCs w:val="20"/>
          <w:lang w:eastAsia="bg-BG"/>
        </w:rPr>
      </w:pPr>
      <w:hyperlink w:anchor="_Toc23337533" w:history="1">
        <w:r w:rsidR="005C307E" w:rsidRPr="005C307E">
          <w:rPr>
            <w:rStyle w:val="Hyperlink"/>
            <w:rFonts w:eastAsiaTheme="majorEastAsia"/>
            <w:noProof/>
            <w:sz w:val="20"/>
            <w:szCs w:val="20"/>
          </w:rPr>
          <w:t>Табл. V</w:t>
        </w:r>
        <w:r w:rsidR="005C307E" w:rsidRPr="005C307E">
          <w:rPr>
            <w:rStyle w:val="Hyperlink"/>
            <w:rFonts w:eastAsiaTheme="majorEastAsia"/>
            <w:noProof/>
            <w:sz w:val="20"/>
            <w:szCs w:val="20"/>
          </w:rPr>
          <w:noBreakHyphen/>
          <w:t>3:</w:t>
        </w:r>
        <w:r w:rsidR="005C307E">
          <w:rPr>
            <w:rStyle w:val="Hyperlink"/>
            <w:rFonts w:eastAsiaTheme="majorEastAsia"/>
            <w:noProof/>
            <w:sz w:val="20"/>
            <w:szCs w:val="20"/>
          </w:rPr>
          <w:tab/>
        </w:r>
        <w:r w:rsidR="005C307E" w:rsidRPr="005C307E">
          <w:rPr>
            <w:rStyle w:val="Hyperlink"/>
            <w:rFonts w:eastAsiaTheme="majorEastAsia"/>
            <w:noProof/>
            <w:sz w:val="20"/>
            <w:szCs w:val="20"/>
          </w:rPr>
          <w:t xml:space="preserve">  Ефекти от усвояването на средствата от европейските фондове и програми на ЕС</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_Toc23337533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165</w:t>
        </w:r>
        <w:r w:rsidR="005C307E" w:rsidRPr="005C307E">
          <w:rPr>
            <w:noProof/>
            <w:webHidden/>
            <w:sz w:val="20"/>
            <w:szCs w:val="20"/>
          </w:rPr>
          <w:fldChar w:fldCharType="end"/>
        </w:r>
      </w:hyperlink>
    </w:p>
    <w:p w:rsidR="005C307E" w:rsidRPr="005C307E" w:rsidRDefault="00984FBC" w:rsidP="005C307E">
      <w:pPr>
        <w:pStyle w:val="TableofFigures"/>
        <w:tabs>
          <w:tab w:val="left" w:pos="1276"/>
          <w:tab w:val="left" w:pos="1435"/>
          <w:tab w:val="right" w:leader="dot" w:pos="9060"/>
        </w:tabs>
        <w:rPr>
          <w:rFonts w:asciiTheme="minorHAnsi" w:eastAsiaTheme="minorEastAsia" w:hAnsiTheme="minorHAnsi"/>
          <w:noProof/>
          <w:sz w:val="20"/>
          <w:szCs w:val="20"/>
          <w:lang w:eastAsia="bg-BG"/>
        </w:rPr>
      </w:pPr>
      <w:hyperlink w:anchor="_Toc23337534" w:history="1">
        <w:r w:rsidR="005C307E" w:rsidRPr="005C307E">
          <w:rPr>
            <w:rStyle w:val="Hyperlink"/>
            <w:rFonts w:eastAsiaTheme="majorEastAsia"/>
            <w:noProof/>
            <w:sz w:val="20"/>
            <w:szCs w:val="20"/>
          </w:rPr>
          <w:t>Табл. VII</w:t>
        </w:r>
        <w:r w:rsidR="005C307E" w:rsidRPr="005C307E">
          <w:rPr>
            <w:rStyle w:val="Hyperlink"/>
            <w:rFonts w:eastAsiaTheme="majorEastAsia"/>
            <w:noProof/>
            <w:sz w:val="20"/>
            <w:szCs w:val="20"/>
          </w:rPr>
          <w:noBreakHyphen/>
          <w:t>1:</w:t>
        </w:r>
        <w:r w:rsidR="005C307E" w:rsidRPr="005C307E">
          <w:rPr>
            <w:rFonts w:asciiTheme="minorHAnsi" w:eastAsiaTheme="minorEastAsia" w:hAnsiTheme="minorHAnsi"/>
            <w:noProof/>
            <w:sz w:val="20"/>
            <w:szCs w:val="20"/>
            <w:lang w:eastAsia="bg-BG"/>
          </w:rPr>
          <w:tab/>
        </w:r>
        <w:r w:rsidR="005C307E" w:rsidRPr="005C307E">
          <w:rPr>
            <w:rStyle w:val="Hyperlink"/>
            <w:rFonts w:eastAsia="MS Mincho"/>
            <w:noProof/>
            <w:sz w:val="20"/>
            <w:szCs w:val="20"/>
            <w:lang w:eastAsia="ar-SA"/>
          </w:rPr>
          <w:t>Индикатори за устойчивост</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_Toc23337534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173</w:t>
        </w:r>
        <w:r w:rsidR="005C307E" w:rsidRPr="005C307E">
          <w:rPr>
            <w:noProof/>
            <w:webHidden/>
            <w:sz w:val="20"/>
            <w:szCs w:val="20"/>
          </w:rPr>
          <w:fldChar w:fldCharType="end"/>
        </w:r>
      </w:hyperlink>
    </w:p>
    <w:p w:rsidR="005C307E" w:rsidRPr="005C307E" w:rsidRDefault="00984FBC" w:rsidP="005C307E">
      <w:pPr>
        <w:pStyle w:val="TableofFigures"/>
        <w:tabs>
          <w:tab w:val="left" w:pos="1276"/>
          <w:tab w:val="left" w:pos="1473"/>
          <w:tab w:val="right" w:leader="dot" w:pos="9060"/>
        </w:tabs>
        <w:rPr>
          <w:rFonts w:asciiTheme="minorHAnsi" w:eastAsiaTheme="minorEastAsia" w:hAnsiTheme="minorHAnsi"/>
          <w:noProof/>
          <w:sz w:val="20"/>
          <w:szCs w:val="20"/>
          <w:lang w:eastAsia="bg-BG"/>
        </w:rPr>
      </w:pPr>
      <w:hyperlink w:anchor="_Toc23337535" w:history="1">
        <w:r w:rsidR="005C307E" w:rsidRPr="005C307E">
          <w:rPr>
            <w:rStyle w:val="Hyperlink"/>
            <w:rFonts w:eastAsiaTheme="majorEastAsia"/>
            <w:noProof/>
            <w:sz w:val="20"/>
            <w:szCs w:val="20"/>
          </w:rPr>
          <w:t>Табл. VII</w:t>
        </w:r>
        <w:r w:rsidR="005C307E" w:rsidRPr="005C307E">
          <w:rPr>
            <w:rStyle w:val="Hyperlink"/>
            <w:rFonts w:eastAsiaTheme="majorEastAsia"/>
            <w:noProof/>
            <w:sz w:val="20"/>
            <w:szCs w:val="20"/>
          </w:rPr>
          <w:noBreakHyphen/>
          <w:t>2:</w:t>
        </w:r>
        <w:r w:rsidR="005C307E" w:rsidRPr="005C307E">
          <w:rPr>
            <w:rFonts w:asciiTheme="minorHAnsi" w:eastAsiaTheme="minorEastAsia" w:hAnsiTheme="minorHAnsi"/>
            <w:noProof/>
            <w:sz w:val="20"/>
            <w:szCs w:val="20"/>
            <w:lang w:eastAsia="bg-BG"/>
          </w:rPr>
          <w:tab/>
        </w:r>
        <w:r w:rsidR="005C307E" w:rsidRPr="005C307E">
          <w:rPr>
            <w:rStyle w:val="Hyperlink"/>
            <w:rFonts w:eastAsiaTheme="majorEastAsia"/>
            <w:noProof/>
            <w:sz w:val="20"/>
            <w:szCs w:val="20"/>
          </w:rPr>
          <w:t>Промяна на основни макроикономически и бюджетни индикатори между алтернативния и основния сценарий, в пр.п.</w:t>
        </w:r>
        <w:r w:rsidR="005C307E" w:rsidRPr="005C307E">
          <w:rPr>
            <w:noProof/>
            <w:webHidden/>
            <w:sz w:val="20"/>
            <w:szCs w:val="20"/>
          </w:rPr>
          <w:tab/>
        </w:r>
        <w:r w:rsidR="005C307E" w:rsidRPr="005C307E">
          <w:rPr>
            <w:noProof/>
            <w:webHidden/>
            <w:sz w:val="20"/>
            <w:szCs w:val="20"/>
          </w:rPr>
          <w:fldChar w:fldCharType="begin"/>
        </w:r>
        <w:r w:rsidR="005C307E" w:rsidRPr="005C307E">
          <w:rPr>
            <w:noProof/>
            <w:webHidden/>
            <w:sz w:val="20"/>
            <w:szCs w:val="20"/>
          </w:rPr>
          <w:instrText xml:space="preserve"> PAGEREF _Toc23337535 \h </w:instrText>
        </w:r>
        <w:r w:rsidR="005C307E" w:rsidRPr="005C307E">
          <w:rPr>
            <w:noProof/>
            <w:webHidden/>
            <w:sz w:val="20"/>
            <w:szCs w:val="20"/>
          </w:rPr>
        </w:r>
        <w:r w:rsidR="005C307E" w:rsidRPr="005C307E">
          <w:rPr>
            <w:noProof/>
            <w:webHidden/>
            <w:sz w:val="20"/>
            <w:szCs w:val="20"/>
          </w:rPr>
          <w:fldChar w:fldCharType="separate"/>
        </w:r>
        <w:r w:rsidR="0034195B">
          <w:rPr>
            <w:noProof/>
            <w:webHidden/>
            <w:sz w:val="20"/>
            <w:szCs w:val="20"/>
          </w:rPr>
          <w:t>177</w:t>
        </w:r>
        <w:r w:rsidR="005C307E" w:rsidRPr="005C307E">
          <w:rPr>
            <w:noProof/>
            <w:webHidden/>
            <w:sz w:val="20"/>
            <w:szCs w:val="20"/>
          </w:rPr>
          <w:fldChar w:fldCharType="end"/>
        </w:r>
      </w:hyperlink>
    </w:p>
    <w:p w:rsidR="00804EF6" w:rsidRPr="00E25A58" w:rsidRDefault="004C3CD4" w:rsidP="005C307E">
      <w:pPr>
        <w:pStyle w:val="TOC4"/>
        <w:tabs>
          <w:tab w:val="left" w:pos="993"/>
          <w:tab w:val="left" w:pos="1276"/>
        </w:tabs>
        <w:ind w:left="1276" w:hanging="1276"/>
        <w:rPr>
          <w:spacing w:val="12"/>
          <w:sz w:val="32"/>
        </w:rPr>
      </w:pPr>
      <w:r w:rsidRPr="005C307E">
        <w:rPr>
          <w:rStyle w:val="Hyperlink"/>
          <w:sz w:val="20"/>
          <w:szCs w:val="20"/>
          <w:highlight w:val="yellow"/>
        </w:rPr>
        <w:fldChar w:fldCharType="end"/>
      </w:r>
      <w:r w:rsidR="00106543" w:rsidRPr="00291564">
        <w:rPr>
          <w:rStyle w:val="Hyperlink"/>
          <w:rFonts w:eastAsia="Times New Roman"/>
          <w:sz w:val="20"/>
          <w:szCs w:val="20"/>
          <w:lang w:eastAsia="en-GB"/>
        </w:rPr>
        <w:br w:type="page"/>
      </w:r>
      <w:bookmarkStart w:id="22" w:name="_Toc464746959"/>
      <w:bookmarkStart w:id="23" w:name="_Toc465070436"/>
      <w:r w:rsidR="00874FBD" w:rsidRPr="00E25A58">
        <w:rPr>
          <w:spacing w:val="12"/>
          <w:sz w:val="32"/>
        </w:rPr>
        <w:t>С</w:t>
      </w:r>
      <w:r w:rsidR="00E25A58">
        <w:rPr>
          <w:spacing w:val="12"/>
          <w:sz w:val="32"/>
        </w:rPr>
        <w:t>писък на</w:t>
      </w:r>
      <w:r w:rsidR="00804EF6" w:rsidRPr="00E25A58">
        <w:rPr>
          <w:spacing w:val="12"/>
          <w:sz w:val="32"/>
        </w:rPr>
        <w:t xml:space="preserve"> </w:t>
      </w:r>
      <w:r w:rsidR="00E25A58">
        <w:rPr>
          <w:spacing w:val="12"/>
          <w:sz w:val="32"/>
        </w:rPr>
        <w:t>използваните</w:t>
      </w:r>
      <w:r w:rsidR="00804EF6" w:rsidRPr="00E25A58">
        <w:rPr>
          <w:spacing w:val="12"/>
          <w:sz w:val="32"/>
        </w:rPr>
        <w:t xml:space="preserve"> </w:t>
      </w:r>
      <w:bookmarkEnd w:id="22"/>
      <w:bookmarkEnd w:id="23"/>
      <w:r w:rsidR="00E25A58">
        <w:rPr>
          <w:spacing w:val="12"/>
          <w:sz w:val="32"/>
        </w:rPr>
        <w:t>съкращения</w:t>
      </w:r>
    </w:p>
    <w:p w:rsidR="00926F99" w:rsidRPr="00693B72" w:rsidRDefault="00926F99" w:rsidP="00926F99">
      <w:pPr>
        <w:spacing w:after="120"/>
        <w:contextualSpacing/>
        <w:rPr>
          <w:b/>
          <w:bCs/>
          <w:caps/>
          <w:spacing w:val="54"/>
          <w:szCs w:val="48"/>
          <w:highlight w:val="yellow"/>
        </w:rPr>
      </w:pPr>
    </w:p>
    <w:tbl>
      <w:tblPr>
        <w:tblW w:w="9224" w:type="dxa"/>
        <w:jc w:val="center"/>
        <w:tblBorders>
          <w:insideV w:val="single" w:sz="4" w:space="0" w:color="943634"/>
        </w:tblBorders>
        <w:tblCellMar>
          <w:left w:w="70" w:type="dxa"/>
          <w:right w:w="70" w:type="dxa"/>
        </w:tblCellMar>
        <w:tblLook w:val="00A0" w:firstRow="1" w:lastRow="0" w:firstColumn="1" w:lastColumn="0" w:noHBand="0" w:noVBand="0"/>
      </w:tblPr>
      <w:tblGrid>
        <w:gridCol w:w="1638"/>
        <w:gridCol w:w="7586"/>
      </w:tblGrid>
      <w:tr w:rsidR="008F35D9" w:rsidRPr="005911B3" w:rsidTr="00626AC5">
        <w:trPr>
          <w:trHeight w:val="312"/>
          <w:jc w:val="center"/>
        </w:trPr>
        <w:tc>
          <w:tcPr>
            <w:tcW w:w="1638" w:type="dxa"/>
          </w:tcPr>
          <w:p w:rsidR="008F35D9" w:rsidRPr="00A9538E" w:rsidRDefault="008F35D9" w:rsidP="008F35D9">
            <w:pPr>
              <w:spacing w:after="0"/>
            </w:pPr>
            <w:r w:rsidRPr="00A9538E">
              <w:t>АД</w:t>
            </w:r>
          </w:p>
        </w:tc>
        <w:tc>
          <w:tcPr>
            <w:tcW w:w="7586" w:type="dxa"/>
          </w:tcPr>
          <w:p w:rsidR="008F35D9" w:rsidRPr="00A9538E" w:rsidRDefault="008F35D9" w:rsidP="008F35D9">
            <w:pPr>
              <w:spacing w:after="0"/>
            </w:pPr>
            <w:r w:rsidRPr="00A9538E">
              <w:t>Акционерно дружество</w:t>
            </w:r>
          </w:p>
        </w:tc>
      </w:tr>
      <w:tr w:rsidR="008F35D9" w:rsidRPr="005911B3" w:rsidTr="00626AC5">
        <w:trPr>
          <w:trHeight w:val="312"/>
          <w:jc w:val="center"/>
        </w:trPr>
        <w:tc>
          <w:tcPr>
            <w:tcW w:w="1638" w:type="dxa"/>
          </w:tcPr>
          <w:p w:rsidR="008F35D9" w:rsidRPr="00A9538E" w:rsidRDefault="008F35D9" w:rsidP="008F35D9">
            <w:pPr>
              <w:spacing w:after="0"/>
            </w:pPr>
            <w:r w:rsidRPr="00A9538E">
              <w:t>АМ</w:t>
            </w:r>
          </w:p>
        </w:tc>
        <w:tc>
          <w:tcPr>
            <w:tcW w:w="7586" w:type="dxa"/>
          </w:tcPr>
          <w:p w:rsidR="008F35D9" w:rsidRPr="00A9538E" w:rsidRDefault="008F35D9" w:rsidP="008F35D9">
            <w:pPr>
              <w:spacing w:after="0"/>
            </w:pPr>
            <w:r w:rsidRPr="00A9538E">
              <w:t>Автомагистрала</w:t>
            </w:r>
          </w:p>
        </w:tc>
      </w:tr>
      <w:tr w:rsidR="008F35D9" w:rsidRPr="005911B3" w:rsidTr="00626AC5">
        <w:trPr>
          <w:trHeight w:val="312"/>
          <w:jc w:val="center"/>
        </w:trPr>
        <w:tc>
          <w:tcPr>
            <w:tcW w:w="1638" w:type="dxa"/>
          </w:tcPr>
          <w:p w:rsidR="008F35D9" w:rsidRPr="00A9538E" w:rsidRDefault="008F35D9" w:rsidP="008F35D9">
            <w:pPr>
              <w:spacing w:after="0"/>
            </w:pPr>
            <w:r w:rsidRPr="00A9538E">
              <w:t>АСБП</w:t>
            </w:r>
          </w:p>
        </w:tc>
        <w:tc>
          <w:tcPr>
            <w:tcW w:w="7586" w:type="dxa"/>
          </w:tcPr>
          <w:p w:rsidR="008F35D9" w:rsidRPr="00A9538E" w:rsidRDefault="008F35D9" w:rsidP="008F35D9">
            <w:pPr>
              <w:spacing w:after="0"/>
            </w:pPr>
            <w:r w:rsidRPr="00A9538E">
              <w:t>Актуализирана средносрочна бюджетна прогноза</w:t>
            </w:r>
          </w:p>
        </w:tc>
      </w:tr>
      <w:tr w:rsidR="008F35D9" w:rsidRPr="005911B3" w:rsidTr="00626AC5">
        <w:trPr>
          <w:trHeight w:val="312"/>
          <w:jc w:val="center"/>
        </w:trPr>
        <w:tc>
          <w:tcPr>
            <w:tcW w:w="1638" w:type="dxa"/>
          </w:tcPr>
          <w:p w:rsidR="008F35D9" w:rsidRPr="00A9538E" w:rsidRDefault="008F35D9" w:rsidP="008F35D9">
            <w:pPr>
              <w:spacing w:after="0"/>
            </w:pPr>
            <w:r w:rsidRPr="00A9538E">
              <w:t>БАН</w:t>
            </w:r>
          </w:p>
        </w:tc>
        <w:tc>
          <w:tcPr>
            <w:tcW w:w="7586" w:type="dxa"/>
          </w:tcPr>
          <w:p w:rsidR="008F35D9" w:rsidRPr="00A9538E" w:rsidRDefault="008F35D9" w:rsidP="008F35D9">
            <w:pPr>
              <w:spacing w:after="0"/>
            </w:pPr>
            <w:r w:rsidRPr="00A9538E">
              <w:t>Българска академия на науките</w:t>
            </w:r>
          </w:p>
        </w:tc>
      </w:tr>
      <w:tr w:rsidR="008F35D9" w:rsidRPr="005911B3" w:rsidTr="00626AC5">
        <w:trPr>
          <w:trHeight w:val="312"/>
          <w:jc w:val="center"/>
        </w:trPr>
        <w:tc>
          <w:tcPr>
            <w:tcW w:w="1638" w:type="dxa"/>
          </w:tcPr>
          <w:p w:rsidR="008F35D9" w:rsidRPr="00A9538E" w:rsidRDefault="008F35D9" w:rsidP="008F35D9">
            <w:pPr>
              <w:spacing w:after="0"/>
            </w:pPr>
            <w:r w:rsidRPr="00A9538E">
              <w:t>БВП</w:t>
            </w:r>
          </w:p>
        </w:tc>
        <w:tc>
          <w:tcPr>
            <w:tcW w:w="7586" w:type="dxa"/>
          </w:tcPr>
          <w:p w:rsidR="008F35D9" w:rsidRPr="00A9538E" w:rsidRDefault="008F35D9" w:rsidP="008F35D9">
            <w:pPr>
              <w:spacing w:after="0"/>
            </w:pPr>
            <w:r w:rsidRPr="00A9538E">
              <w:t>Брутен вътрешен продукт</w:t>
            </w:r>
          </w:p>
        </w:tc>
      </w:tr>
      <w:tr w:rsidR="008F35D9" w:rsidRPr="005911B3" w:rsidTr="00626AC5">
        <w:trPr>
          <w:trHeight w:val="312"/>
          <w:jc w:val="center"/>
        </w:trPr>
        <w:tc>
          <w:tcPr>
            <w:tcW w:w="1638" w:type="dxa"/>
          </w:tcPr>
          <w:p w:rsidR="008F35D9" w:rsidRPr="00A9538E" w:rsidRDefault="008F35D9" w:rsidP="008F35D9">
            <w:pPr>
              <w:spacing w:after="0"/>
            </w:pPr>
            <w:r w:rsidRPr="00A9538E">
              <w:t>БДЖ</w:t>
            </w:r>
          </w:p>
        </w:tc>
        <w:tc>
          <w:tcPr>
            <w:tcW w:w="7586" w:type="dxa"/>
          </w:tcPr>
          <w:p w:rsidR="008F35D9" w:rsidRPr="00A9538E" w:rsidRDefault="008F35D9" w:rsidP="008F35D9">
            <w:pPr>
              <w:spacing w:after="0"/>
            </w:pPr>
            <w:r w:rsidRPr="00A9538E">
              <w:t>Български държавни железници</w:t>
            </w:r>
          </w:p>
        </w:tc>
      </w:tr>
      <w:tr w:rsidR="008F35D9" w:rsidRPr="005911B3" w:rsidTr="00626AC5">
        <w:trPr>
          <w:trHeight w:val="312"/>
          <w:jc w:val="center"/>
        </w:trPr>
        <w:tc>
          <w:tcPr>
            <w:tcW w:w="1638" w:type="dxa"/>
          </w:tcPr>
          <w:p w:rsidR="008F35D9" w:rsidRPr="00A9538E" w:rsidRDefault="008F35D9" w:rsidP="008F35D9">
            <w:pPr>
              <w:spacing w:after="0"/>
            </w:pPr>
            <w:r w:rsidRPr="00A9538E">
              <w:t>БНБ</w:t>
            </w:r>
          </w:p>
        </w:tc>
        <w:tc>
          <w:tcPr>
            <w:tcW w:w="7586" w:type="dxa"/>
          </w:tcPr>
          <w:p w:rsidR="008F35D9" w:rsidRPr="00A9538E" w:rsidRDefault="008F35D9" w:rsidP="008F35D9">
            <w:pPr>
              <w:spacing w:after="0"/>
            </w:pPr>
            <w:r w:rsidRPr="00A9538E">
              <w:t>Българска народна банка</w:t>
            </w:r>
          </w:p>
        </w:tc>
      </w:tr>
      <w:tr w:rsidR="008F35D9" w:rsidRPr="005911B3" w:rsidTr="00626AC5">
        <w:trPr>
          <w:trHeight w:val="312"/>
          <w:jc w:val="center"/>
        </w:trPr>
        <w:tc>
          <w:tcPr>
            <w:tcW w:w="1638" w:type="dxa"/>
          </w:tcPr>
          <w:p w:rsidR="008F35D9" w:rsidRPr="00A9538E" w:rsidRDefault="008F35D9" w:rsidP="008F35D9">
            <w:pPr>
              <w:spacing w:after="0"/>
            </w:pPr>
            <w:r w:rsidRPr="00A9538E">
              <w:t>БНД</w:t>
            </w:r>
          </w:p>
        </w:tc>
        <w:tc>
          <w:tcPr>
            <w:tcW w:w="7586" w:type="dxa"/>
          </w:tcPr>
          <w:p w:rsidR="008F35D9" w:rsidRPr="00A9538E" w:rsidRDefault="008F35D9" w:rsidP="008F35D9">
            <w:pPr>
              <w:spacing w:after="0"/>
            </w:pPr>
            <w:r w:rsidRPr="00A9538E">
              <w:t>Брутен национален доход</w:t>
            </w:r>
          </w:p>
        </w:tc>
      </w:tr>
      <w:tr w:rsidR="008F35D9" w:rsidRPr="005911B3" w:rsidTr="00626AC5">
        <w:trPr>
          <w:trHeight w:val="312"/>
          <w:jc w:val="center"/>
        </w:trPr>
        <w:tc>
          <w:tcPr>
            <w:tcW w:w="1638" w:type="dxa"/>
          </w:tcPr>
          <w:p w:rsidR="008F35D9" w:rsidRPr="00A9538E" w:rsidRDefault="008F35D9" w:rsidP="008F35D9">
            <w:pPr>
              <w:spacing w:after="0"/>
            </w:pPr>
            <w:r w:rsidRPr="00A9538E">
              <w:t>БНР</w:t>
            </w:r>
          </w:p>
        </w:tc>
        <w:tc>
          <w:tcPr>
            <w:tcW w:w="7586" w:type="dxa"/>
          </w:tcPr>
          <w:p w:rsidR="008F35D9" w:rsidRPr="00A9538E" w:rsidRDefault="008F35D9" w:rsidP="008F35D9">
            <w:pPr>
              <w:spacing w:after="0"/>
            </w:pPr>
            <w:r w:rsidRPr="00A9538E">
              <w:t>Българско национално радио</w:t>
            </w:r>
          </w:p>
        </w:tc>
      </w:tr>
      <w:tr w:rsidR="008F35D9" w:rsidRPr="005911B3" w:rsidTr="00626AC5">
        <w:trPr>
          <w:trHeight w:val="312"/>
          <w:jc w:val="center"/>
        </w:trPr>
        <w:tc>
          <w:tcPr>
            <w:tcW w:w="1638" w:type="dxa"/>
          </w:tcPr>
          <w:p w:rsidR="008F35D9" w:rsidRPr="00A9538E" w:rsidRDefault="008F35D9" w:rsidP="008F35D9">
            <w:pPr>
              <w:spacing w:after="0"/>
            </w:pPr>
            <w:r w:rsidRPr="00A9538E">
              <w:t>БНТ</w:t>
            </w:r>
          </w:p>
        </w:tc>
        <w:tc>
          <w:tcPr>
            <w:tcW w:w="7586" w:type="dxa"/>
          </w:tcPr>
          <w:p w:rsidR="008F35D9" w:rsidRPr="00A9538E" w:rsidRDefault="008F35D9" w:rsidP="008F35D9">
            <w:pPr>
              <w:spacing w:after="0"/>
            </w:pPr>
            <w:r w:rsidRPr="00A9538E">
              <w:t>Българска национална телевизия</w:t>
            </w:r>
          </w:p>
        </w:tc>
      </w:tr>
      <w:tr w:rsidR="008F35D9" w:rsidRPr="005911B3" w:rsidTr="00626AC5">
        <w:trPr>
          <w:trHeight w:val="312"/>
          <w:jc w:val="center"/>
        </w:trPr>
        <w:tc>
          <w:tcPr>
            <w:tcW w:w="1638" w:type="dxa"/>
          </w:tcPr>
          <w:p w:rsidR="008F35D9" w:rsidRPr="00A9538E" w:rsidRDefault="008F35D9" w:rsidP="008F35D9">
            <w:pPr>
              <w:spacing w:after="0"/>
            </w:pPr>
            <w:r w:rsidRPr="00A9538E">
              <w:t>БТА</w:t>
            </w:r>
          </w:p>
        </w:tc>
        <w:tc>
          <w:tcPr>
            <w:tcW w:w="7586" w:type="dxa"/>
          </w:tcPr>
          <w:p w:rsidR="008F35D9" w:rsidRPr="00A9538E" w:rsidRDefault="008F35D9" w:rsidP="008F35D9">
            <w:pPr>
              <w:spacing w:after="0"/>
            </w:pPr>
            <w:r w:rsidRPr="00A9538E">
              <w:t>Българска телеграфна агенция</w:t>
            </w:r>
          </w:p>
        </w:tc>
      </w:tr>
      <w:tr w:rsidR="008F35D9" w:rsidRPr="005911B3" w:rsidTr="00626AC5">
        <w:trPr>
          <w:trHeight w:val="312"/>
          <w:jc w:val="center"/>
        </w:trPr>
        <w:tc>
          <w:tcPr>
            <w:tcW w:w="1638" w:type="dxa"/>
          </w:tcPr>
          <w:p w:rsidR="008F35D9" w:rsidRPr="00A9538E" w:rsidRDefault="008F35D9" w:rsidP="008F35D9">
            <w:pPr>
              <w:spacing w:after="0"/>
            </w:pPr>
            <w:r w:rsidRPr="00A9538E">
              <w:t>ВИ</w:t>
            </w:r>
          </w:p>
        </w:tc>
        <w:tc>
          <w:tcPr>
            <w:tcW w:w="7586" w:type="dxa"/>
          </w:tcPr>
          <w:p w:rsidR="008F35D9" w:rsidRPr="00A9538E" w:rsidRDefault="008F35D9" w:rsidP="008F35D9">
            <w:pPr>
              <w:spacing w:after="0"/>
            </w:pPr>
            <w:r w:rsidRPr="00A9538E">
              <w:t>Възобновяеми източници</w:t>
            </w:r>
          </w:p>
        </w:tc>
      </w:tr>
      <w:tr w:rsidR="008F35D9" w:rsidRPr="005911B3" w:rsidTr="00626AC5">
        <w:trPr>
          <w:trHeight w:val="312"/>
          <w:jc w:val="center"/>
        </w:trPr>
        <w:tc>
          <w:tcPr>
            <w:tcW w:w="1638" w:type="dxa"/>
          </w:tcPr>
          <w:p w:rsidR="008F35D9" w:rsidRPr="00A9538E" w:rsidRDefault="008F35D9" w:rsidP="008F35D9">
            <w:pPr>
              <w:spacing w:after="0"/>
            </w:pPr>
            <w:r w:rsidRPr="00A9538E">
              <w:t>ВС</w:t>
            </w:r>
          </w:p>
        </w:tc>
        <w:tc>
          <w:tcPr>
            <w:tcW w:w="7586" w:type="dxa"/>
          </w:tcPr>
          <w:p w:rsidR="008F35D9" w:rsidRPr="00A9538E" w:rsidRDefault="008F35D9" w:rsidP="008F35D9">
            <w:pPr>
              <w:spacing w:after="0"/>
            </w:pPr>
            <w:r w:rsidRPr="00A9538E">
              <w:t>Въоръжени сили</w:t>
            </w:r>
          </w:p>
        </w:tc>
      </w:tr>
      <w:tr w:rsidR="008F35D9" w:rsidRPr="005911B3" w:rsidTr="00626AC5">
        <w:trPr>
          <w:trHeight w:val="312"/>
          <w:jc w:val="center"/>
        </w:trPr>
        <w:tc>
          <w:tcPr>
            <w:tcW w:w="1638" w:type="dxa"/>
          </w:tcPr>
          <w:p w:rsidR="008F35D9" w:rsidRPr="00A9538E" w:rsidRDefault="008F35D9" w:rsidP="008F35D9">
            <w:pPr>
              <w:spacing w:after="0"/>
            </w:pPr>
            <w:r w:rsidRPr="00A9538E">
              <w:t>ВМС</w:t>
            </w:r>
          </w:p>
        </w:tc>
        <w:tc>
          <w:tcPr>
            <w:tcW w:w="7586" w:type="dxa"/>
          </w:tcPr>
          <w:p w:rsidR="008F35D9" w:rsidRPr="00A9538E" w:rsidRDefault="008F35D9" w:rsidP="008F35D9">
            <w:pPr>
              <w:spacing w:after="0"/>
            </w:pPr>
            <w:r w:rsidRPr="00A9538E">
              <w:t>Военноморски сили</w:t>
            </w:r>
          </w:p>
        </w:tc>
      </w:tr>
      <w:tr w:rsidR="00D43B14" w:rsidRPr="005911B3" w:rsidTr="00626AC5">
        <w:trPr>
          <w:trHeight w:val="312"/>
          <w:jc w:val="center"/>
        </w:trPr>
        <w:tc>
          <w:tcPr>
            <w:tcW w:w="1638" w:type="dxa"/>
          </w:tcPr>
          <w:p w:rsidR="00D43B14" w:rsidRPr="00A9538E" w:rsidRDefault="00D43B14" w:rsidP="008F35D9">
            <w:pPr>
              <w:spacing w:after="0"/>
            </w:pPr>
            <w:r>
              <w:t>ГДПБЗН</w:t>
            </w:r>
          </w:p>
        </w:tc>
        <w:tc>
          <w:tcPr>
            <w:tcW w:w="7586" w:type="dxa"/>
          </w:tcPr>
          <w:p w:rsidR="00D43B14" w:rsidRPr="00A9538E" w:rsidRDefault="00D43B14" w:rsidP="008F35D9">
            <w:pPr>
              <w:spacing w:after="0"/>
            </w:pPr>
            <w:r>
              <w:t>Главна дирекция „</w:t>
            </w:r>
            <w:r w:rsidRPr="00D43B14">
              <w:t>Пожарна безопасност и защ</w:t>
            </w:r>
            <w:r>
              <w:t>ита на населението“</w:t>
            </w:r>
          </w:p>
        </w:tc>
      </w:tr>
      <w:tr w:rsidR="008F35D9" w:rsidRPr="005911B3" w:rsidTr="00626AC5">
        <w:trPr>
          <w:trHeight w:val="312"/>
          <w:jc w:val="center"/>
        </w:trPr>
        <w:tc>
          <w:tcPr>
            <w:tcW w:w="1638" w:type="dxa"/>
          </w:tcPr>
          <w:p w:rsidR="008F35D9" w:rsidRPr="00A9538E" w:rsidRDefault="008F35D9" w:rsidP="008F35D9">
            <w:pPr>
              <w:spacing w:after="0"/>
            </w:pPr>
            <w:r w:rsidRPr="00A9538E">
              <w:t>ГКПП</w:t>
            </w:r>
          </w:p>
        </w:tc>
        <w:tc>
          <w:tcPr>
            <w:tcW w:w="7586" w:type="dxa"/>
          </w:tcPr>
          <w:p w:rsidR="008F35D9" w:rsidRPr="00A9538E" w:rsidRDefault="008F35D9" w:rsidP="008F35D9">
            <w:pPr>
              <w:spacing w:after="0"/>
            </w:pPr>
            <w:r w:rsidRPr="00A9538E">
              <w:t>Граничен контролно-пропускателен пункт</w:t>
            </w:r>
          </w:p>
        </w:tc>
      </w:tr>
      <w:tr w:rsidR="008F35D9" w:rsidRPr="005911B3" w:rsidTr="00626AC5">
        <w:trPr>
          <w:trHeight w:val="312"/>
          <w:jc w:val="center"/>
        </w:trPr>
        <w:tc>
          <w:tcPr>
            <w:tcW w:w="1638" w:type="dxa"/>
          </w:tcPr>
          <w:p w:rsidR="008F35D9" w:rsidRPr="00A9538E" w:rsidRDefault="008F35D9" w:rsidP="008F35D9">
            <w:pPr>
              <w:spacing w:after="0"/>
            </w:pPr>
            <w:r w:rsidRPr="00A9538E">
              <w:t>ДАНС</w:t>
            </w:r>
          </w:p>
        </w:tc>
        <w:tc>
          <w:tcPr>
            <w:tcW w:w="7586" w:type="dxa"/>
          </w:tcPr>
          <w:p w:rsidR="008F35D9" w:rsidRPr="00A9538E" w:rsidRDefault="008F35D9" w:rsidP="008F35D9">
            <w:pPr>
              <w:spacing w:after="0"/>
            </w:pPr>
            <w:r w:rsidRPr="00A9538E">
              <w:t>Държавна агенция „Национална сигурност”</w:t>
            </w:r>
          </w:p>
        </w:tc>
      </w:tr>
      <w:tr w:rsidR="008F35D9" w:rsidRPr="005911B3" w:rsidTr="00626AC5">
        <w:trPr>
          <w:trHeight w:val="312"/>
          <w:jc w:val="center"/>
        </w:trPr>
        <w:tc>
          <w:tcPr>
            <w:tcW w:w="1638" w:type="dxa"/>
          </w:tcPr>
          <w:p w:rsidR="008F35D9" w:rsidRPr="00A9538E" w:rsidRDefault="008F35D9" w:rsidP="008F35D9">
            <w:pPr>
              <w:spacing w:after="0"/>
            </w:pPr>
            <w:r w:rsidRPr="00A9538E">
              <w:t>ДВ</w:t>
            </w:r>
          </w:p>
        </w:tc>
        <w:tc>
          <w:tcPr>
            <w:tcW w:w="7586" w:type="dxa"/>
          </w:tcPr>
          <w:p w:rsidR="008F35D9" w:rsidRPr="00A9538E" w:rsidRDefault="008F35D9" w:rsidP="008F35D9">
            <w:pPr>
              <w:spacing w:after="0"/>
            </w:pPr>
            <w:r w:rsidRPr="00A9538E">
              <w:t>Държавен вестник</w:t>
            </w:r>
          </w:p>
        </w:tc>
      </w:tr>
      <w:tr w:rsidR="008F35D9" w:rsidRPr="005911B3" w:rsidTr="00626AC5">
        <w:trPr>
          <w:trHeight w:val="312"/>
          <w:jc w:val="center"/>
        </w:trPr>
        <w:tc>
          <w:tcPr>
            <w:tcW w:w="1638" w:type="dxa"/>
          </w:tcPr>
          <w:p w:rsidR="008F35D9" w:rsidRPr="00A9538E" w:rsidRDefault="008F35D9" w:rsidP="008F35D9">
            <w:pPr>
              <w:spacing w:after="0"/>
            </w:pPr>
            <w:r w:rsidRPr="00A9538E">
              <w:t>ДДС</w:t>
            </w:r>
          </w:p>
        </w:tc>
        <w:tc>
          <w:tcPr>
            <w:tcW w:w="7586" w:type="dxa"/>
          </w:tcPr>
          <w:p w:rsidR="008F35D9" w:rsidRPr="00A9538E" w:rsidRDefault="008F35D9" w:rsidP="008F35D9">
            <w:pPr>
              <w:spacing w:after="0"/>
            </w:pPr>
            <w:r w:rsidRPr="00A9538E">
              <w:t>Данък върху добавената стойност</w:t>
            </w:r>
          </w:p>
        </w:tc>
      </w:tr>
      <w:tr w:rsidR="008F35D9" w:rsidRPr="005911B3" w:rsidTr="00626AC5">
        <w:trPr>
          <w:trHeight w:val="312"/>
          <w:jc w:val="center"/>
        </w:trPr>
        <w:tc>
          <w:tcPr>
            <w:tcW w:w="1638" w:type="dxa"/>
          </w:tcPr>
          <w:p w:rsidR="008F35D9" w:rsidRPr="00A9538E" w:rsidRDefault="008F35D9" w:rsidP="008F35D9">
            <w:pPr>
              <w:spacing w:after="0"/>
            </w:pPr>
            <w:r w:rsidRPr="00A9538E">
              <w:t>ДДФЛ</w:t>
            </w:r>
          </w:p>
        </w:tc>
        <w:tc>
          <w:tcPr>
            <w:tcW w:w="7586" w:type="dxa"/>
          </w:tcPr>
          <w:p w:rsidR="008F35D9" w:rsidRPr="00A9538E" w:rsidRDefault="008F35D9" w:rsidP="008F35D9">
            <w:pPr>
              <w:spacing w:after="0"/>
            </w:pPr>
            <w:r w:rsidRPr="00A9538E">
              <w:t>Данък върху доходите на физически лица</w:t>
            </w:r>
          </w:p>
        </w:tc>
      </w:tr>
      <w:tr w:rsidR="008F35D9" w:rsidRPr="005911B3" w:rsidTr="00626AC5">
        <w:trPr>
          <w:trHeight w:val="312"/>
          <w:jc w:val="center"/>
        </w:trPr>
        <w:tc>
          <w:tcPr>
            <w:tcW w:w="1638" w:type="dxa"/>
          </w:tcPr>
          <w:p w:rsidR="008F35D9" w:rsidRPr="00A9538E" w:rsidRDefault="008F35D9" w:rsidP="008F35D9">
            <w:pPr>
              <w:spacing w:after="0"/>
            </w:pPr>
            <w:r w:rsidRPr="00A9538E">
              <w:t>ДИЗ</w:t>
            </w:r>
          </w:p>
        </w:tc>
        <w:tc>
          <w:tcPr>
            <w:tcW w:w="7586" w:type="dxa"/>
          </w:tcPr>
          <w:p w:rsidR="008F35D9" w:rsidRPr="00A9538E" w:rsidRDefault="008F35D9" w:rsidP="008F35D9">
            <w:pPr>
              <w:spacing w:after="0"/>
            </w:pPr>
            <w:r w:rsidRPr="00A9538E">
              <w:t>Държавни инвестиционни заеми</w:t>
            </w:r>
          </w:p>
        </w:tc>
      </w:tr>
      <w:tr w:rsidR="008F35D9" w:rsidRPr="005911B3" w:rsidTr="00626AC5">
        <w:trPr>
          <w:trHeight w:val="312"/>
          <w:jc w:val="center"/>
        </w:trPr>
        <w:tc>
          <w:tcPr>
            <w:tcW w:w="1638" w:type="dxa"/>
          </w:tcPr>
          <w:p w:rsidR="008F35D9" w:rsidRPr="00A9538E" w:rsidRDefault="008F35D9" w:rsidP="008F35D9">
            <w:pPr>
              <w:spacing w:after="0"/>
            </w:pPr>
            <w:r w:rsidRPr="00A9538E">
              <w:t>ДОО</w:t>
            </w:r>
          </w:p>
        </w:tc>
        <w:tc>
          <w:tcPr>
            <w:tcW w:w="7586" w:type="dxa"/>
          </w:tcPr>
          <w:p w:rsidR="008F35D9" w:rsidRPr="00A9538E" w:rsidRDefault="008F35D9" w:rsidP="008F35D9">
            <w:pPr>
              <w:spacing w:after="0"/>
            </w:pPr>
            <w:r w:rsidRPr="00A9538E">
              <w:t>Държавно обществено осигуряване</w:t>
            </w:r>
          </w:p>
        </w:tc>
      </w:tr>
      <w:tr w:rsidR="008F35D9" w:rsidRPr="005911B3" w:rsidTr="00626AC5">
        <w:trPr>
          <w:trHeight w:val="312"/>
          <w:jc w:val="center"/>
        </w:trPr>
        <w:tc>
          <w:tcPr>
            <w:tcW w:w="1638" w:type="dxa"/>
          </w:tcPr>
          <w:p w:rsidR="008F35D9" w:rsidRPr="00A9538E" w:rsidRDefault="008F35D9" w:rsidP="008F35D9">
            <w:pPr>
              <w:spacing w:after="0"/>
            </w:pPr>
            <w:r w:rsidRPr="00A9538E">
              <w:t>ДП</w:t>
            </w:r>
          </w:p>
        </w:tc>
        <w:tc>
          <w:tcPr>
            <w:tcW w:w="7586" w:type="dxa"/>
          </w:tcPr>
          <w:p w:rsidR="008F35D9" w:rsidRPr="00A9538E" w:rsidRDefault="008F35D9" w:rsidP="008F35D9">
            <w:pPr>
              <w:spacing w:after="0"/>
            </w:pPr>
            <w:r w:rsidRPr="00A9538E">
              <w:t>Държавно предприятие</w:t>
            </w:r>
          </w:p>
        </w:tc>
      </w:tr>
      <w:tr w:rsidR="008F35D9" w:rsidRPr="005911B3" w:rsidTr="00626AC5">
        <w:trPr>
          <w:trHeight w:val="312"/>
          <w:jc w:val="center"/>
        </w:trPr>
        <w:tc>
          <w:tcPr>
            <w:tcW w:w="1638" w:type="dxa"/>
          </w:tcPr>
          <w:p w:rsidR="008F35D9" w:rsidRPr="00A9538E" w:rsidRDefault="008F35D9" w:rsidP="008F35D9">
            <w:pPr>
              <w:spacing w:after="0"/>
            </w:pPr>
            <w:r w:rsidRPr="00A9538E">
              <w:t>ДФ</w:t>
            </w:r>
          </w:p>
        </w:tc>
        <w:tc>
          <w:tcPr>
            <w:tcW w:w="7586" w:type="dxa"/>
          </w:tcPr>
          <w:p w:rsidR="008F35D9" w:rsidRPr="00A9538E" w:rsidRDefault="008F35D9" w:rsidP="008F35D9">
            <w:pPr>
              <w:spacing w:after="0"/>
            </w:pPr>
            <w:r w:rsidRPr="00A9538E">
              <w:t>Държавен фонд</w:t>
            </w:r>
          </w:p>
        </w:tc>
      </w:tr>
      <w:tr w:rsidR="008F35D9" w:rsidRPr="005911B3" w:rsidTr="00626AC5">
        <w:trPr>
          <w:trHeight w:val="312"/>
          <w:jc w:val="center"/>
        </w:trPr>
        <w:tc>
          <w:tcPr>
            <w:tcW w:w="1638" w:type="dxa"/>
          </w:tcPr>
          <w:p w:rsidR="008F35D9" w:rsidRPr="00A9538E" w:rsidRDefault="008F35D9" w:rsidP="008F35D9">
            <w:pPr>
              <w:spacing w:after="0"/>
            </w:pPr>
            <w:r w:rsidRPr="00A9538E">
              <w:t>ДУ</w:t>
            </w:r>
          </w:p>
        </w:tc>
        <w:tc>
          <w:tcPr>
            <w:tcW w:w="7586" w:type="dxa"/>
          </w:tcPr>
          <w:p w:rsidR="008F35D9" w:rsidRPr="00A9538E" w:rsidRDefault="008F35D9" w:rsidP="008F35D9">
            <w:pPr>
              <w:spacing w:after="0"/>
            </w:pPr>
            <w:r w:rsidRPr="00A9538E">
              <w:t>Държавно управление</w:t>
            </w:r>
          </w:p>
        </w:tc>
      </w:tr>
      <w:tr w:rsidR="008F35D9" w:rsidRPr="005911B3" w:rsidTr="00626AC5">
        <w:trPr>
          <w:trHeight w:val="312"/>
          <w:jc w:val="center"/>
        </w:trPr>
        <w:tc>
          <w:tcPr>
            <w:tcW w:w="1638" w:type="dxa"/>
          </w:tcPr>
          <w:p w:rsidR="008F35D9" w:rsidRPr="00A9538E" w:rsidRDefault="008F35D9" w:rsidP="008F35D9">
            <w:pPr>
              <w:spacing w:after="0"/>
            </w:pPr>
            <w:r w:rsidRPr="00A9538E">
              <w:t>ДЦК</w:t>
            </w:r>
          </w:p>
        </w:tc>
        <w:tc>
          <w:tcPr>
            <w:tcW w:w="7586" w:type="dxa"/>
          </w:tcPr>
          <w:p w:rsidR="008F35D9" w:rsidRPr="00A9538E" w:rsidRDefault="008F35D9" w:rsidP="008F35D9">
            <w:pPr>
              <w:spacing w:after="0"/>
            </w:pPr>
            <w:r w:rsidRPr="00A9538E">
              <w:t>Държавни ценни книжа</w:t>
            </w:r>
          </w:p>
        </w:tc>
      </w:tr>
      <w:tr w:rsidR="008F35D9" w:rsidRPr="005911B3" w:rsidTr="00626AC5">
        <w:trPr>
          <w:trHeight w:val="312"/>
          <w:jc w:val="center"/>
        </w:trPr>
        <w:tc>
          <w:tcPr>
            <w:tcW w:w="1638" w:type="dxa"/>
          </w:tcPr>
          <w:p w:rsidR="008F35D9" w:rsidRPr="00A9538E" w:rsidRDefault="008F35D9" w:rsidP="008F35D9">
            <w:pPr>
              <w:spacing w:after="0"/>
            </w:pPr>
            <w:r w:rsidRPr="00A9538E">
              <w:t>ЕАД</w:t>
            </w:r>
          </w:p>
        </w:tc>
        <w:tc>
          <w:tcPr>
            <w:tcW w:w="7586" w:type="dxa"/>
          </w:tcPr>
          <w:p w:rsidR="008F35D9" w:rsidRPr="00A9538E" w:rsidRDefault="008F35D9" w:rsidP="008F35D9">
            <w:pPr>
              <w:spacing w:after="0"/>
            </w:pPr>
            <w:r w:rsidRPr="00A9538E">
              <w:t>Еднолично акционерно дружество</w:t>
            </w:r>
          </w:p>
        </w:tc>
      </w:tr>
      <w:tr w:rsidR="008F35D9" w:rsidRPr="005911B3" w:rsidTr="00626AC5">
        <w:trPr>
          <w:trHeight w:val="312"/>
          <w:jc w:val="center"/>
        </w:trPr>
        <w:tc>
          <w:tcPr>
            <w:tcW w:w="1638" w:type="dxa"/>
          </w:tcPr>
          <w:p w:rsidR="008F35D9" w:rsidRPr="00A9538E" w:rsidRDefault="008F35D9" w:rsidP="008F35D9">
            <w:pPr>
              <w:spacing w:after="0"/>
            </w:pPr>
            <w:r w:rsidRPr="00A9538E">
              <w:t>Евратом</w:t>
            </w:r>
          </w:p>
        </w:tc>
        <w:tc>
          <w:tcPr>
            <w:tcW w:w="7586" w:type="dxa"/>
          </w:tcPr>
          <w:p w:rsidR="008F35D9" w:rsidRPr="00A9538E" w:rsidRDefault="008F35D9" w:rsidP="008F35D9">
            <w:pPr>
              <w:spacing w:after="0"/>
            </w:pPr>
            <w:r w:rsidRPr="00A9538E">
              <w:t>Европейска общност за атомна енергия</w:t>
            </w:r>
          </w:p>
        </w:tc>
      </w:tr>
      <w:tr w:rsidR="008F35D9" w:rsidRPr="005911B3" w:rsidTr="00626AC5">
        <w:trPr>
          <w:trHeight w:val="312"/>
          <w:jc w:val="center"/>
        </w:trPr>
        <w:tc>
          <w:tcPr>
            <w:tcW w:w="1638" w:type="dxa"/>
          </w:tcPr>
          <w:p w:rsidR="008F35D9" w:rsidRPr="00A9538E" w:rsidRDefault="008F35D9" w:rsidP="008F35D9">
            <w:pPr>
              <w:spacing w:after="0"/>
            </w:pPr>
            <w:r w:rsidRPr="00A9538E">
              <w:t>Евростат</w:t>
            </w:r>
          </w:p>
        </w:tc>
        <w:tc>
          <w:tcPr>
            <w:tcW w:w="7586" w:type="dxa"/>
          </w:tcPr>
          <w:p w:rsidR="008F35D9" w:rsidRPr="00A9538E" w:rsidRDefault="008F35D9" w:rsidP="008F35D9">
            <w:pPr>
              <w:spacing w:after="0"/>
            </w:pPr>
            <w:r w:rsidRPr="00A9538E">
              <w:t>Статистическа служба към Европейската комисия</w:t>
            </w:r>
          </w:p>
        </w:tc>
      </w:tr>
      <w:tr w:rsidR="008F35D9" w:rsidRPr="005911B3" w:rsidTr="00626AC5">
        <w:trPr>
          <w:trHeight w:val="312"/>
          <w:jc w:val="center"/>
        </w:trPr>
        <w:tc>
          <w:tcPr>
            <w:tcW w:w="1638" w:type="dxa"/>
          </w:tcPr>
          <w:p w:rsidR="008F35D9" w:rsidRPr="00A9538E" w:rsidRDefault="008F35D9" w:rsidP="008F35D9">
            <w:pPr>
              <w:spacing w:after="0"/>
            </w:pPr>
            <w:r w:rsidRPr="00A9538E">
              <w:t>ЕЗФРСР</w:t>
            </w:r>
          </w:p>
        </w:tc>
        <w:tc>
          <w:tcPr>
            <w:tcW w:w="7586" w:type="dxa"/>
          </w:tcPr>
          <w:p w:rsidR="008F35D9" w:rsidRPr="00A9538E" w:rsidRDefault="008F35D9" w:rsidP="008F35D9">
            <w:pPr>
              <w:spacing w:after="0"/>
            </w:pPr>
            <w:r w:rsidRPr="00A9538E">
              <w:t>Европейски земеделски фонд за развитие на селските райони</w:t>
            </w:r>
          </w:p>
        </w:tc>
      </w:tr>
      <w:tr w:rsidR="00B2738E" w:rsidRPr="005911B3" w:rsidTr="00626AC5">
        <w:trPr>
          <w:trHeight w:val="312"/>
          <w:jc w:val="center"/>
        </w:trPr>
        <w:tc>
          <w:tcPr>
            <w:tcW w:w="1638" w:type="dxa"/>
          </w:tcPr>
          <w:p w:rsidR="00B2738E" w:rsidRPr="00A9538E" w:rsidRDefault="00B2738E" w:rsidP="008F35D9">
            <w:pPr>
              <w:spacing w:after="0"/>
            </w:pPr>
            <w:r>
              <w:t>ЕИП</w:t>
            </w:r>
          </w:p>
        </w:tc>
        <w:tc>
          <w:tcPr>
            <w:tcW w:w="7586" w:type="dxa"/>
          </w:tcPr>
          <w:p w:rsidR="00B2738E" w:rsidRPr="00A9538E" w:rsidRDefault="00B2738E" w:rsidP="008F35D9">
            <w:pPr>
              <w:spacing w:after="0"/>
            </w:pPr>
            <w:r>
              <w:t>Европейско</w:t>
            </w:r>
            <w:r w:rsidRPr="00B2738E">
              <w:t xml:space="preserve"> икономическо пространство</w:t>
            </w:r>
          </w:p>
        </w:tc>
      </w:tr>
      <w:tr w:rsidR="008F35D9" w:rsidRPr="005911B3" w:rsidTr="00626AC5">
        <w:trPr>
          <w:trHeight w:val="312"/>
          <w:jc w:val="center"/>
        </w:trPr>
        <w:tc>
          <w:tcPr>
            <w:tcW w:w="1638" w:type="dxa"/>
          </w:tcPr>
          <w:p w:rsidR="008F35D9" w:rsidRPr="00A9538E" w:rsidRDefault="008F35D9" w:rsidP="008F35D9">
            <w:pPr>
              <w:spacing w:after="0"/>
            </w:pPr>
            <w:r w:rsidRPr="00A9538E">
              <w:t>ЕК</w:t>
            </w:r>
          </w:p>
        </w:tc>
        <w:tc>
          <w:tcPr>
            <w:tcW w:w="7586" w:type="dxa"/>
          </w:tcPr>
          <w:p w:rsidR="008F35D9" w:rsidRPr="00A9538E" w:rsidRDefault="008F35D9" w:rsidP="008F35D9">
            <w:pPr>
              <w:spacing w:after="0"/>
            </w:pPr>
            <w:r w:rsidRPr="00A9538E">
              <w:t>Европейска комисия</w:t>
            </w:r>
          </w:p>
        </w:tc>
      </w:tr>
      <w:tr w:rsidR="008F35D9" w:rsidRPr="005911B3" w:rsidTr="00626AC5">
        <w:trPr>
          <w:trHeight w:val="312"/>
          <w:jc w:val="center"/>
        </w:trPr>
        <w:tc>
          <w:tcPr>
            <w:tcW w:w="1638" w:type="dxa"/>
          </w:tcPr>
          <w:p w:rsidR="008F35D9" w:rsidRPr="00A9538E" w:rsidRDefault="008F35D9" w:rsidP="008F35D9">
            <w:pPr>
              <w:spacing w:after="0"/>
            </w:pPr>
            <w:r w:rsidRPr="00A9538E">
              <w:t>ЕООД</w:t>
            </w:r>
          </w:p>
        </w:tc>
        <w:tc>
          <w:tcPr>
            <w:tcW w:w="7586" w:type="dxa"/>
          </w:tcPr>
          <w:p w:rsidR="008F35D9" w:rsidRPr="00A9538E" w:rsidRDefault="008F35D9" w:rsidP="008F35D9">
            <w:pPr>
              <w:spacing w:after="0"/>
            </w:pPr>
            <w:r w:rsidRPr="00A9538E">
              <w:t>Еднолично дружество с ограничена отговорност</w:t>
            </w:r>
          </w:p>
        </w:tc>
      </w:tr>
      <w:tr w:rsidR="008F35D9" w:rsidRPr="005911B3" w:rsidTr="00626AC5">
        <w:trPr>
          <w:trHeight w:val="312"/>
          <w:jc w:val="center"/>
        </w:trPr>
        <w:tc>
          <w:tcPr>
            <w:tcW w:w="1638" w:type="dxa"/>
          </w:tcPr>
          <w:p w:rsidR="008F35D9" w:rsidRPr="00A9538E" w:rsidRDefault="008F35D9" w:rsidP="008F35D9">
            <w:pPr>
              <w:spacing w:after="0"/>
            </w:pPr>
            <w:r w:rsidRPr="00A9538E">
              <w:t>ЕО</w:t>
            </w:r>
          </w:p>
        </w:tc>
        <w:tc>
          <w:tcPr>
            <w:tcW w:w="7586" w:type="dxa"/>
          </w:tcPr>
          <w:p w:rsidR="008F35D9" w:rsidRPr="00A9538E" w:rsidRDefault="008F35D9" w:rsidP="008F35D9">
            <w:pPr>
              <w:spacing w:after="0"/>
            </w:pPr>
            <w:r w:rsidRPr="00A9538E">
              <w:t>Европейска общност</w:t>
            </w:r>
          </w:p>
        </w:tc>
      </w:tr>
      <w:tr w:rsidR="008F35D9" w:rsidRPr="005911B3" w:rsidTr="00626AC5">
        <w:trPr>
          <w:trHeight w:val="312"/>
          <w:jc w:val="center"/>
        </w:trPr>
        <w:tc>
          <w:tcPr>
            <w:tcW w:w="1638" w:type="dxa"/>
          </w:tcPr>
          <w:p w:rsidR="008F35D9" w:rsidRPr="00A9538E" w:rsidRDefault="008F35D9" w:rsidP="008F35D9">
            <w:pPr>
              <w:spacing w:after="0"/>
            </w:pPr>
            <w:r w:rsidRPr="00A9538E">
              <w:t>ЕС</w:t>
            </w:r>
          </w:p>
        </w:tc>
        <w:tc>
          <w:tcPr>
            <w:tcW w:w="7586" w:type="dxa"/>
          </w:tcPr>
          <w:p w:rsidR="008F35D9" w:rsidRPr="00A9538E" w:rsidRDefault="008F35D9" w:rsidP="008F35D9">
            <w:pPr>
              <w:spacing w:after="0"/>
            </w:pPr>
            <w:r w:rsidRPr="00A9538E">
              <w:t>Европейски съюз</w:t>
            </w:r>
          </w:p>
        </w:tc>
      </w:tr>
      <w:tr w:rsidR="008F35D9" w:rsidRPr="005911B3" w:rsidTr="00626AC5">
        <w:trPr>
          <w:trHeight w:val="312"/>
          <w:jc w:val="center"/>
        </w:trPr>
        <w:tc>
          <w:tcPr>
            <w:tcW w:w="1638" w:type="dxa"/>
          </w:tcPr>
          <w:p w:rsidR="008F35D9" w:rsidRPr="00A9538E" w:rsidRDefault="008F35D9" w:rsidP="008F35D9">
            <w:pPr>
              <w:spacing w:after="0"/>
            </w:pPr>
            <w:r w:rsidRPr="00A9538E">
              <w:t>ЕСИФ</w:t>
            </w:r>
          </w:p>
        </w:tc>
        <w:tc>
          <w:tcPr>
            <w:tcW w:w="7586" w:type="dxa"/>
          </w:tcPr>
          <w:p w:rsidR="008F35D9" w:rsidRPr="00A9538E" w:rsidRDefault="008F35D9" w:rsidP="008F35D9">
            <w:pPr>
              <w:spacing w:after="0"/>
            </w:pPr>
            <w:r w:rsidRPr="00A9538E">
              <w:t xml:space="preserve">Европейски структурни и инвестиционни фондове </w:t>
            </w:r>
          </w:p>
        </w:tc>
      </w:tr>
      <w:tr w:rsidR="008F35D9" w:rsidRPr="005911B3" w:rsidTr="00626AC5">
        <w:trPr>
          <w:trHeight w:val="312"/>
          <w:jc w:val="center"/>
        </w:trPr>
        <w:tc>
          <w:tcPr>
            <w:tcW w:w="1638" w:type="dxa"/>
          </w:tcPr>
          <w:p w:rsidR="008F35D9" w:rsidRPr="00A9538E" w:rsidRDefault="008F35D9" w:rsidP="008F35D9">
            <w:pPr>
              <w:spacing w:after="0"/>
            </w:pPr>
            <w:r w:rsidRPr="00A9538E">
              <w:t>ЕСС</w:t>
            </w:r>
          </w:p>
        </w:tc>
        <w:tc>
          <w:tcPr>
            <w:tcW w:w="7586" w:type="dxa"/>
          </w:tcPr>
          <w:p w:rsidR="008F35D9" w:rsidRPr="00A9538E" w:rsidRDefault="008F35D9" w:rsidP="008F35D9">
            <w:pPr>
              <w:spacing w:after="0"/>
            </w:pPr>
            <w:r w:rsidRPr="00A9538E">
              <w:t>Европейска система от сметки</w:t>
            </w:r>
          </w:p>
        </w:tc>
      </w:tr>
      <w:tr w:rsidR="008F35D9" w:rsidRPr="005911B3" w:rsidTr="00626AC5">
        <w:trPr>
          <w:trHeight w:val="312"/>
          <w:jc w:val="center"/>
        </w:trPr>
        <w:tc>
          <w:tcPr>
            <w:tcW w:w="1638" w:type="dxa"/>
          </w:tcPr>
          <w:p w:rsidR="008F35D9" w:rsidRPr="00A9538E" w:rsidRDefault="008F35D9" w:rsidP="008F35D9">
            <w:pPr>
              <w:spacing w:after="0"/>
            </w:pPr>
            <w:r w:rsidRPr="00A9538E">
              <w:t>ЕФР</w:t>
            </w:r>
          </w:p>
        </w:tc>
        <w:tc>
          <w:tcPr>
            <w:tcW w:w="7586" w:type="dxa"/>
          </w:tcPr>
          <w:p w:rsidR="008F35D9" w:rsidRPr="00A9538E" w:rsidRDefault="008F35D9" w:rsidP="008F35D9">
            <w:pPr>
              <w:spacing w:after="0"/>
            </w:pPr>
            <w:r w:rsidRPr="00A9538E">
              <w:t>Европейски фонд за рибарство</w:t>
            </w:r>
          </w:p>
        </w:tc>
      </w:tr>
      <w:tr w:rsidR="00B2738E" w:rsidRPr="005911B3" w:rsidTr="00626AC5">
        <w:trPr>
          <w:trHeight w:val="312"/>
          <w:jc w:val="center"/>
        </w:trPr>
        <w:tc>
          <w:tcPr>
            <w:tcW w:w="1638" w:type="dxa"/>
          </w:tcPr>
          <w:p w:rsidR="00B2738E" w:rsidRPr="00A9538E" w:rsidRDefault="00B2738E" w:rsidP="008F35D9">
            <w:pPr>
              <w:spacing w:after="0"/>
            </w:pPr>
            <w:r>
              <w:t>ЕЦБ</w:t>
            </w:r>
          </w:p>
        </w:tc>
        <w:tc>
          <w:tcPr>
            <w:tcW w:w="7586" w:type="dxa"/>
          </w:tcPr>
          <w:p w:rsidR="00B2738E" w:rsidRPr="00B2738E" w:rsidRDefault="00B2738E" w:rsidP="008F35D9">
            <w:pPr>
              <w:spacing w:after="0"/>
            </w:pPr>
            <w:r w:rsidRPr="00B2738E">
              <w:rPr>
                <w:bCs/>
              </w:rPr>
              <w:t>Европейска централна банка</w:t>
            </w:r>
          </w:p>
        </w:tc>
      </w:tr>
      <w:tr w:rsidR="008F35D9" w:rsidRPr="005911B3" w:rsidTr="00626AC5">
        <w:trPr>
          <w:trHeight w:val="312"/>
          <w:jc w:val="center"/>
        </w:trPr>
        <w:tc>
          <w:tcPr>
            <w:tcW w:w="1638" w:type="dxa"/>
          </w:tcPr>
          <w:p w:rsidR="008F35D9" w:rsidRPr="00A9538E" w:rsidRDefault="008F35D9" w:rsidP="008F35D9">
            <w:pPr>
              <w:spacing w:after="0"/>
            </w:pPr>
            <w:r w:rsidRPr="00A9538E">
              <w:t>ЗАДС</w:t>
            </w:r>
          </w:p>
        </w:tc>
        <w:tc>
          <w:tcPr>
            <w:tcW w:w="7586" w:type="dxa"/>
          </w:tcPr>
          <w:p w:rsidR="008F35D9" w:rsidRPr="00A9538E" w:rsidRDefault="008F35D9" w:rsidP="008F35D9">
            <w:pPr>
              <w:spacing w:after="0"/>
            </w:pPr>
            <w:r w:rsidRPr="00A9538E">
              <w:t>Закон за акцизите и данъчните складове</w:t>
            </w:r>
          </w:p>
        </w:tc>
      </w:tr>
      <w:tr w:rsidR="008F35D9" w:rsidRPr="005911B3" w:rsidTr="00626AC5">
        <w:trPr>
          <w:trHeight w:val="312"/>
          <w:jc w:val="center"/>
        </w:trPr>
        <w:tc>
          <w:tcPr>
            <w:tcW w:w="1638" w:type="dxa"/>
          </w:tcPr>
          <w:p w:rsidR="008F35D9" w:rsidRPr="00A9538E" w:rsidRDefault="008F35D9" w:rsidP="008F35D9">
            <w:pPr>
              <w:spacing w:after="0"/>
            </w:pPr>
            <w:r w:rsidRPr="00A9538E">
              <w:t>ЗДБРБ</w:t>
            </w:r>
          </w:p>
        </w:tc>
        <w:tc>
          <w:tcPr>
            <w:tcW w:w="7586" w:type="dxa"/>
          </w:tcPr>
          <w:p w:rsidR="008F35D9" w:rsidRPr="00A9538E" w:rsidRDefault="008F35D9" w:rsidP="008F35D9">
            <w:pPr>
              <w:spacing w:after="0"/>
            </w:pPr>
            <w:r w:rsidRPr="00A9538E">
              <w:t>Закон за държавния бюджет на Република България</w:t>
            </w:r>
          </w:p>
        </w:tc>
      </w:tr>
      <w:tr w:rsidR="008F35D9" w:rsidRPr="005911B3" w:rsidTr="00626AC5">
        <w:trPr>
          <w:trHeight w:val="312"/>
          <w:jc w:val="center"/>
        </w:trPr>
        <w:tc>
          <w:tcPr>
            <w:tcW w:w="1638" w:type="dxa"/>
          </w:tcPr>
          <w:p w:rsidR="008F35D9" w:rsidRPr="00A9538E" w:rsidRDefault="008F35D9" w:rsidP="008F35D9">
            <w:pPr>
              <w:spacing w:after="0"/>
            </w:pPr>
            <w:r w:rsidRPr="00A9538E">
              <w:t>ЗДДС</w:t>
            </w:r>
          </w:p>
        </w:tc>
        <w:tc>
          <w:tcPr>
            <w:tcW w:w="7586" w:type="dxa"/>
          </w:tcPr>
          <w:p w:rsidR="008F35D9" w:rsidRPr="00A9538E" w:rsidRDefault="008F35D9" w:rsidP="008F35D9">
            <w:pPr>
              <w:spacing w:after="0"/>
            </w:pPr>
            <w:r w:rsidRPr="00A9538E">
              <w:t>Закон за данък върху добавената стойност</w:t>
            </w:r>
          </w:p>
        </w:tc>
      </w:tr>
      <w:tr w:rsidR="008F35D9" w:rsidRPr="005911B3" w:rsidTr="00626AC5">
        <w:trPr>
          <w:trHeight w:val="312"/>
          <w:jc w:val="center"/>
        </w:trPr>
        <w:tc>
          <w:tcPr>
            <w:tcW w:w="1638" w:type="dxa"/>
          </w:tcPr>
          <w:p w:rsidR="008F35D9" w:rsidRPr="00A9538E" w:rsidRDefault="008F35D9" w:rsidP="008F35D9">
            <w:pPr>
              <w:spacing w:after="0"/>
            </w:pPr>
            <w:r w:rsidRPr="00A9538E">
              <w:t>ЗДДФЛ</w:t>
            </w:r>
          </w:p>
        </w:tc>
        <w:tc>
          <w:tcPr>
            <w:tcW w:w="7586" w:type="dxa"/>
          </w:tcPr>
          <w:p w:rsidR="008F35D9" w:rsidRPr="00A9538E" w:rsidRDefault="008F35D9" w:rsidP="008F35D9">
            <w:pPr>
              <w:spacing w:after="0"/>
            </w:pPr>
            <w:r w:rsidRPr="00A9538E">
              <w:t>Закон за данъците върху доходите на физическите лица</w:t>
            </w:r>
          </w:p>
        </w:tc>
      </w:tr>
      <w:tr w:rsidR="008F35D9" w:rsidRPr="005911B3" w:rsidTr="00626AC5">
        <w:trPr>
          <w:trHeight w:val="312"/>
          <w:jc w:val="center"/>
        </w:trPr>
        <w:tc>
          <w:tcPr>
            <w:tcW w:w="1638" w:type="dxa"/>
          </w:tcPr>
          <w:p w:rsidR="008F35D9" w:rsidRPr="00A9538E" w:rsidRDefault="008F35D9" w:rsidP="008F35D9">
            <w:pPr>
              <w:spacing w:after="0"/>
            </w:pPr>
            <w:r w:rsidRPr="00A9538E">
              <w:t>ЗЕЗ</w:t>
            </w:r>
          </w:p>
        </w:tc>
        <w:tc>
          <w:tcPr>
            <w:tcW w:w="7586" w:type="dxa"/>
          </w:tcPr>
          <w:p w:rsidR="008F35D9" w:rsidRPr="00A9538E" w:rsidRDefault="008F35D9" w:rsidP="008F35D9">
            <w:pPr>
              <w:spacing w:after="0"/>
            </w:pPr>
            <w:r w:rsidRPr="00A9538E">
              <w:t>Закон за експортното застраховане</w:t>
            </w:r>
          </w:p>
        </w:tc>
      </w:tr>
      <w:tr w:rsidR="008F35D9" w:rsidRPr="005911B3" w:rsidTr="00626AC5">
        <w:trPr>
          <w:trHeight w:val="312"/>
          <w:jc w:val="center"/>
        </w:trPr>
        <w:tc>
          <w:tcPr>
            <w:tcW w:w="1638" w:type="dxa"/>
          </w:tcPr>
          <w:p w:rsidR="008F35D9" w:rsidRPr="00A9538E" w:rsidRDefault="008F35D9" w:rsidP="008F35D9">
            <w:pPr>
              <w:spacing w:after="0"/>
            </w:pPr>
            <w:r w:rsidRPr="00A9538E">
              <w:t>ЗКПО</w:t>
            </w:r>
          </w:p>
        </w:tc>
        <w:tc>
          <w:tcPr>
            <w:tcW w:w="7586" w:type="dxa"/>
          </w:tcPr>
          <w:p w:rsidR="008F35D9" w:rsidRPr="00A9538E" w:rsidRDefault="008F35D9" w:rsidP="008F35D9">
            <w:pPr>
              <w:spacing w:after="0"/>
            </w:pPr>
            <w:r w:rsidRPr="00A9538E">
              <w:t>Закон за корпоративното подоходно облагане</w:t>
            </w:r>
          </w:p>
        </w:tc>
      </w:tr>
      <w:tr w:rsidR="009C3FC4" w:rsidRPr="005911B3" w:rsidTr="00626AC5">
        <w:trPr>
          <w:trHeight w:val="312"/>
          <w:jc w:val="center"/>
        </w:trPr>
        <w:tc>
          <w:tcPr>
            <w:tcW w:w="1638" w:type="dxa"/>
          </w:tcPr>
          <w:p w:rsidR="009C3FC4" w:rsidRDefault="009C3FC4" w:rsidP="008F35D9">
            <w:pPr>
              <w:spacing w:after="0"/>
            </w:pPr>
            <w:r>
              <w:t>ЗМ</w:t>
            </w:r>
          </w:p>
        </w:tc>
        <w:tc>
          <w:tcPr>
            <w:tcW w:w="7586" w:type="dxa"/>
          </w:tcPr>
          <w:p w:rsidR="009C3FC4" w:rsidRDefault="009C3FC4" w:rsidP="008F35D9">
            <w:pPr>
              <w:spacing w:after="0"/>
            </w:pPr>
            <w:r>
              <w:t>Закон за митниците</w:t>
            </w:r>
          </w:p>
        </w:tc>
      </w:tr>
      <w:tr w:rsidR="0095786A" w:rsidRPr="005911B3" w:rsidTr="00626AC5">
        <w:trPr>
          <w:trHeight w:val="312"/>
          <w:jc w:val="center"/>
        </w:trPr>
        <w:tc>
          <w:tcPr>
            <w:tcW w:w="1638" w:type="dxa"/>
          </w:tcPr>
          <w:p w:rsidR="0095786A" w:rsidRPr="00A9538E" w:rsidRDefault="0095786A" w:rsidP="008F35D9">
            <w:pPr>
              <w:spacing w:after="0"/>
            </w:pPr>
            <w:r>
              <w:t>ЗМДТ</w:t>
            </w:r>
          </w:p>
        </w:tc>
        <w:tc>
          <w:tcPr>
            <w:tcW w:w="7586" w:type="dxa"/>
          </w:tcPr>
          <w:p w:rsidR="0095786A" w:rsidRPr="00A9538E" w:rsidRDefault="0095786A" w:rsidP="008F35D9">
            <w:pPr>
              <w:spacing w:after="0"/>
            </w:pPr>
            <w:r>
              <w:t>Закон за местните данъци и такси</w:t>
            </w:r>
          </w:p>
        </w:tc>
      </w:tr>
      <w:tr w:rsidR="00D235BF" w:rsidRPr="005911B3" w:rsidTr="00626AC5">
        <w:trPr>
          <w:trHeight w:val="312"/>
          <w:jc w:val="center"/>
        </w:trPr>
        <w:tc>
          <w:tcPr>
            <w:tcW w:w="1638" w:type="dxa"/>
          </w:tcPr>
          <w:p w:rsidR="00D235BF" w:rsidRPr="00A9538E" w:rsidRDefault="00D235BF" w:rsidP="008F35D9">
            <w:pPr>
              <w:spacing w:after="0"/>
            </w:pPr>
            <w:r>
              <w:t>ЗМФ</w:t>
            </w:r>
          </w:p>
        </w:tc>
        <w:tc>
          <w:tcPr>
            <w:tcW w:w="7586" w:type="dxa"/>
          </w:tcPr>
          <w:p w:rsidR="00D235BF" w:rsidRPr="00A9538E" w:rsidRDefault="00D235BF" w:rsidP="008F35D9">
            <w:pPr>
              <w:spacing w:after="0"/>
            </w:pPr>
            <w:r>
              <w:t>Заповед на министъра на финансите</w:t>
            </w:r>
          </w:p>
        </w:tc>
      </w:tr>
      <w:tr w:rsidR="008F35D9" w:rsidRPr="005911B3" w:rsidTr="00626AC5">
        <w:trPr>
          <w:trHeight w:val="312"/>
          <w:jc w:val="center"/>
        </w:trPr>
        <w:tc>
          <w:tcPr>
            <w:tcW w:w="1638" w:type="dxa"/>
          </w:tcPr>
          <w:p w:rsidR="008F35D9" w:rsidRPr="00A9538E" w:rsidRDefault="008F35D9" w:rsidP="008F35D9">
            <w:pPr>
              <w:spacing w:after="0"/>
            </w:pPr>
            <w:r w:rsidRPr="00A9538E">
              <w:t>ЗПФ</w:t>
            </w:r>
          </w:p>
        </w:tc>
        <w:tc>
          <w:tcPr>
            <w:tcW w:w="7586" w:type="dxa"/>
          </w:tcPr>
          <w:p w:rsidR="008F35D9" w:rsidRPr="00A9538E" w:rsidRDefault="008F35D9" w:rsidP="008F35D9">
            <w:pPr>
              <w:spacing w:after="0"/>
            </w:pPr>
            <w:r w:rsidRPr="00A9538E">
              <w:t>Закон за публичните финанси</w:t>
            </w:r>
          </w:p>
        </w:tc>
      </w:tr>
      <w:tr w:rsidR="008F35D9" w:rsidRPr="005911B3" w:rsidTr="00626AC5">
        <w:trPr>
          <w:trHeight w:val="312"/>
          <w:jc w:val="center"/>
        </w:trPr>
        <w:tc>
          <w:tcPr>
            <w:tcW w:w="1638" w:type="dxa"/>
          </w:tcPr>
          <w:p w:rsidR="008F35D9" w:rsidRPr="00A9538E" w:rsidRDefault="008F35D9" w:rsidP="008F35D9">
            <w:pPr>
              <w:spacing w:after="0"/>
            </w:pPr>
            <w:r w:rsidRPr="00A9538E">
              <w:t>ИКТ</w:t>
            </w:r>
          </w:p>
        </w:tc>
        <w:tc>
          <w:tcPr>
            <w:tcW w:w="7586" w:type="dxa"/>
          </w:tcPr>
          <w:p w:rsidR="008F35D9" w:rsidRPr="00A9538E" w:rsidRDefault="008F35D9" w:rsidP="008F35D9">
            <w:pPr>
              <w:spacing w:after="0"/>
            </w:pPr>
            <w:r w:rsidRPr="00A9538E">
              <w:t>Информационни и комуникационни технологии</w:t>
            </w:r>
          </w:p>
        </w:tc>
      </w:tr>
      <w:tr w:rsidR="008F35D9" w:rsidRPr="005911B3" w:rsidTr="00626AC5">
        <w:trPr>
          <w:trHeight w:val="312"/>
          <w:jc w:val="center"/>
        </w:trPr>
        <w:tc>
          <w:tcPr>
            <w:tcW w:w="1638" w:type="dxa"/>
          </w:tcPr>
          <w:p w:rsidR="008F35D9" w:rsidRPr="00A9538E" w:rsidRDefault="008F35D9" w:rsidP="008F35D9">
            <w:pPr>
              <w:spacing w:after="0"/>
            </w:pPr>
            <w:r w:rsidRPr="00A9538E">
              <w:t>ИПП</w:t>
            </w:r>
          </w:p>
        </w:tc>
        <w:tc>
          <w:tcPr>
            <w:tcW w:w="7586" w:type="dxa"/>
          </w:tcPr>
          <w:p w:rsidR="008F35D9" w:rsidRPr="00A9538E" w:rsidRDefault="008F35D9" w:rsidP="008F35D9">
            <w:pPr>
              <w:spacing w:after="0"/>
            </w:pPr>
            <w:r w:rsidRPr="00A9538E">
              <w:t xml:space="preserve">Инструмент за предприсъединителна помощ </w:t>
            </w:r>
          </w:p>
        </w:tc>
      </w:tr>
      <w:tr w:rsidR="00AF7C18" w:rsidRPr="005911B3" w:rsidTr="00626AC5">
        <w:trPr>
          <w:trHeight w:val="312"/>
          <w:jc w:val="center"/>
        </w:trPr>
        <w:tc>
          <w:tcPr>
            <w:tcW w:w="1638" w:type="dxa"/>
          </w:tcPr>
          <w:p w:rsidR="00AF7C18" w:rsidRPr="00A9538E" w:rsidRDefault="00AF7C18" w:rsidP="008F35D9">
            <w:pPr>
              <w:spacing w:after="0"/>
            </w:pPr>
            <w:r>
              <w:t>КЕВР</w:t>
            </w:r>
          </w:p>
        </w:tc>
        <w:tc>
          <w:tcPr>
            <w:tcW w:w="7586" w:type="dxa"/>
          </w:tcPr>
          <w:p w:rsidR="00AF7C18" w:rsidRPr="00A9538E" w:rsidRDefault="00AF7C18" w:rsidP="008F35D9">
            <w:pPr>
              <w:spacing w:after="0"/>
            </w:pPr>
            <w:r w:rsidRPr="00AF7C18">
              <w:t>Комисия за енергийно и водно регулиране</w:t>
            </w:r>
          </w:p>
        </w:tc>
      </w:tr>
      <w:tr w:rsidR="006874F5" w:rsidRPr="005911B3" w:rsidTr="00626AC5">
        <w:trPr>
          <w:trHeight w:val="312"/>
          <w:jc w:val="center"/>
        </w:trPr>
        <w:tc>
          <w:tcPr>
            <w:tcW w:w="1638" w:type="dxa"/>
          </w:tcPr>
          <w:p w:rsidR="006874F5" w:rsidRPr="00A9538E" w:rsidRDefault="006874F5" w:rsidP="008F35D9">
            <w:pPr>
              <w:spacing w:after="0"/>
            </w:pPr>
            <w:r>
              <w:t>КЗК</w:t>
            </w:r>
          </w:p>
        </w:tc>
        <w:tc>
          <w:tcPr>
            <w:tcW w:w="7586" w:type="dxa"/>
          </w:tcPr>
          <w:p w:rsidR="006874F5" w:rsidRPr="00A9538E" w:rsidRDefault="006874F5" w:rsidP="008F35D9">
            <w:pPr>
              <w:spacing w:after="0"/>
            </w:pPr>
            <w:r>
              <w:t>Комисия за защита на конкуренцията</w:t>
            </w:r>
          </w:p>
        </w:tc>
      </w:tr>
      <w:tr w:rsidR="008F35D9" w:rsidRPr="005911B3" w:rsidTr="00626AC5">
        <w:trPr>
          <w:trHeight w:val="312"/>
          <w:jc w:val="center"/>
        </w:trPr>
        <w:tc>
          <w:tcPr>
            <w:tcW w:w="1638" w:type="dxa"/>
          </w:tcPr>
          <w:p w:rsidR="008F35D9" w:rsidRPr="00A9538E" w:rsidRDefault="008F35D9" w:rsidP="008F35D9">
            <w:pPr>
              <w:spacing w:after="0"/>
            </w:pPr>
            <w:r w:rsidRPr="00A9538E">
              <w:t>КСО</w:t>
            </w:r>
          </w:p>
        </w:tc>
        <w:tc>
          <w:tcPr>
            <w:tcW w:w="7586" w:type="dxa"/>
          </w:tcPr>
          <w:p w:rsidR="008F35D9" w:rsidRPr="00A9538E" w:rsidRDefault="008F35D9" w:rsidP="008F35D9">
            <w:pPr>
              <w:spacing w:after="0"/>
            </w:pPr>
            <w:r w:rsidRPr="00A9538E">
              <w:t>Кодекс за социално осигуряване</w:t>
            </w:r>
          </w:p>
        </w:tc>
      </w:tr>
      <w:tr w:rsidR="008F35D9" w:rsidRPr="005911B3" w:rsidTr="00626AC5">
        <w:trPr>
          <w:trHeight w:val="312"/>
          <w:jc w:val="center"/>
        </w:trPr>
        <w:tc>
          <w:tcPr>
            <w:tcW w:w="1638" w:type="dxa"/>
          </w:tcPr>
          <w:p w:rsidR="008F35D9" w:rsidRPr="00A9538E" w:rsidRDefault="008F35D9" w:rsidP="008F35D9">
            <w:pPr>
              <w:spacing w:after="0"/>
            </w:pPr>
            <w:r w:rsidRPr="00A9538E">
              <w:t>КФП</w:t>
            </w:r>
          </w:p>
        </w:tc>
        <w:tc>
          <w:tcPr>
            <w:tcW w:w="7586" w:type="dxa"/>
          </w:tcPr>
          <w:p w:rsidR="008F35D9" w:rsidRPr="00A9538E" w:rsidRDefault="008F35D9" w:rsidP="008F35D9">
            <w:pPr>
              <w:spacing w:after="0"/>
            </w:pPr>
            <w:r w:rsidRPr="00A9538E">
              <w:t>Консолидирана фискална програма</w:t>
            </w:r>
          </w:p>
        </w:tc>
      </w:tr>
      <w:tr w:rsidR="008F35D9" w:rsidRPr="005911B3" w:rsidTr="00626AC5">
        <w:trPr>
          <w:trHeight w:val="312"/>
          <w:jc w:val="center"/>
        </w:trPr>
        <w:tc>
          <w:tcPr>
            <w:tcW w:w="1638" w:type="dxa"/>
          </w:tcPr>
          <w:p w:rsidR="008F35D9" w:rsidRPr="00A9538E" w:rsidRDefault="008F35D9" w:rsidP="008F35D9">
            <w:pPr>
              <w:spacing w:after="0"/>
            </w:pPr>
            <w:r w:rsidRPr="00A9538E">
              <w:t>МВР</w:t>
            </w:r>
          </w:p>
        </w:tc>
        <w:tc>
          <w:tcPr>
            <w:tcW w:w="7586" w:type="dxa"/>
          </w:tcPr>
          <w:p w:rsidR="008F35D9" w:rsidRPr="00A9538E" w:rsidRDefault="008F35D9" w:rsidP="008F35D9">
            <w:pPr>
              <w:spacing w:after="0"/>
            </w:pPr>
            <w:r w:rsidRPr="00A9538E">
              <w:t>Министерство на вътрешните работи</w:t>
            </w:r>
          </w:p>
        </w:tc>
      </w:tr>
      <w:tr w:rsidR="002B34C5" w:rsidRPr="005911B3" w:rsidTr="00626AC5">
        <w:trPr>
          <w:trHeight w:val="312"/>
          <w:jc w:val="center"/>
        </w:trPr>
        <w:tc>
          <w:tcPr>
            <w:tcW w:w="1638" w:type="dxa"/>
          </w:tcPr>
          <w:p w:rsidR="002B34C5" w:rsidRPr="00A9538E" w:rsidRDefault="002B34C5" w:rsidP="008F35D9">
            <w:pPr>
              <w:spacing w:after="0"/>
            </w:pPr>
            <w:r>
              <w:t>МВ</w:t>
            </w:r>
            <w:r w:rsidR="001A77FE">
              <w:t>н</w:t>
            </w:r>
            <w:r>
              <w:t>Р</w:t>
            </w:r>
          </w:p>
        </w:tc>
        <w:tc>
          <w:tcPr>
            <w:tcW w:w="7586" w:type="dxa"/>
          </w:tcPr>
          <w:p w:rsidR="002B34C5" w:rsidRPr="00A9538E" w:rsidRDefault="002B34C5" w:rsidP="008F35D9">
            <w:pPr>
              <w:spacing w:after="0"/>
            </w:pPr>
            <w:r>
              <w:t>Министерство на външните работи</w:t>
            </w:r>
          </w:p>
        </w:tc>
      </w:tr>
      <w:tr w:rsidR="008F35D9" w:rsidRPr="005911B3" w:rsidTr="00626AC5">
        <w:trPr>
          <w:trHeight w:val="312"/>
          <w:jc w:val="center"/>
        </w:trPr>
        <w:tc>
          <w:tcPr>
            <w:tcW w:w="1638" w:type="dxa"/>
          </w:tcPr>
          <w:p w:rsidR="008F35D9" w:rsidRPr="00A9538E" w:rsidRDefault="008F35D9" w:rsidP="008F35D9">
            <w:pPr>
              <w:spacing w:after="0"/>
            </w:pPr>
            <w:r w:rsidRPr="00A9538E">
              <w:t>МВФ</w:t>
            </w:r>
          </w:p>
        </w:tc>
        <w:tc>
          <w:tcPr>
            <w:tcW w:w="7586" w:type="dxa"/>
          </w:tcPr>
          <w:p w:rsidR="008F35D9" w:rsidRPr="00A9538E" w:rsidRDefault="008F35D9" w:rsidP="008F35D9">
            <w:pPr>
              <w:spacing w:after="0"/>
            </w:pPr>
            <w:r w:rsidRPr="00A9538E">
              <w:t>Международен валутен фонд</w:t>
            </w:r>
          </w:p>
        </w:tc>
      </w:tr>
      <w:tr w:rsidR="002B34C5" w:rsidRPr="005911B3" w:rsidTr="00626AC5">
        <w:trPr>
          <w:trHeight w:val="312"/>
          <w:jc w:val="center"/>
        </w:trPr>
        <w:tc>
          <w:tcPr>
            <w:tcW w:w="1638" w:type="dxa"/>
          </w:tcPr>
          <w:p w:rsidR="002B34C5" w:rsidRDefault="002B34C5" w:rsidP="008F35D9">
            <w:pPr>
              <w:spacing w:after="0"/>
            </w:pPr>
            <w:r>
              <w:t>МЗ</w:t>
            </w:r>
          </w:p>
        </w:tc>
        <w:tc>
          <w:tcPr>
            <w:tcW w:w="7586" w:type="dxa"/>
          </w:tcPr>
          <w:p w:rsidR="002B34C5" w:rsidRDefault="002B34C5" w:rsidP="008F35D9">
            <w:pPr>
              <w:spacing w:after="0"/>
            </w:pPr>
            <w:r>
              <w:t>Министерство на здравеопазването</w:t>
            </w:r>
          </w:p>
        </w:tc>
      </w:tr>
      <w:tr w:rsidR="004D7CB8" w:rsidRPr="005911B3" w:rsidTr="00626AC5">
        <w:trPr>
          <w:trHeight w:val="312"/>
          <w:jc w:val="center"/>
        </w:trPr>
        <w:tc>
          <w:tcPr>
            <w:tcW w:w="1638" w:type="dxa"/>
          </w:tcPr>
          <w:p w:rsidR="004D7CB8" w:rsidRDefault="004D7CB8" w:rsidP="008F35D9">
            <w:pPr>
              <w:spacing w:after="0"/>
            </w:pPr>
            <w:r>
              <w:t>МЗХГ</w:t>
            </w:r>
          </w:p>
        </w:tc>
        <w:tc>
          <w:tcPr>
            <w:tcW w:w="7586" w:type="dxa"/>
          </w:tcPr>
          <w:p w:rsidR="004D7CB8" w:rsidRDefault="004D7CB8" w:rsidP="004D7CB8">
            <w:pPr>
              <w:spacing w:after="0"/>
            </w:pPr>
            <w:r w:rsidRPr="004D7CB8">
              <w:t>Министерство н</w:t>
            </w:r>
            <w:r>
              <w:t>а земеделието, храните и горите</w:t>
            </w:r>
          </w:p>
        </w:tc>
      </w:tr>
      <w:tr w:rsidR="002B34C5" w:rsidRPr="005911B3" w:rsidTr="00626AC5">
        <w:trPr>
          <w:trHeight w:val="312"/>
          <w:jc w:val="center"/>
        </w:trPr>
        <w:tc>
          <w:tcPr>
            <w:tcW w:w="1638" w:type="dxa"/>
          </w:tcPr>
          <w:p w:rsidR="002B34C5" w:rsidRDefault="002B34C5" w:rsidP="008F35D9">
            <w:pPr>
              <w:spacing w:after="0"/>
            </w:pPr>
            <w:r>
              <w:t>МИ</w:t>
            </w:r>
          </w:p>
        </w:tc>
        <w:tc>
          <w:tcPr>
            <w:tcW w:w="7586" w:type="dxa"/>
          </w:tcPr>
          <w:p w:rsidR="002B34C5" w:rsidRDefault="002B34C5" w:rsidP="008F35D9">
            <w:pPr>
              <w:spacing w:after="0"/>
            </w:pPr>
            <w:r>
              <w:t>Министерство на икономиката</w:t>
            </w:r>
          </w:p>
        </w:tc>
      </w:tr>
      <w:tr w:rsidR="002959CD" w:rsidRPr="005911B3" w:rsidTr="00626AC5">
        <w:trPr>
          <w:trHeight w:val="312"/>
          <w:jc w:val="center"/>
        </w:trPr>
        <w:tc>
          <w:tcPr>
            <w:tcW w:w="1638" w:type="dxa"/>
          </w:tcPr>
          <w:p w:rsidR="002959CD" w:rsidRPr="00A9538E" w:rsidRDefault="002959CD" w:rsidP="008F35D9">
            <w:pPr>
              <w:spacing w:after="0"/>
            </w:pPr>
            <w:r>
              <w:t>МКП</w:t>
            </w:r>
          </w:p>
        </w:tc>
        <w:tc>
          <w:tcPr>
            <w:tcW w:w="7586" w:type="dxa"/>
          </w:tcPr>
          <w:p w:rsidR="002959CD" w:rsidRPr="00A9538E" w:rsidRDefault="002959CD" w:rsidP="008F35D9">
            <w:pPr>
              <w:spacing w:after="0"/>
            </w:pPr>
            <w:r>
              <w:t>Международни капиталови пазари</w:t>
            </w:r>
          </w:p>
        </w:tc>
      </w:tr>
      <w:tr w:rsidR="00361AB1" w:rsidRPr="005911B3" w:rsidTr="00626AC5">
        <w:trPr>
          <w:trHeight w:val="312"/>
          <w:jc w:val="center"/>
        </w:trPr>
        <w:tc>
          <w:tcPr>
            <w:tcW w:w="1638" w:type="dxa"/>
          </w:tcPr>
          <w:p w:rsidR="00361AB1" w:rsidRDefault="00361AB1" w:rsidP="008F35D9">
            <w:pPr>
              <w:spacing w:after="0"/>
            </w:pPr>
            <w:r>
              <w:t>ММС</w:t>
            </w:r>
          </w:p>
        </w:tc>
        <w:tc>
          <w:tcPr>
            <w:tcW w:w="7586" w:type="dxa"/>
          </w:tcPr>
          <w:p w:rsidR="00361AB1" w:rsidRPr="00361AB1" w:rsidRDefault="00361AB1" w:rsidP="008F35D9">
            <w:pPr>
              <w:spacing w:after="0"/>
            </w:pPr>
            <w:r w:rsidRPr="00361AB1">
              <w:rPr>
                <w:bCs/>
              </w:rPr>
              <w:t>Министерство на младежта и спорта</w:t>
            </w:r>
          </w:p>
        </w:tc>
      </w:tr>
      <w:tr w:rsidR="002B34C5" w:rsidRPr="005911B3" w:rsidTr="00626AC5">
        <w:trPr>
          <w:trHeight w:val="312"/>
          <w:jc w:val="center"/>
        </w:trPr>
        <w:tc>
          <w:tcPr>
            <w:tcW w:w="1638" w:type="dxa"/>
          </w:tcPr>
          <w:p w:rsidR="002B34C5" w:rsidRDefault="002B34C5" w:rsidP="008F35D9">
            <w:pPr>
              <w:spacing w:after="0"/>
            </w:pPr>
            <w:r>
              <w:t>МОН</w:t>
            </w:r>
          </w:p>
        </w:tc>
        <w:tc>
          <w:tcPr>
            <w:tcW w:w="7586" w:type="dxa"/>
          </w:tcPr>
          <w:p w:rsidR="002B34C5" w:rsidRDefault="002B34C5" w:rsidP="008F35D9">
            <w:pPr>
              <w:spacing w:after="0"/>
            </w:pPr>
            <w:r>
              <w:t>Министерство</w:t>
            </w:r>
            <w:r w:rsidRPr="002B34C5">
              <w:t xml:space="preserve"> на образованието и науката</w:t>
            </w:r>
          </w:p>
        </w:tc>
      </w:tr>
      <w:tr w:rsidR="00B2738E" w:rsidRPr="005911B3" w:rsidTr="00626AC5">
        <w:trPr>
          <w:trHeight w:val="312"/>
          <w:jc w:val="center"/>
        </w:trPr>
        <w:tc>
          <w:tcPr>
            <w:tcW w:w="1638" w:type="dxa"/>
          </w:tcPr>
          <w:p w:rsidR="00B2738E" w:rsidRPr="00A9538E" w:rsidRDefault="00B2738E" w:rsidP="008F35D9">
            <w:pPr>
              <w:spacing w:after="0"/>
            </w:pPr>
            <w:r>
              <w:t>МП</w:t>
            </w:r>
          </w:p>
        </w:tc>
        <w:tc>
          <w:tcPr>
            <w:tcW w:w="7586" w:type="dxa"/>
          </w:tcPr>
          <w:p w:rsidR="00B2738E" w:rsidRPr="00A9538E" w:rsidRDefault="00B2738E" w:rsidP="008F35D9">
            <w:pPr>
              <w:spacing w:after="0"/>
            </w:pPr>
            <w:r>
              <w:t>Министерство на правосъдието</w:t>
            </w:r>
          </w:p>
        </w:tc>
      </w:tr>
      <w:tr w:rsidR="008F35D9" w:rsidRPr="005911B3" w:rsidTr="00626AC5">
        <w:trPr>
          <w:trHeight w:val="312"/>
          <w:jc w:val="center"/>
        </w:trPr>
        <w:tc>
          <w:tcPr>
            <w:tcW w:w="1638" w:type="dxa"/>
          </w:tcPr>
          <w:p w:rsidR="008F35D9" w:rsidRPr="00A9538E" w:rsidRDefault="008F35D9" w:rsidP="008F35D9">
            <w:pPr>
              <w:spacing w:after="0"/>
            </w:pPr>
            <w:r w:rsidRPr="00A9538E">
              <w:t>МРЗ</w:t>
            </w:r>
          </w:p>
        </w:tc>
        <w:tc>
          <w:tcPr>
            <w:tcW w:w="7586" w:type="dxa"/>
          </w:tcPr>
          <w:p w:rsidR="008F35D9" w:rsidRPr="00A9538E" w:rsidRDefault="008F35D9" w:rsidP="008F35D9">
            <w:pPr>
              <w:spacing w:after="0"/>
            </w:pPr>
            <w:r w:rsidRPr="00A9538E">
              <w:t>Минимална работна заплата</w:t>
            </w:r>
          </w:p>
        </w:tc>
      </w:tr>
      <w:tr w:rsidR="002B34C5" w:rsidRPr="005911B3" w:rsidTr="00626AC5">
        <w:trPr>
          <w:trHeight w:val="312"/>
          <w:jc w:val="center"/>
        </w:trPr>
        <w:tc>
          <w:tcPr>
            <w:tcW w:w="1638" w:type="dxa"/>
          </w:tcPr>
          <w:p w:rsidR="002B34C5" w:rsidRPr="00A9538E" w:rsidRDefault="002B34C5" w:rsidP="008F35D9">
            <w:pPr>
              <w:spacing w:after="0"/>
            </w:pPr>
            <w:r>
              <w:t>МРРБ</w:t>
            </w:r>
          </w:p>
        </w:tc>
        <w:tc>
          <w:tcPr>
            <w:tcW w:w="7586" w:type="dxa"/>
          </w:tcPr>
          <w:p w:rsidR="002B34C5" w:rsidRPr="00A9538E" w:rsidRDefault="002B34C5" w:rsidP="008F35D9">
            <w:pPr>
              <w:spacing w:after="0"/>
            </w:pPr>
            <w:r>
              <w:t>Министерство</w:t>
            </w:r>
            <w:r w:rsidRPr="002B34C5">
              <w:t xml:space="preserve"> на регионалното развитие и благоустройството</w:t>
            </w:r>
          </w:p>
        </w:tc>
      </w:tr>
      <w:tr w:rsidR="008F35D9" w:rsidRPr="005911B3" w:rsidTr="00626AC5">
        <w:trPr>
          <w:trHeight w:val="312"/>
          <w:jc w:val="center"/>
        </w:trPr>
        <w:tc>
          <w:tcPr>
            <w:tcW w:w="1638" w:type="dxa"/>
          </w:tcPr>
          <w:p w:rsidR="008F35D9" w:rsidRPr="00A9538E" w:rsidRDefault="008F35D9" w:rsidP="008F35D9">
            <w:pPr>
              <w:spacing w:after="0"/>
            </w:pPr>
            <w:r w:rsidRPr="00A9538E">
              <w:t>МС</w:t>
            </w:r>
          </w:p>
        </w:tc>
        <w:tc>
          <w:tcPr>
            <w:tcW w:w="7586" w:type="dxa"/>
          </w:tcPr>
          <w:p w:rsidR="008F35D9" w:rsidRPr="00A9538E" w:rsidRDefault="008F35D9" w:rsidP="008F35D9">
            <w:pPr>
              <w:spacing w:after="0"/>
            </w:pPr>
            <w:r w:rsidRPr="00A9538E">
              <w:t>Министерски съвет</w:t>
            </w:r>
          </w:p>
        </w:tc>
      </w:tr>
      <w:tr w:rsidR="00585478" w:rsidRPr="005911B3" w:rsidTr="00626AC5">
        <w:trPr>
          <w:trHeight w:val="312"/>
          <w:jc w:val="center"/>
        </w:trPr>
        <w:tc>
          <w:tcPr>
            <w:tcW w:w="1638" w:type="dxa"/>
          </w:tcPr>
          <w:p w:rsidR="00585478" w:rsidRPr="00A9538E" w:rsidRDefault="00585478" w:rsidP="008F35D9">
            <w:pPr>
              <w:spacing w:after="0"/>
            </w:pPr>
            <w:r>
              <w:t>МСК</w:t>
            </w:r>
          </w:p>
        </w:tc>
        <w:tc>
          <w:tcPr>
            <w:tcW w:w="7586" w:type="dxa"/>
          </w:tcPr>
          <w:p w:rsidR="00585478" w:rsidRPr="00585478" w:rsidRDefault="00585478" w:rsidP="008F35D9">
            <w:pPr>
              <w:spacing w:after="0"/>
              <w:jc w:val="left"/>
            </w:pPr>
            <w:r w:rsidRPr="00585478">
              <w:rPr>
                <w:bCs/>
              </w:rPr>
              <w:t>Международен спортен календар</w:t>
            </w:r>
          </w:p>
        </w:tc>
      </w:tr>
      <w:tr w:rsidR="008F483C" w:rsidRPr="005911B3" w:rsidTr="00626AC5">
        <w:trPr>
          <w:trHeight w:val="312"/>
          <w:jc w:val="center"/>
        </w:trPr>
        <w:tc>
          <w:tcPr>
            <w:tcW w:w="1638" w:type="dxa"/>
          </w:tcPr>
          <w:p w:rsidR="008F483C" w:rsidRPr="00A9538E" w:rsidRDefault="008F483C" w:rsidP="008F35D9">
            <w:pPr>
              <w:spacing w:after="0"/>
            </w:pPr>
            <w:r w:rsidRPr="008F483C">
              <w:t>МСП</w:t>
            </w:r>
          </w:p>
        </w:tc>
        <w:tc>
          <w:tcPr>
            <w:tcW w:w="7586" w:type="dxa"/>
          </w:tcPr>
          <w:p w:rsidR="008F483C" w:rsidRPr="00A9538E" w:rsidRDefault="008F483C" w:rsidP="008F35D9">
            <w:pPr>
              <w:spacing w:after="0"/>
              <w:jc w:val="left"/>
            </w:pPr>
            <w:r>
              <w:t>Малки и средни</w:t>
            </w:r>
            <w:r w:rsidRPr="008F483C">
              <w:t xml:space="preserve"> предприятия</w:t>
            </w:r>
          </w:p>
        </w:tc>
      </w:tr>
      <w:tr w:rsidR="008F35D9" w:rsidRPr="005911B3" w:rsidTr="00626AC5">
        <w:trPr>
          <w:trHeight w:val="312"/>
          <w:jc w:val="center"/>
        </w:trPr>
        <w:tc>
          <w:tcPr>
            <w:tcW w:w="1638" w:type="dxa"/>
          </w:tcPr>
          <w:p w:rsidR="008F35D9" w:rsidRPr="00A9538E" w:rsidRDefault="008F35D9" w:rsidP="008F35D9">
            <w:pPr>
              <w:spacing w:after="0"/>
            </w:pPr>
            <w:r w:rsidRPr="00A9538E">
              <w:t>МТИТС</w:t>
            </w:r>
          </w:p>
        </w:tc>
        <w:tc>
          <w:tcPr>
            <w:tcW w:w="7586" w:type="dxa"/>
          </w:tcPr>
          <w:p w:rsidR="008F35D9" w:rsidRPr="00A9538E" w:rsidRDefault="008F35D9" w:rsidP="008F35D9">
            <w:pPr>
              <w:spacing w:after="0"/>
              <w:jc w:val="left"/>
            </w:pPr>
            <w:r w:rsidRPr="00A9538E">
              <w:t>Министерство на транспорта, информационните технологии и съобщенията</w:t>
            </w:r>
          </w:p>
        </w:tc>
      </w:tr>
      <w:tr w:rsidR="008F35D9" w:rsidRPr="005911B3" w:rsidTr="00626AC5">
        <w:trPr>
          <w:trHeight w:val="312"/>
          <w:jc w:val="center"/>
        </w:trPr>
        <w:tc>
          <w:tcPr>
            <w:tcW w:w="1638" w:type="dxa"/>
          </w:tcPr>
          <w:p w:rsidR="008F35D9" w:rsidRPr="00A9538E" w:rsidRDefault="008F35D9" w:rsidP="008F35D9">
            <w:pPr>
              <w:spacing w:after="0"/>
            </w:pPr>
            <w:r w:rsidRPr="00A9538E">
              <w:t>МТСП</w:t>
            </w:r>
          </w:p>
        </w:tc>
        <w:tc>
          <w:tcPr>
            <w:tcW w:w="7586" w:type="dxa"/>
          </w:tcPr>
          <w:p w:rsidR="008F35D9" w:rsidRPr="00A9538E" w:rsidRDefault="008F35D9" w:rsidP="008F35D9">
            <w:pPr>
              <w:spacing w:after="0"/>
            </w:pPr>
            <w:r w:rsidRPr="00A9538E">
              <w:t>Министерство на труда и социалната политика</w:t>
            </w:r>
          </w:p>
        </w:tc>
      </w:tr>
      <w:tr w:rsidR="008F35D9" w:rsidRPr="005911B3" w:rsidTr="00626AC5">
        <w:trPr>
          <w:trHeight w:val="312"/>
          <w:jc w:val="center"/>
        </w:trPr>
        <w:tc>
          <w:tcPr>
            <w:tcW w:w="1638" w:type="dxa"/>
          </w:tcPr>
          <w:p w:rsidR="008F35D9" w:rsidRPr="00A9538E" w:rsidRDefault="008F35D9" w:rsidP="008F35D9">
            <w:pPr>
              <w:spacing w:after="0"/>
            </w:pPr>
            <w:r w:rsidRPr="00A9538E">
              <w:t>МФ</w:t>
            </w:r>
          </w:p>
        </w:tc>
        <w:tc>
          <w:tcPr>
            <w:tcW w:w="7586" w:type="dxa"/>
          </w:tcPr>
          <w:p w:rsidR="008F35D9" w:rsidRPr="00A9538E" w:rsidRDefault="008F35D9" w:rsidP="008F35D9">
            <w:pPr>
              <w:spacing w:after="0"/>
            </w:pPr>
            <w:r w:rsidRPr="00A9538E">
              <w:t>Министерство на финансите</w:t>
            </w:r>
          </w:p>
        </w:tc>
      </w:tr>
      <w:tr w:rsidR="008F35D9" w:rsidRPr="005911B3" w:rsidTr="00626AC5">
        <w:trPr>
          <w:trHeight w:val="312"/>
          <w:jc w:val="center"/>
        </w:trPr>
        <w:tc>
          <w:tcPr>
            <w:tcW w:w="1638" w:type="dxa"/>
          </w:tcPr>
          <w:p w:rsidR="008F35D9" w:rsidRPr="00A9538E" w:rsidRDefault="008F35D9" w:rsidP="008F35D9">
            <w:pPr>
              <w:spacing w:after="0"/>
            </w:pPr>
            <w:r w:rsidRPr="00A9538E">
              <w:t>МФР</w:t>
            </w:r>
          </w:p>
        </w:tc>
        <w:tc>
          <w:tcPr>
            <w:tcW w:w="7586" w:type="dxa"/>
          </w:tcPr>
          <w:p w:rsidR="008F35D9" w:rsidRPr="00A9538E" w:rsidRDefault="008F35D9" w:rsidP="008F35D9">
            <w:pPr>
              <w:spacing w:after="0"/>
            </w:pPr>
            <w:r w:rsidRPr="00A9538E">
              <w:t>Многогодишна финансова рамка</w:t>
            </w:r>
          </w:p>
        </w:tc>
      </w:tr>
      <w:tr w:rsidR="008F35D9" w:rsidRPr="005911B3" w:rsidTr="00626AC5">
        <w:trPr>
          <w:trHeight w:val="312"/>
          <w:jc w:val="center"/>
        </w:trPr>
        <w:tc>
          <w:tcPr>
            <w:tcW w:w="1638" w:type="dxa"/>
          </w:tcPr>
          <w:p w:rsidR="008F35D9" w:rsidRPr="00A9538E" w:rsidRDefault="008F35D9" w:rsidP="008F35D9">
            <w:pPr>
              <w:spacing w:after="0"/>
            </w:pPr>
            <w:r w:rsidRPr="00A9538E">
              <w:t>НАП</w:t>
            </w:r>
          </w:p>
        </w:tc>
        <w:tc>
          <w:tcPr>
            <w:tcW w:w="7586" w:type="dxa"/>
          </w:tcPr>
          <w:p w:rsidR="008F35D9" w:rsidRPr="00A9538E" w:rsidRDefault="008F35D9" w:rsidP="008F35D9">
            <w:pPr>
              <w:spacing w:after="0"/>
            </w:pPr>
            <w:r w:rsidRPr="00A9538E">
              <w:t>Национална агенция за приходите</w:t>
            </w:r>
          </w:p>
        </w:tc>
      </w:tr>
      <w:tr w:rsidR="008F35D9" w:rsidRPr="005911B3" w:rsidTr="00626AC5">
        <w:trPr>
          <w:trHeight w:val="312"/>
          <w:jc w:val="center"/>
        </w:trPr>
        <w:tc>
          <w:tcPr>
            <w:tcW w:w="1638" w:type="dxa"/>
          </w:tcPr>
          <w:p w:rsidR="008F35D9" w:rsidRPr="00A9538E" w:rsidRDefault="008F35D9" w:rsidP="008F35D9">
            <w:pPr>
              <w:spacing w:after="0"/>
            </w:pPr>
            <w:r w:rsidRPr="00A9538E">
              <w:t>НАТО</w:t>
            </w:r>
          </w:p>
        </w:tc>
        <w:tc>
          <w:tcPr>
            <w:tcW w:w="7586" w:type="dxa"/>
          </w:tcPr>
          <w:p w:rsidR="008F35D9" w:rsidRPr="00A9538E" w:rsidRDefault="008F35D9" w:rsidP="008F35D9">
            <w:pPr>
              <w:spacing w:after="0"/>
            </w:pPr>
            <w:r w:rsidRPr="00A9538E">
              <w:t>Организация на Северноатлантическия договор</w:t>
            </w:r>
          </w:p>
        </w:tc>
      </w:tr>
      <w:tr w:rsidR="00583BE6" w:rsidRPr="005911B3" w:rsidTr="00626AC5">
        <w:trPr>
          <w:trHeight w:val="312"/>
          <w:jc w:val="center"/>
        </w:trPr>
        <w:tc>
          <w:tcPr>
            <w:tcW w:w="1638" w:type="dxa"/>
          </w:tcPr>
          <w:p w:rsidR="00583BE6" w:rsidRPr="00A9538E" w:rsidRDefault="00583BE6" w:rsidP="008F35D9">
            <w:pPr>
              <w:spacing w:after="0"/>
            </w:pPr>
            <w:r>
              <w:t>НЕЛК</w:t>
            </w:r>
          </w:p>
        </w:tc>
        <w:tc>
          <w:tcPr>
            <w:tcW w:w="7586" w:type="dxa"/>
          </w:tcPr>
          <w:p w:rsidR="00583BE6" w:rsidRPr="00A9538E" w:rsidRDefault="00583BE6" w:rsidP="008F35D9">
            <w:pPr>
              <w:spacing w:after="0"/>
            </w:pPr>
            <w:r w:rsidRPr="00583BE6">
              <w:t>Национ</w:t>
            </w:r>
            <w:r>
              <w:t>ална експертна лекарска комисия</w:t>
            </w:r>
          </w:p>
        </w:tc>
      </w:tr>
      <w:tr w:rsidR="008F35D9" w:rsidRPr="005911B3" w:rsidTr="00626AC5">
        <w:trPr>
          <w:trHeight w:val="312"/>
          <w:jc w:val="center"/>
        </w:trPr>
        <w:tc>
          <w:tcPr>
            <w:tcW w:w="1638" w:type="dxa"/>
          </w:tcPr>
          <w:p w:rsidR="008F35D9" w:rsidRPr="00A9538E" w:rsidRDefault="008F35D9" w:rsidP="008F35D9">
            <w:pPr>
              <w:spacing w:after="0"/>
            </w:pPr>
            <w:r w:rsidRPr="00A9538E">
              <w:t>НЗОК</w:t>
            </w:r>
          </w:p>
        </w:tc>
        <w:tc>
          <w:tcPr>
            <w:tcW w:w="7586" w:type="dxa"/>
          </w:tcPr>
          <w:p w:rsidR="008F35D9" w:rsidRPr="00A9538E" w:rsidRDefault="008F35D9" w:rsidP="008F35D9">
            <w:pPr>
              <w:spacing w:after="0"/>
            </w:pPr>
            <w:r w:rsidRPr="00A9538E">
              <w:t>Национална здравноосигурителна каса</w:t>
            </w:r>
          </w:p>
        </w:tc>
      </w:tr>
      <w:tr w:rsidR="008F35D9" w:rsidRPr="005911B3" w:rsidTr="00626AC5">
        <w:trPr>
          <w:trHeight w:val="312"/>
          <w:jc w:val="center"/>
        </w:trPr>
        <w:tc>
          <w:tcPr>
            <w:tcW w:w="1638" w:type="dxa"/>
          </w:tcPr>
          <w:p w:rsidR="008F35D9" w:rsidRPr="00A9538E" w:rsidRDefault="008F35D9" w:rsidP="008F35D9">
            <w:pPr>
              <w:spacing w:after="0"/>
            </w:pPr>
            <w:r w:rsidRPr="00A9538E">
              <w:t>НКЖИ</w:t>
            </w:r>
          </w:p>
        </w:tc>
        <w:tc>
          <w:tcPr>
            <w:tcW w:w="7586" w:type="dxa"/>
          </w:tcPr>
          <w:p w:rsidR="008F35D9" w:rsidRPr="00A9538E" w:rsidRDefault="008F35D9" w:rsidP="008F35D9">
            <w:pPr>
              <w:spacing w:after="0"/>
            </w:pPr>
            <w:r w:rsidRPr="00A9538E">
              <w:t>Национална компания „Железопътна инфраструктура”</w:t>
            </w:r>
          </w:p>
        </w:tc>
      </w:tr>
      <w:tr w:rsidR="008F35D9" w:rsidRPr="005911B3" w:rsidTr="00626AC5">
        <w:trPr>
          <w:trHeight w:val="312"/>
          <w:jc w:val="center"/>
        </w:trPr>
        <w:tc>
          <w:tcPr>
            <w:tcW w:w="1638" w:type="dxa"/>
          </w:tcPr>
          <w:p w:rsidR="008F35D9" w:rsidRPr="00A9538E" w:rsidRDefault="008F35D9" w:rsidP="008F35D9">
            <w:pPr>
              <w:spacing w:after="0"/>
            </w:pPr>
            <w:r w:rsidRPr="00A9538E">
              <w:t>НОИ</w:t>
            </w:r>
          </w:p>
        </w:tc>
        <w:tc>
          <w:tcPr>
            <w:tcW w:w="7586" w:type="dxa"/>
          </w:tcPr>
          <w:p w:rsidR="008F35D9" w:rsidRPr="00A9538E" w:rsidRDefault="008F35D9" w:rsidP="008F35D9">
            <w:pPr>
              <w:spacing w:after="0"/>
            </w:pPr>
            <w:r w:rsidRPr="00A9538E">
              <w:t>Национален осигурителен институт</w:t>
            </w:r>
          </w:p>
        </w:tc>
      </w:tr>
      <w:tr w:rsidR="008F35D9" w:rsidRPr="005911B3" w:rsidTr="00626AC5">
        <w:trPr>
          <w:trHeight w:val="312"/>
          <w:jc w:val="center"/>
        </w:trPr>
        <w:tc>
          <w:tcPr>
            <w:tcW w:w="1638" w:type="dxa"/>
          </w:tcPr>
          <w:p w:rsidR="008F35D9" w:rsidRPr="00A9538E" w:rsidRDefault="008F35D9" w:rsidP="008F35D9">
            <w:pPr>
              <w:spacing w:after="0"/>
            </w:pPr>
            <w:r w:rsidRPr="00A9538E">
              <w:t>НРС</w:t>
            </w:r>
          </w:p>
        </w:tc>
        <w:tc>
          <w:tcPr>
            <w:tcW w:w="7586" w:type="dxa"/>
          </w:tcPr>
          <w:p w:rsidR="008F35D9" w:rsidRPr="00A9538E" w:rsidRDefault="008F35D9" w:rsidP="008F35D9">
            <w:pPr>
              <w:spacing w:after="0"/>
            </w:pPr>
            <w:r w:rsidRPr="00A9538E">
              <w:t>Наблюдение на работната сила</w:t>
            </w:r>
          </w:p>
        </w:tc>
      </w:tr>
      <w:tr w:rsidR="007C3B37" w:rsidRPr="005911B3" w:rsidTr="00626AC5">
        <w:trPr>
          <w:trHeight w:val="312"/>
          <w:jc w:val="center"/>
        </w:trPr>
        <w:tc>
          <w:tcPr>
            <w:tcW w:w="1638" w:type="dxa"/>
          </w:tcPr>
          <w:p w:rsidR="007C3B37" w:rsidRDefault="007C3B37" w:rsidP="008F35D9">
            <w:pPr>
              <w:spacing w:after="0"/>
            </w:pPr>
            <w:r>
              <w:t>НСОРБ</w:t>
            </w:r>
          </w:p>
        </w:tc>
        <w:tc>
          <w:tcPr>
            <w:tcW w:w="7586" w:type="dxa"/>
          </w:tcPr>
          <w:p w:rsidR="007C3B37" w:rsidRPr="004D6D10" w:rsidRDefault="007C3B37" w:rsidP="008F35D9">
            <w:pPr>
              <w:spacing w:after="0"/>
            </w:pPr>
            <w:r w:rsidRPr="007C3B37">
              <w:t>Национално сдружение на общините в Република Бълг</w:t>
            </w:r>
            <w:r>
              <w:t>ария</w:t>
            </w:r>
          </w:p>
        </w:tc>
      </w:tr>
      <w:tr w:rsidR="004D6D10" w:rsidRPr="005911B3" w:rsidTr="00626AC5">
        <w:trPr>
          <w:trHeight w:val="312"/>
          <w:jc w:val="center"/>
        </w:trPr>
        <w:tc>
          <w:tcPr>
            <w:tcW w:w="1638" w:type="dxa"/>
          </w:tcPr>
          <w:p w:rsidR="004D6D10" w:rsidRPr="00A9538E" w:rsidRDefault="004D6D10" w:rsidP="008F35D9">
            <w:pPr>
              <w:spacing w:after="0"/>
            </w:pPr>
            <w:r>
              <w:t>НФМ</w:t>
            </w:r>
          </w:p>
        </w:tc>
        <w:tc>
          <w:tcPr>
            <w:tcW w:w="7586" w:type="dxa"/>
          </w:tcPr>
          <w:p w:rsidR="004D6D10" w:rsidRPr="00A9538E" w:rsidRDefault="004D6D10" w:rsidP="008F35D9">
            <w:pPr>
              <w:spacing w:after="0"/>
            </w:pPr>
            <w:r w:rsidRPr="004D6D10">
              <w:t>Норвеж</w:t>
            </w:r>
            <w:r>
              <w:t>ки</w:t>
            </w:r>
            <w:r w:rsidRPr="004D6D10">
              <w:t xml:space="preserve"> финансов механизъм</w:t>
            </w:r>
          </w:p>
        </w:tc>
      </w:tr>
      <w:tr w:rsidR="008F35D9" w:rsidRPr="005911B3" w:rsidTr="00626AC5">
        <w:trPr>
          <w:trHeight w:val="312"/>
          <w:jc w:val="center"/>
        </w:trPr>
        <w:tc>
          <w:tcPr>
            <w:tcW w:w="1638" w:type="dxa"/>
          </w:tcPr>
          <w:p w:rsidR="008F35D9" w:rsidRPr="00A9538E" w:rsidRDefault="008F35D9" w:rsidP="008F35D9">
            <w:pPr>
              <w:spacing w:after="0"/>
            </w:pPr>
            <w:r w:rsidRPr="00A9538E">
              <w:t>ООД</w:t>
            </w:r>
          </w:p>
        </w:tc>
        <w:tc>
          <w:tcPr>
            <w:tcW w:w="7586" w:type="dxa"/>
          </w:tcPr>
          <w:p w:rsidR="008F35D9" w:rsidRPr="00A9538E" w:rsidRDefault="008F35D9" w:rsidP="008F35D9">
            <w:pPr>
              <w:spacing w:after="0"/>
            </w:pPr>
            <w:r w:rsidRPr="00A9538E">
              <w:t>Дружество с ограничена отговорност</w:t>
            </w:r>
          </w:p>
        </w:tc>
      </w:tr>
      <w:tr w:rsidR="00F253FD" w:rsidRPr="005911B3" w:rsidTr="00626AC5">
        <w:trPr>
          <w:trHeight w:val="312"/>
          <w:jc w:val="center"/>
        </w:trPr>
        <w:tc>
          <w:tcPr>
            <w:tcW w:w="1638" w:type="dxa"/>
          </w:tcPr>
          <w:p w:rsidR="00F253FD" w:rsidRPr="00A9538E" w:rsidRDefault="00F253FD" w:rsidP="008F35D9">
            <w:pPr>
              <w:spacing w:after="0"/>
            </w:pPr>
            <w:r>
              <w:t>ООН</w:t>
            </w:r>
          </w:p>
        </w:tc>
        <w:tc>
          <w:tcPr>
            <w:tcW w:w="7586" w:type="dxa"/>
          </w:tcPr>
          <w:p w:rsidR="00F253FD" w:rsidRPr="00A9538E" w:rsidRDefault="00F253FD" w:rsidP="008F35D9">
            <w:pPr>
              <w:spacing w:after="0"/>
            </w:pPr>
            <w:r>
              <w:t>Организация на обединените нации</w:t>
            </w:r>
          </w:p>
        </w:tc>
      </w:tr>
      <w:tr w:rsidR="008F35D9" w:rsidRPr="005911B3" w:rsidTr="00626AC5">
        <w:trPr>
          <w:trHeight w:val="312"/>
          <w:jc w:val="center"/>
        </w:trPr>
        <w:tc>
          <w:tcPr>
            <w:tcW w:w="1638" w:type="dxa"/>
          </w:tcPr>
          <w:p w:rsidR="008F35D9" w:rsidRPr="00A9538E" w:rsidRDefault="008F35D9" w:rsidP="008F35D9">
            <w:pPr>
              <w:spacing w:after="0"/>
            </w:pPr>
            <w:r w:rsidRPr="00A9538E">
              <w:t>ОП</w:t>
            </w:r>
          </w:p>
        </w:tc>
        <w:tc>
          <w:tcPr>
            <w:tcW w:w="7586" w:type="dxa"/>
          </w:tcPr>
          <w:p w:rsidR="008F35D9" w:rsidRPr="00A9538E" w:rsidRDefault="008F35D9" w:rsidP="008F35D9">
            <w:pPr>
              <w:spacing w:after="0"/>
            </w:pPr>
            <w:r w:rsidRPr="00A9538E">
              <w:t>Оперативна програма</w:t>
            </w:r>
          </w:p>
        </w:tc>
      </w:tr>
      <w:tr w:rsidR="008F35D9" w:rsidRPr="005911B3" w:rsidTr="00626AC5">
        <w:trPr>
          <w:trHeight w:val="312"/>
          <w:jc w:val="center"/>
        </w:trPr>
        <w:tc>
          <w:tcPr>
            <w:tcW w:w="1638" w:type="dxa"/>
          </w:tcPr>
          <w:p w:rsidR="008F35D9" w:rsidRPr="00A9538E" w:rsidRDefault="008F35D9" w:rsidP="008F35D9">
            <w:pPr>
              <w:spacing w:after="0"/>
            </w:pPr>
            <w:r w:rsidRPr="00A9538E">
              <w:t>ОСП</w:t>
            </w:r>
          </w:p>
        </w:tc>
        <w:tc>
          <w:tcPr>
            <w:tcW w:w="7586" w:type="dxa"/>
          </w:tcPr>
          <w:p w:rsidR="008F35D9" w:rsidRPr="00A9538E" w:rsidRDefault="008F35D9" w:rsidP="008F35D9">
            <w:pPr>
              <w:spacing w:after="0"/>
            </w:pPr>
            <w:r w:rsidRPr="00A9538E">
              <w:t>Обща селскостопанска политика</w:t>
            </w:r>
          </w:p>
        </w:tc>
      </w:tr>
      <w:tr w:rsidR="005E76CD" w:rsidRPr="005911B3" w:rsidTr="00626AC5">
        <w:trPr>
          <w:trHeight w:val="312"/>
          <w:jc w:val="center"/>
        </w:trPr>
        <w:tc>
          <w:tcPr>
            <w:tcW w:w="1638" w:type="dxa"/>
          </w:tcPr>
          <w:p w:rsidR="005E76CD" w:rsidRPr="00A9538E" w:rsidRDefault="005E76CD" w:rsidP="008F35D9">
            <w:pPr>
              <w:spacing w:after="0"/>
            </w:pPr>
            <w:r>
              <w:t>ОССЕ</w:t>
            </w:r>
          </w:p>
        </w:tc>
        <w:tc>
          <w:tcPr>
            <w:tcW w:w="7586" w:type="dxa"/>
          </w:tcPr>
          <w:p w:rsidR="005E76CD" w:rsidRPr="00A9538E" w:rsidRDefault="005E76CD" w:rsidP="008F35D9">
            <w:pPr>
              <w:spacing w:after="0"/>
            </w:pPr>
            <w:r>
              <w:t>Организация</w:t>
            </w:r>
            <w:r w:rsidRPr="005E76CD">
              <w:t xml:space="preserve"> за сигурност и сътрудничество в Европа</w:t>
            </w:r>
          </w:p>
        </w:tc>
      </w:tr>
      <w:tr w:rsidR="008F35D9" w:rsidRPr="005911B3" w:rsidTr="00626AC5">
        <w:trPr>
          <w:trHeight w:val="312"/>
          <w:jc w:val="center"/>
        </w:trPr>
        <w:tc>
          <w:tcPr>
            <w:tcW w:w="1638" w:type="dxa"/>
          </w:tcPr>
          <w:p w:rsidR="008F35D9" w:rsidRPr="00A9538E" w:rsidRDefault="008F35D9" w:rsidP="008F35D9">
            <w:pPr>
              <w:spacing w:after="0"/>
            </w:pPr>
            <w:r w:rsidRPr="00A9538E">
              <w:t>ОФП</w:t>
            </w:r>
          </w:p>
        </w:tc>
        <w:tc>
          <w:tcPr>
            <w:tcW w:w="7586" w:type="dxa"/>
          </w:tcPr>
          <w:p w:rsidR="008F35D9" w:rsidRPr="00A9538E" w:rsidRDefault="008F35D9" w:rsidP="008F35D9">
            <w:pPr>
              <w:spacing w:after="0"/>
            </w:pPr>
            <w:r w:rsidRPr="00A9538E">
              <w:t>Обща факторна производителност</w:t>
            </w:r>
          </w:p>
        </w:tc>
      </w:tr>
      <w:tr w:rsidR="008F35D9" w:rsidRPr="005911B3" w:rsidTr="00626AC5">
        <w:trPr>
          <w:trHeight w:val="312"/>
          <w:jc w:val="center"/>
        </w:trPr>
        <w:tc>
          <w:tcPr>
            <w:tcW w:w="1638" w:type="dxa"/>
          </w:tcPr>
          <w:p w:rsidR="008F35D9" w:rsidRPr="00A9538E" w:rsidRDefault="008F35D9" w:rsidP="008F35D9">
            <w:pPr>
              <w:spacing w:after="0"/>
            </w:pPr>
            <w:r w:rsidRPr="00A9538E">
              <w:t>РМС</w:t>
            </w:r>
          </w:p>
        </w:tc>
        <w:tc>
          <w:tcPr>
            <w:tcW w:w="7586" w:type="dxa"/>
          </w:tcPr>
          <w:p w:rsidR="008F35D9" w:rsidRPr="00A9538E" w:rsidRDefault="008F35D9" w:rsidP="008F35D9">
            <w:pPr>
              <w:spacing w:after="0"/>
            </w:pPr>
            <w:r w:rsidRPr="00A9538E">
              <w:t>Решение на Министерския съвет</w:t>
            </w:r>
          </w:p>
        </w:tc>
      </w:tr>
      <w:tr w:rsidR="008F35D9" w:rsidRPr="005911B3" w:rsidTr="00626AC5">
        <w:trPr>
          <w:trHeight w:val="312"/>
          <w:jc w:val="center"/>
        </w:trPr>
        <w:tc>
          <w:tcPr>
            <w:tcW w:w="1638" w:type="dxa"/>
          </w:tcPr>
          <w:p w:rsidR="008F35D9" w:rsidRPr="00A9538E" w:rsidRDefault="008F35D9" w:rsidP="008F35D9">
            <w:pPr>
              <w:spacing w:after="0"/>
            </w:pPr>
            <w:r w:rsidRPr="00A9538E">
              <w:t>ПЗР</w:t>
            </w:r>
          </w:p>
        </w:tc>
        <w:tc>
          <w:tcPr>
            <w:tcW w:w="7586" w:type="dxa"/>
          </w:tcPr>
          <w:p w:rsidR="008F35D9" w:rsidRPr="00A9538E" w:rsidRDefault="008F35D9" w:rsidP="008F35D9">
            <w:pPr>
              <w:spacing w:after="0"/>
            </w:pPr>
            <w:r w:rsidRPr="00A9538E">
              <w:t>Преходни и заключителни разпоредби</w:t>
            </w:r>
          </w:p>
        </w:tc>
      </w:tr>
      <w:tr w:rsidR="008F35D9" w:rsidRPr="005911B3" w:rsidTr="00626AC5">
        <w:trPr>
          <w:trHeight w:val="312"/>
          <w:jc w:val="center"/>
        </w:trPr>
        <w:tc>
          <w:tcPr>
            <w:tcW w:w="1638" w:type="dxa"/>
          </w:tcPr>
          <w:p w:rsidR="008F35D9" w:rsidRPr="00A9538E" w:rsidRDefault="008F35D9" w:rsidP="008F35D9">
            <w:pPr>
              <w:spacing w:after="0"/>
            </w:pPr>
            <w:r w:rsidRPr="00A9538E">
              <w:t>ПМС</w:t>
            </w:r>
          </w:p>
        </w:tc>
        <w:tc>
          <w:tcPr>
            <w:tcW w:w="7586" w:type="dxa"/>
          </w:tcPr>
          <w:p w:rsidR="008F35D9" w:rsidRPr="00A9538E" w:rsidRDefault="008F35D9" w:rsidP="008F35D9">
            <w:pPr>
              <w:spacing w:after="0"/>
            </w:pPr>
            <w:r w:rsidRPr="00A9538E">
              <w:t>Постановление на Министерския съвет</w:t>
            </w:r>
          </w:p>
        </w:tc>
      </w:tr>
      <w:tr w:rsidR="008F35D9" w:rsidRPr="005911B3" w:rsidTr="00626AC5">
        <w:trPr>
          <w:trHeight w:val="312"/>
          <w:jc w:val="center"/>
        </w:trPr>
        <w:tc>
          <w:tcPr>
            <w:tcW w:w="1638" w:type="dxa"/>
          </w:tcPr>
          <w:p w:rsidR="008F35D9" w:rsidRPr="00A9538E" w:rsidRDefault="008F35D9" w:rsidP="008F35D9">
            <w:pPr>
              <w:spacing w:after="0"/>
            </w:pPr>
            <w:r w:rsidRPr="00A9538E">
              <w:t>пр.п.</w:t>
            </w:r>
          </w:p>
        </w:tc>
        <w:tc>
          <w:tcPr>
            <w:tcW w:w="7586" w:type="dxa"/>
          </w:tcPr>
          <w:p w:rsidR="008F35D9" w:rsidRPr="00A9538E" w:rsidRDefault="008F35D9" w:rsidP="008F35D9">
            <w:pPr>
              <w:spacing w:after="0"/>
            </w:pPr>
            <w:r w:rsidRPr="00A9538E">
              <w:t>Процентен пункт</w:t>
            </w:r>
          </w:p>
        </w:tc>
      </w:tr>
      <w:tr w:rsidR="008F35D9" w:rsidRPr="005911B3" w:rsidTr="00626AC5">
        <w:trPr>
          <w:trHeight w:val="312"/>
          <w:jc w:val="center"/>
        </w:trPr>
        <w:tc>
          <w:tcPr>
            <w:tcW w:w="1638" w:type="dxa"/>
          </w:tcPr>
          <w:p w:rsidR="008F35D9" w:rsidRPr="00A9538E" w:rsidRDefault="008F35D9" w:rsidP="008F35D9">
            <w:pPr>
              <w:spacing w:after="0"/>
            </w:pPr>
            <w:r w:rsidRPr="00A9538E">
              <w:t>ПРБ</w:t>
            </w:r>
          </w:p>
        </w:tc>
        <w:tc>
          <w:tcPr>
            <w:tcW w:w="7586" w:type="dxa"/>
          </w:tcPr>
          <w:p w:rsidR="008F35D9" w:rsidRPr="00A9538E" w:rsidRDefault="008F35D9" w:rsidP="008F35D9">
            <w:pPr>
              <w:spacing w:after="0"/>
            </w:pPr>
            <w:r w:rsidRPr="00A9538E">
              <w:t>Първостепенен разпоредител с бюджет</w:t>
            </w:r>
          </w:p>
        </w:tc>
      </w:tr>
      <w:tr w:rsidR="008F35D9" w:rsidRPr="005911B3" w:rsidTr="00626AC5">
        <w:trPr>
          <w:trHeight w:val="312"/>
          <w:jc w:val="center"/>
        </w:trPr>
        <w:tc>
          <w:tcPr>
            <w:tcW w:w="1638" w:type="dxa"/>
          </w:tcPr>
          <w:p w:rsidR="008F35D9" w:rsidRPr="00A9538E" w:rsidRDefault="008F35D9" w:rsidP="008F35D9">
            <w:pPr>
              <w:spacing w:after="0"/>
            </w:pPr>
            <w:r w:rsidRPr="00A9538E">
              <w:t>ПРСР</w:t>
            </w:r>
          </w:p>
        </w:tc>
        <w:tc>
          <w:tcPr>
            <w:tcW w:w="7586" w:type="dxa"/>
          </w:tcPr>
          <w:p w:rsidR="008F35D9" w:rsidRPr="00A9538E" w:rsidRDefault="008F35D9" w:rsidP="008F35D9">
            <w:pPr>
              <w:spacing w:after="0"/>
            </w:pPr>
            <w:r w:rsidRPr="00A9538E">
              <w:t>Програма за развитие на селските райони</w:t>
            </w:r>
          </w:p>
        </w:tc>
      </w:tr>
      <w:tr w:rsidR="005228D7" w:rsidRPr="005911B3" w:rsidTr="00626AC5">
        <w:trPr>
          <w:trHeight w:val="312"/>
          <w:jc w:val="center"/>
        </w:trPr>
        <w:tc>
          <w:tcPr>
            <w:tcW w:w="1638" w:type="dxa"/>
          </w:tcPr>
          <w:p w:rsidR="005228D7" w:rsidRPr="00A9538E" w:rsidRDefault="005228D7" w:rsidP="008F35D9">
            <w:pPr>
              <w:spacing w:after="0"/>
            </w:pPr>
            <w:r>
              <w:t>ПСОВ</w:t>
            </w:r>
          </w:p>
        </w:tc>
        <w:tc>
          <w:tcPr>
            <w:tcW w:w="7586" w:type="dxa"/>
          </w:tcPr>
          <w:p w:rsidR="005228D7" w:rsidRPr="00A9538E" w:rsidRDefault="005228D7" w:rsidP="008F35D9">
            <w:pPr>
              <w:spacing w:after="0"/>
            </w:pPr>
            <w:r>
              <w:t>Пречиствателна станция за отпадъчни</w:t>
            </w:r>
            <w:r w:rsidRPr="005228D7">
              <w:t xml:space="preserve"> води</w:t>
            </w:r>
          </w:p>
        </w:tc>
      </w:tr>
      <w:tr w:rsidR="008F35D9" w:rsidRPr="005911B3" w:rsidTr="00626AC5">
        <w:trPr>
          <w:trHeight w:val="312"/>
          <w:jc w:val="center"/>
        </w:trPr>
        <w:tc>
          <w:tcPr>
            <w:tcW w:w="1638" w:type="dxa"/>
          </w:tcPr>
          <w:p w:rsidR="008F35D9" w:rsidRPr="00A9538E" w:rsidRDefault="008F35D9" w:rsidP="008F35D9">
            <w:pPr>
              <w:spacing w:after="0"/>
            </w:pPr>
            <w:r w:rsidRPr="00A9538E">
              <w:t>ПСР</w:t>
            </w:r>
          </w:p>
        </w:tc>
        <w:tc>
          <w:tcPr>
            <w:tcW w:w="7586" w:type="dxa"/>
          </w:tcPr>
          <w:p w:rsidR="008F35D9" w:rsidRPr="00A9538E" w:rsidRDefault="008F35D9" w:rsidP="008F35D9">
            <w:pPr>
              <w:spacing w:after="0"/>
            </w:pPr>
            <w:r w:rsidRPr="00A9538E">
              <w:t>Пакт за стабилност и растеж</w:t>
            </w:r>
          </w:p>
        </w:tc>
      </w:tr>
      <w:tr w:rsidR="008F35D9" w:rsidRPr="005911B3" w:rsidTr="00626AC5">
        <w:trPr>
          <w:trHeight w:val="312"/>
          <w:jc w:val="center"/>
        </w:trPr>
        <w:tc>
          <w:tcPr>
            <w:tcW w:w="1638" w:type="dxa"/>
          </w:tcPr>
          <w:p w:rsidR="008F35D9" w:rsidRPr="00A9538E" w:rsidRDefault="008F35D9" w:rsidP="008F35D9">
            <w:pPr>
              <w:spacing w:after="0"/>
            </w:pPr>
            <w:r w:rsidRPr="00A9538E">
              <w:t>ПЧИ</w:t>
            </w:r>
          </w:p>
        </w:tc>
        <w:tc>
          <w:tcPr>
            <w:tcW w:w="7586" w:type="dxa"/>
          </w:tcPr>
          <w:p w:rsidR="008F35D9" w:rsidRPr="00A9538E" w:rsidRDefault="008F35D9" w:rsidP="008F35D9">
            <w:pPr>
              <w:spacing w:after="0"/>
            </w:pPr>
            <w:r w:rsidRPr="00A9538E">
              <w:t>Преки чуждестранни инвестиции</w:t>
            </w:r>
          </w:p>
        </w:tc>
      </w:tr>
      <w:tr w:rsidR="008F35D9" w:rsidRPr="005911B3" w:rsidTr="00626AC5">
        <w:trPr>
          <w:trHeight w:val="312"/>
          <w:jc w:val="center"/>
        </w:trPr>
        <w:tc>
          <w:tcPr>
            <w:tcW w:w="1638" w:type="dxa"/>
          </w:tcPr>
          <w:p w:rsidR="008F35D9" w:rsidRPr="00A9538E" w:rsidRDefault="008F35D9" w:rsidP="008F35D9">
            <w:pPr>
              <w:spacing w:after="0"/>
            </w:pPr>
            <w:r w:rsidRPr="00A9538E">
              <w:t>САЩ</w:t>
            </w:r>
          </w:p>
        </w:tc>
        <w:tc>
          <w:tcPr>
            <w:tcW w:w="7586" w:type="dxa"/>
          </w:tcPr>
          <w:p w:rsidR="008F35D9" w:rsidRPr="00A9538E" w:rsidRDefault="008F35D9" w:rsidP="008F35D9">
            <w:pPr>
              <w:spacing w:after="0"/>
            </w:pPr>
            <w:r w:rsidRPr="00A9538E">
              <w:t>Съединени американски щати</w:t>
            </w:r>
          </w:p>
        </w:tc>
      </w:tr>
      <w:tr w:rsidR="008F35D9" w:rsidRPr="005911B3" w:rsidTr="00626AC5">
        <w:trPr>
          <w:trHeight w:val="312"/>
          <w:jc w:val="center"/>
        </w:trPr>
        <w:tc>
          <w:tcPr>
            <w:tcW w:w="1638" w:type="dxa"/>
          </w:tcPr>
          <w:p w:rsidR="008F35D9" w:rsidRPr="00A9538E" w:rsidRDefault="008F35D9" w:rsidP="008F35D9">
            <w:pPr>
              <w:spacing w:after="0"/>
            </w:pPr>
            <w:r w:rsidRPr="00A9538E">
              <w:t>СБ</w:t>
            </w:r>
          </w:p>
        </w:tc>
        <w:tc>
          <w:tcPr>
            <w:tcW w:w="7586" w:type="dxa"/>
          </w:tcPr>
          <w:p w:rsidR="008F35D9" w:rsidRPr="00A9538E" w:rsidRDefault="008F35D9" w:rsidP="008F35D9">
            <w:pPr>
              <w:spacing w:after="0"/>
            </w:pPr>
            <w:r w:rsidRPr="00A9538E">
              <w:t>Световна банка</w:t>
            </w:r>
          </w:p>
        </w:tc>
      </w:tr>
      <w:tr w:rsidR="008F35D9" w:rsidRPr="005911B3" w:rsidTr="00626AC5">
        <w:trPr>
          <w:trHeight w:val="312"/>
          <w:jc w:val="center"/>
        </w:trPr>
        <w:tc>
          <w:tcPr>
            <w:tcW w:w="1638" w:type="dxa"/>
          </w:tcPr>
          <w:p w:rsidR="008F35D9" w:rsidRPr="00A9538E" w:rsidRDefault="008F35D9" w:rsidP="008F35D9">
            <w:pPr>
              <w:spacing w:after="0"/>
            </w:pPr>
            <w:r w:rsidRPr="00A9538E">
              <w:t>СБП</w:t>
            </w:r>
          </w:p>
        </w:tc>
        <w:tc>
          <w:tcPr>
            <w:tcW w:w="7586" w:type="dxa"/>
          </w:tcPr>
          <w:p w:rsidR="008F35D9" w:rsidRPr="00A9538E" w:rsidRDefault="008F35D9" w:rsidP="008F35D9">
            <w:pPr>
              <w:spacing w:after="0"/>
            </w:pPr>
            <w:r w:rsidRPr="00A9538E">
              <w:t>Средносрочна бюджетна прогноза</w:t>
            </w:r>
          </w:p>
        </w:tc>
      </w:tr>
      <w:tr w:rsidR="00306B7B" w:rsidRPr="005911B3" w:rsidTr="00626AC5">
        <w:trPr>
          <w:trHeight w:val="312"/>
          <w:jc w:val="center"/>
        </w:trPr>
        <w:tc>
          <w:tcPr>
            <w:tcW w:w="1638" w:type="dxa"/>
          </w:tcPr>
          <w:p w:rsidR="00306B7B" w:rsidRDefault="00306B7B" w:rsidP="008F35D9">
            <w:pPr>
              <w:spacing w:after="0"/>
            </w:pPr>
            <w:r>
              <w:t>СВП</w:t>
            </w:r>
          </w:p>
        </w:tc>
        <w:tc>
          <w:tcPr>
            <w:tcW w:w="7586" w:type="dxa"/>
          </w:tcPr>
          <w:p w:rsidR="00306B7B" w:rsidRDefault="00306B7B" w:rsidP="008F35D9">
            <w:pPr>
              <w:spacing w:after="0"/>
            </w:pPr>
            <w:r>
              <w:t>Спорт за високи постижения</w:t>
            </w:r>
          </w:p>
        </w:tc>
      </w:tr>
      <w:tr w:rsidR="00EC1639" w:rsidRPr="005911B3" w:rsidTr="00626AC5">
        <w:trPr>
          <w:trHeight w:val="312"/>
          <w:jc w:val="center"/>
        </w:trPr>
        <w:tc>
          <w:tcPr>
            <w:tcW w:w="1638" w:type="dxa"/>
          </w:tcPr>
          <w:p w:rsidR="00EC1639" w:rsidRPr="00A9538E" w:rsidRDefault="00EC1639" w:rsidP="008F35D9">
            <w:pPr>
              <w:spacing w:after="0"/>
            </w:pPr>
            <w:r>
              <w:t>СЕ</w:t>
            </w:r>
          </w:p>
        </w:tc>
        <w:tc>
          <w:tcPr>
            <w:tcW w:w="7586" w:type="dxa"/>
          </w:tcPr>
          <w:p w:rsidR="00EC1639" w:rsidRPr="00A9538E" w:rsidRDefault="00EC1639" w:rsidP="008F35D9">
            <w:pPr>
              <w:spacing w:after="0"/>
            </w:pPr>
            <w:r>
              <w:t>Съвет на Европа</w:t>
            </w:r>
          </w:p>
        </w:tc>
      </w:tr>
      <w:tr w:rsidR="008F35D9" w:rsidRPr="005911B3" w:rsidTr="00626AC5">
        <w:trPr>
          <w:trHeight w:val="312"/>
          <w:jc w:val="center"/>
        </w:trPr>
        <w:tc>
          <w:tcPr>
            <w:tcW w:w="1638" w:type="dxa"/>
          </w:tcPr>
          <w:p w:rsidR="008F35D9" w:rsidRPr="00A9538E" w:rsidRDefault="008F35D9" w:rsidP="008F35D9">
            <w:pPr>
              <w:spacing w:after="0"/>
            </w:pPr>
            <w:r w:rsidRPr="00A9538E">
              <w:t>СНС</w:t>
            </w:r>
          </w:p>
        </w:tc>
        <w:tc>
          <w:tcPr>
            <w:tcW w:w="7586" w:type="dxa"/>
          </w:tcPr>
          <w:p w:rsidR="008F35D9" w:rsidRPr="00A9538E" w:rsidRDefault="008F35D9" w:rsidP="008F35D9">
            <w:pPr>
              <w:spacing w:after="0"/>
            </w:pPr>
            <w:r w:rsidRPr="00A9538E">
              <w:t>Система на националните сметки</w:t>
            </w:r>
          </w:p>
        </w:tc>
      </w:tr>
      <w:tr w:rsidR="008F35D9" w:rsidRPr="005911B3" w:rsidTr="00626AC5">
        <w:trPr>
          <w:trHeight w:val="312"/>
          <w:jc w:val="center"/>
        </w:trPr>
        <w:tc>
          <w:tcPr>
            <w:tcW w:w="1638" w:type="dxa"/>
          </w:tcPr>
          <w:p w:rsidR="008F35D9" w:rsidRPr="00A9538E" w:rsidRDefault="008F35D9" w:rsidP="008F35D9">
            <w:pPr>
              <w:spacing w:after="0"/>
            </w:pPr>
            <w:r w:rsidRPr="00A9538E">
              <w:t>Съвета</w:t>
            </w:r>
          </w:p>
        </w:tc>
        <w:tc>
          <w:tcPr>
            <w:tcW w:w="7586" w:type="dxa"/>
          </w:tcPr>
          <w:p w:rsidR="008F35D9" w:rsidRPr="00A9538E" w:rsidRDefault="008F35D9" w:rsidP="008F35D9">
            <w:pPr>
              <w:spacing w:after="0"/>
            </w:pPr>
            <w:r w:rsidRPr="00A9538E">
              <w:t>Съвета на ЕС</w:t>
            </w:r>
          </w:p>
        </w:tc>
      </w:tr>
      <w:tr w:rsidR="00324D7D" w:rsidRPr="005911B3" w:rsidTr="00626AC5">
        <w:trPr>
          <w:trHeight w:val="312"/>
          <w:jc w:val="center"/>
        </w:trPr>
        <w:tc>
          <w:tcPr>
            <w:tcW w:w="1638" w:type="dxa"/>
          </w:tcPr>
          <w:p w:rsidR="00324D7D" w:rsidRPr="00324D7D" w:rsidRDefault="00324D7D" w:rsidP="008F35D9">
            <w:pPr>
              <w:spacing w:after="0"/>
            </w:pPr>
            <w:r w:rsidRPr="00324D7D">
              <w:rPr>
                <w:bCs/>
              </w:rPr>
              <w:t>ТЕЛК</w:t>
            </w:r>
          </w:p>
        </w:tc>
        <w:tc>
          <w:tcPr>
            <w:tcW w:w="7586" w:type="dxa"/>
          </w:tcPr>
          <w:p w:rsidR="00324D7D" w:rsidRPr="00A9538E" w:rsidRDefault="00324D7D" w:rsidP="00324D7D">
            <w:pPr>
              <w:spacing w:after="0"/>
            </w:pPr>
            <w:r>
              <w:t>Т</w:t>
            </w:r>
            <w:r w:rsidRPr="00324D7D">
              <w:t>ру</w:t>
            </w:r>
            <w:r>
              <w:t>дово-експертна лекарска комисия</w:t>
            </w:r>
          </w:p>
        </w:tc>
      </w:tr>
      <w:tr w:rsidR="008F35D9" w:rsidRPr="005911B3" w:rsidTr="00626AC5">
        <w:trPr>
          <w:trHeight w:val="312"/>
          <w:jc w:val="center"/>
        </w:trPr>
        <w:tc>
          <w:tcPr>
            <w:tcW w:w="1638" w:type="dxa"/>
          </w:tcPr>
          <w:p w:rsidR="008F35D9" w:rsidRPr="00A9538E" w:rsidRDefault="008F35D9" w:rsidP="008F35D9">
            <w:pPr>
              <w:spacing w:after="0"/>
            </w:pPr>
            <w:r w:rsidRPr="00A9538E">
              <w:t>ТГС</w:t>
            </w:r>
          </w:p>
        </w:tc>
        <w:tc>
          <w:tcPr>
            <w:tcW w:w="7586" w:type="dxa"/>
          </w:tcPr>
          <w:p w:rsidR="008F35D9" w:rsidRPr="00A9538E" w:rsidRDefault="008F35D9" w:rsidP="008F35D9">
            <w:pPr>
              <w:spacing w:after="0"/>
            </w:pPr>
            <w:r w:rsidRPr="00A9538E">
              <w:t>Трансгранично сътрудничество</w:t>
            </w:r>
          </w:p>
        </w:tc>
      </w:tr>
      <w:tr w:rsidR="008F35D9" w:rsidRPr="005911B3" w:rsidTr="00626AC5">
        <w:trPr>
          <w:trHeight w:val="312"/>
          <w:jc w:val="center"/>
        </w:trPr>
        <w:tc>
          <w:tcPr>
            <w:tcW w:w="1638" w:type="dxa"/>
          </w:tcPr>
          <w:p w:rsidR="008F35D9" w:rsidRPr="00A9538E" w:rsidRDefault="008F35D9" w:rsidP="008F35D9">
            <w:pPr>
              <w:spacing w:after="0"/>
            </w:pPr>
            <w:r w:rsidRPr="00A9538E">
              <w:t>УПФ</w:t>
            </w:r>
          </w:p>
        </w:tc>
        <w:tc>
          <w:tcPr>
            <w:tcW w:w="7586" w:type="dxa"/>
          </w:tcPr>
          <w:p w:rsidR="008F35D9" w:rsidRPr="00A9538E" w:rsidRDefault="008F35D9" w:rsidP="008F35D9">
            <w:pPr>
              <w:spacing w:after="0"/>
            </w:pPr>
            <w:r w:rsidRPr="00A9538E">
              <w:t>Учителски пенсионен фонд</w:t>
            </w:r>
          </w:p>
        </w:tc>
      </w:tr>
      <w:tr w:rsidR="008F35D9" w:rsidRPr="005911B3" w:rsidTr="00626AC5">
        <w:trPr>
          <w:trHeight w:val="312"/>
          <w:jc w:val="center"/>
        </w:trPr>
        <w:tc>
          <w:tcPr>
            <w:tcW w:w="1638" w:type="dxa"/>
          </w:tcPr>
          <w:p w:rsidR="008F35D9" w:rsidRPr="00A9538E" w:rsidRDefault="008F35D9" w:rsidP="008F35D9">
            <w:pPr>
              <w:spacing w:after="0"/>
            </w:pPr>
            <w:r w:rsidRPr="00A9538E">
              <w:t>ФГВБ</w:t>
            </w:r>
          </w:p>
        </w:tc>
        <w:tc>
          <w:tcPr>
            <w:tcW w:w="7586" w:type="dxa"/>
          </w:tcPr>
          <w:p w:rsidR="008F35D9" w:rsidRPr="00A9538E" w:rsidRDefault="008F35D9" w:rsidP="008F35D9">
            <w:pPr>
              <w:spacing w:after="0"/>
            </w:pPr>
            <w:r w:rsidRPr="00A9538E">
              <w:t>Фонд за гарантиране на влоговете в банките</w:t>
            </w:r>
          </w:p>
        </w:tc>
      </w:tr>
      <w:tr w:rsidR="008F35D9" w:rsidRPr="005911B3" w:rsidTr="00626AC5">
        <w:trPr>
          <w:trHeight w:val="312"/>
          <w:jc w:val="center"/>
        </w:trPr>
        <w:tc>
          <w:tcPr>
            <w:tcW w:w="1638" w:type="dxa"/>
          </w:tcPr>
          <w:p w:rsidR="008F35D9" w:rsidRPr="00A9538E" w:rsidRDefault="008F35D9" w:rsidP="008F35D9">
            <w:pPr>
              <w:spacing w:after="0"/>
            </w:pPr>
            <w:r w:rsidRPr="00A9538E">
              <w:t>ФГВРС</w:t>
            </w:r>
          </w:p>
        </w:tc>
        <w:tc>
          <w:tcPr>
            <w:tcW w:w="7586" w:type="dxa"/>
          </w:tcPr>
          <w:p w:rsidR="008F35D9" w:rsidRPr="00A9538E" w:rsidRDefault="008F35D9" w:rsidP="008F35D9">
            <w:pPr>
              <w:spacing w:after="0"/>
            </w:pPr>
            <w:r w:rsidRPr="00A9538E">
              <w:t>Фонд „Гарантирани вземания на работниците и служителите”</w:t>
            </w:r>
          </w:p>
        </w:tc>
      </w:tr>
      <w:tr w:rsidR="00513570" w:rsidRPr="005911B3" w:rsidTr="00626AC5">
        <w:trPr>
          <w:trHeight w:val="312"/>
          <w:jc w:val="center"/>
        </w:trPr>
        <w:tc>
          <w:tcPr>
            <w:tcW w:w="1638" w:type="dxa"/>
          </w:tcPr>
          <w:p w:rsidR="00513570" w:rsidRPr="00A9538E" w:rsidRDefault="00513570" w:rsidP="008F35D9">
            <w:pPr>
              <w:spacing w:after="0"/>
            </w:pPr>
            <w:r>
              <w:t>Ф</w:t>
            </w:r>
            <w:r w:rsidRPr="00513570">
              <w:t xml:space="preserve">онд </w:t>
            </w:r>
            <w:r w:rsidR="00626AC5">
              <w:t>„</w:t>
            </w:r>
            <w:r w:rsidRPr="00513570">
              <w:t>СЕлС</w:t>
            </w:r>
            <w:r w:rsidR="00626AC5">
              <w:t>“</w:t>
            </w:r>
          </w:p>
        </w:tc>
        <w:tc>
          <w:tcPr>
            <w:tcW w:w="7586" w:type="dxa"/>
          </w:tcPr>
          <w:p w:rsidR="00513570" w:rsidRPr="00A9538E" w:rsidRDefault="00513570" w:rsidP="008F35D9">
            <w:pPr>
              <w:spacing w:after="0"/>
            </w:pPr>
            <w:r w:rsidRPr="00513570">
              <w:t>Фонд „Сигурност на електроенергийната система“</w:t>
            </w:r>
          </w:p>
        </w:tc>
      </w:tr>
      <w:tr w:rsidR="008F35D9" w:rsidRPr="005911B3" w:rsidTr="00626AC5">
        <w:trPr>
          <w:trHeight w:val="312"/>
          <w:jc w:val="center"/>
        </w:trPr>
        <w:tc>
          <w:tcPr>
            <w:tcW w:w="1638" w:type="dxa"/>
          </w:tcPr>
          <w:p w:rsidR="008F35D9" w:rsidRPr="00A9538E" w:rsidRDefault="008F35D9" w:rsidP="008F35D9">
            <w:pPr>
              <w:spacing w:after="0"/>
            </w:pPr>
            <w:r w:rsidRPr="00A9538E">
              <w:t>ХИПЦ</w:t>
            </w:r>
          </w:p>
        </w:tc>
        <w:tc>
          <w:tcPr>
            <w:tcW w:w="7586" w:type="dxa"/>
          </w:tcPr>
          <w:p w:rsidR="008F35D9" w:rsidRPr="00A9538E" w:rsidRDefault="008F35D9" w:rsidP="008F35D9">
            <w:pPr>
              <w:spacing w:after="0"/>
            </w:pPr>
            <w:r w:rsidRPr="00A9538E">
              <w:t>Хармонизиран индекс на потребителските цени</w:t>
            </w:r>
          </w:p>
        </w:tc>
      </w:tr>
      <w:tr w:rsidR="006932A6" w:rsidRPr="00CA3A2B" w:rsidTr="00626AC5">
        <w:trPr>
          <w:trHeight w:val="312"/>
          <w:jc w:val="center"/>
        </w:trPr>
        <w:tc>
          <w:tcPr>
            <w:tcW w:w="1638" w:type="dxa"/>
          </w:tcPr>
          <w:p w:rsidR="006932A6" w:rsidRPr="00A9538E" w:rsidRDefault="006932A6" w:rsidP="008F35D9">
            <w:pPr>
              <w:spacing w:after="0"/>
            </w:pPr>
            <w:r>
              <w:t>ха</w:t>
            </w:r>
          </w:p>
        </w:tc>
        <w:tc>
          <w:tcPr>
            <w:tcW w:w="7586" w:type="dxa"/>
          </w:tcPr>
          <w:p w:rsidR="006932A6" w:rsidRPr="00A9538E" w:rsidRDefault="006932A6" w:rsidP="008F35D9">
            <w:pPr>
              <w:spacing w:after="0"/>
            </w:pPr>
            <w:r>
              <w:t>Хектара</w:t>
            </w:r>
          </w:p>
        </w:tc>
      </w:tr>
      <w:tr w:rsidR="008F35D9" w:rsidRPr="00CA3A2B" w:rsidTr="00626AC5">
        <w:trPr>
          <w:trHeight w:val="312"/>
          <w:jc w:val="center"/>
        </w:trPr>
        <w:tc>
          <w:tcPr>
            <w:tcW w:w="1638" w:type="dxa"/>
          </w:tcPr>
          <w:p w:rsidR="008F35D9" w:rsidRPr="00A9538E" w:rsidRDefault="008F35D9" w:rsidP="008F35D9">
            <w:pPr>
              <w:spacing w:after="0"/>
            </w:pPr>
            <w:r w:rsidRPr="00A9538E">
              <w:t>щ.д.</w:t>
            </w:r>
          </w:p>
        </w:tc>
        <w:tc>
          <w:tcPr>
            <w:tcW w:w="7586" w:type="dxa"/>
          </w:tcPr>
          <w:p w:rsidR="008F35D9" w:rsidRDefault="008F35D9" w:rsidP="008F35D9">
            <w:pPr>
              <w:spacing w:after="0"/>
            </w:pPr>
            <w:r w:rsidRPr="00A9538E">
              <w:t>Щатски долар</w:t>
            </w:r>
          </w:p>
        </w:tc>
      </w:tr>
      <w:tr w:rsidR="009B24E3" w:rsidRPr="00CA3A2B" w:rsidTr="00626AC5">
        <w:trPr>
          <w:trHeight w:val="312"/>
          <w:jc w:val="center"/>
        </w:trPr>
        <w:tc>
          <w:tcPr>
            <w:tcW w:w="1638" w:type="dxa"/>
          </w:tcPr>
          <w:p w:rsidR="009B24E3" w:rsidRPr="00A9538E" w:rsidRDefault="009B24E3" w:rsidP="008F35D9">
            <w:pPr>
              <w:spacing w:after="0"/>
            </w:pPr>
            <w:bookmarkStart w:id="24" w:name="_Toc464224765"/>
            <w:bookmarkStart w:id="25" w:name="_Toc464225406"/>
            <w:bookmarkStart w:id="26" w:name="_Toc464458952"/>
            <w:bookmarkStart w:id="27" w:name="_Toc464459698"/>
            <w:bookmarkStart w:id="28" w:name="_Toc464460653"/>
            <w:bookmarkStart w:id="29" w:name="_Toc464463052"/>
            <w:bookmarkStart w:id="30" w:name="_Toc464464879"/>
            <w:bookmarkStart w:id="31" w:name="_Toc464465385"/>
            <w:bookmarkStart w:id="32" w:name="_Toc464465573"/>
            <w:bookmarkStart w:id="33" w:name="_Toc464466398"/>
            <w:bookmarkStart w:id="34" w:name="_Toc464466642"/>
            <w:bookmarkStart w:id="35" w:name="_Toc464466720"/>
            <w:r>
              <w:t>ЮИЕ</w:t>
            </w:r>
          </w:p>
        </w:tc>
        <w:tc>
          <w:tcPr>
            <w:tcW w:w="7586" w:type="dxa"/>
          </w:tcPr>
          <w:p w:rsidR="009B24E3" w:rsidRPr="009B24E3" w:rsidRDefault="009B24E3" w:rsidP="008F35D9">
            <w:pPr>
              <w:spacing w:after="0"/>
            </w:pPr>
            <w:r w:rsidRPr="009B24E3">
              <w:rPr>
                <w:bCs/>
              </w:rPr>
              <w:t>Югоизточна Европа</w:t>
            </w:r>
          </w:p>
        </w:tc>
      </w:tr>
    </w:tbl>
    <w:p w:rsidR="00255A91" w:rsidRDefault="00255A91" w:rsidP="008E1EE5">
      <w:pPr>
        <w:rPr>
          <w:rStyle w:val="Hyperlink"/>
          <w:noProof/>
        </w:rPr>
      </w:pPr>
    </w:p>
    <w:p w:rsidR="00255A91" w:rsidRDefault="00255A91" w:rsidP="008E1EE5">
      <w:pPr>
        <w:pStyle w:val="Heading1"/>
        <w:numPr>
          <w:ilvl w:val="0"/>
          <w:numId w:val="0"/>
        </w:numPr>
        <w:sectPr w:rsidR="00255A91" w:rsidSect="00FF16A0">
          <w:headerReference w:type="even" r:id="rId10"/>
          <w:headerReference w:type="default" r:id="rId11"/>
          <w:headerReference w:type="first" r:id="rId12"/>
          <w:type w:val="oddPage"/>
          <w:pgSz w:w="11906" w:h="16838" w:code="9"/>
          <w:pgMar w:top="1418" w:right="1418" w:bottom="851" w:left="1418" w:header="708" w:footer="708" w:gutter="0"/>
          <w:pgNumType w:fmt="numberInDash"/>
          <w:cols w:space="708"/>
          <w:titlePg/>
          <w:docGrid w:linePitch="360"/>
        </w:sectPr>
      </w:pPr>
      <w:bookmarkStart w:id="36" w:name="_Toc464470169"/>
      <w:bookmarkStart w:id="37" w:name="_Toc464470213"/>
      <w:bookmarkStart w:id="38" w:name="_Toc464644944"/>
      <w:bookmarkStart w:id="39" w:name="_Toc464646345"/>
      <w:bookmarkEnd w:id="24"/>
      <w:bookmarkEnd w:id="25"/>
      <w:bookmarkEnd w:id="26"/>
      <w:bookmarkEnd w:id="27"/>
      <w:bookmarkEnd w:id="28"/>
      <w:bookmarkEnd w:id="29"/>
      <w:bookmarkEnd w:id="30"/>
      <w:bookmarkEnd w:id="31"/>
      <w:bookmarkEnd w:id="32"/>
      <w:bookmarkEnd w:id="33"/>
      <w:bookmarkEnd w:id="34"/>
      <w:bookmarkEnd w:id="35"/>
    </w:p>
    <w:p w:rsidR="00083361" w:rsidRPr="00A52E2F" w:rsidRDefault="00083361" w:rsidP="008E1EE5">
      <w:pPr>
        <w:pStyle w:val="Heading1"/>
        <w:numPr>
          <w:ilvl w:val="0"/>
          <w:numId w:val="0"/>
        </w:numPr>
      </w:pPr>
      <w:bookmarkStart w:id="40" w:name="_Toc465205487"/>
      <w:bookmarkStart w:id="41" w:name="_Toc23337465"/>
      <w:r w:rsidRPr="00A52E2F">
        <w:t>Въведение</w:t>
      </w:r>
      <w:bookmarkEnd w:id="36"/>
      <w:bookmarkEnd w:id="37"/>
      <w:bookmarkEnd w:id="38"/>
      <w:bookmarkEnd w:id="39"/>
      <w:bookmarkEnd w:id="40"/>
      <w:bookmarkEnd w:id="41"/>
    </w:p>
    <w:p w:rsidR="00652E06" w:rsidRPr="00EE49F0" w:rsidRDefault="00652E06" w:rsidP="00C12DD5">
      <w:pPr>
        <w:spacing w:before="120" w:after="0"/>
        <w:rPr>
          <w:rFonts w:eastAsia="Times New Roman" w:cs="Times New Roman"/>
          <w:lang w:eastAsia="zh-CN"/>
        </w:rPr>
      </w:pPr>
      <w:r w:rsidRPr="00EE49F0">
        <w:rPr>
          <w:rFonts w:eastAsia="Times New Roman" w:cs="Times New Roman"/>
          <w:lang w:eastAsia="zh-CN"/>
        </w:rPr>
        <w:t>Актуализираната средносрочна б</w:t>
      </w:r>
      <w:r w:rsidR="009B3C1F" w:rsidRPr="00EE49F0">
        <w:rPr>
          <w:rFonts w:eastAsia="Times New Roman" w:cs="Times New Roman"/>
          <w:lang w:eastAsia="zh-CN"/>
        </w:rPr>
        <w:t>юджетна прогноза за периода 2020-2022</w:t>
      </w:r>
      <w:r w:rsidRPr="00EE49F0">
        <w:rPr>
          <w:rFonts w:eastAsia="Times New Roman" w:cs="Times New Roman"/>
          <w:lang w:eastAsia="zh-CN"/>
        </w:rPr>
        <w:t xml:space="preserve"> г. е изготвена на основание чл. 79 от Закона за публичните финанси и с нея се актуализира средносрочната бюджетна пр</w:t>
      </w:r>
      <w:r w:rsidR="009B3C1F" w:rsidRPr="00EE49F0">
        <w:rPr>
          <w:rFonts w:eastAsia="Times New Roman" w:cs="Times New Roman"/>
          <w:lang w:eastAsia="zh-CN"/>
        </w:rPr>
        <w:t>огноза, одобрена с Решение № 195</w:t>
      </w:r>
      <w:r w:rsidRPr="00EE49F0">
        <w:rPr>
          <w:rFonts w:eastAsia="Times New Roman" w:cs="Times New Roman"/>
          <w:lang w:eastAsia="zh-CN"/>
        </w:rPr>
        <w:t xml:space="preserve"> на Министерския съвет от </w:t>
      </w:r>
      <w:r w:rsidR="009B3C1F" w:rsidRPr="00EE49F0">
        <w:rPr>
          <w:rFonts w:eastAsia="Times New Roman" w:cs="Times New Roman"/>
          <w:lang w:eastAsia="zh-CN"/>
        </w:rPr>
        <w:t>2019</w:t>
      </w:r>
      <w:r w:rsidR="001F2513" w:rsidRPr="00EE49F0">
        <w:rPr>
          <w:rFonts w:eastAsia="Times New Roman" w:cs="Times New Roman"/>
          <w:lang w:eastAsia="zh-CN"/>
        </w:rPr>
        <w:t xml:space="preserve"> </w:t>
      </w:r>
      <w:r w:rsidRPr="00EE49F0">
        <w:rPr>
          <w:rFonts w:eastAsia="Times New Roman" w:cs="Times New Roman"/>
          <w:lang w:eastAsia="zh-CN"/>
        </w:rPr>
        <w:t>година.</w:t>
      </w:r>
      <w:r w:rsidR="001D7373" w:rsidRPr="00EE49F0">
        <w:rPr>
          <w:rFonts w:eastAsia="Times New Roman" w:cs="Times New Roman"/>
          <w:lang w:eastAsia="zh-CN"/>
        </w:rPr>
        <w:t xml:space="preserve"> </w:t>
      </w:r>
      <w:r w:rsidRPr="00EE49F0">
        <w:rPr>
          <w:rFonts w:eastAsia="Times New Roman" w:cs="Times New Roman"/>
          <w:lang w:eastAsia="zh-CN"/>
        </w:rPr>
        <w:t>Тя представлява мотиви към законопроекта за държавния бюдж</w:t>
      </w:r>
      <w:r w:rsidR="009B3C1F" w:rsidRPr="00EE49F0">
        <w:rPr>
          <w:rFonts w:eastAsia="Times New Roman" w:cs="Times New Roman"/>
          <w:lang w:eastAsia="zh-CN"/>
        </w:rPr>
        <w:t>ет на Република България за 2020</w:t>
      </w:r>
      <w:r w:rsidRPr="00EE49F0">
        <w:rPr>
          <w:rFonts w:eastAsia="Times New Roman" w:cs="Times New Roman"/>
          <w:lang w:eastAsia="zh-CN"/>
        </w:rPr>
        <w:t xml:space="preserve"> г. и включва средносрочните икономически перспективи и основни допускания, фискалните цели</w:t>
      </w:r>
      <w:r w:rsidR="001E20A5" w:rsidRPr="00EE49F0">
        <w:rPr>
          <w:rFonts w:eastAsia="Times New Roman" w:cs="Times New Roman"/>
          <w:lang w:eastAsia="zh-CN"/>
        </w:rPr>
        <w:t xml:space="preserve"> и приоритети на правителството.</w:t>
      </w:r>
      <w:r w:rsidRPr="00EE49F0">
        <w:rPr>
          <w:rFonts w:eastAsia="Times New Roman" w:cs="Times New Roman"/>
          <w:lang w:eastAsia="zh-CN"/>
        </w:rPr>
        <w:t xml:space="preserve"> </w:t>
      </w:r>
    </w:p>
    <w:p w:rsidR="00652E06" w:rsidRPr="00EE49F0" w:rsidRDefault="00652E06" w:rsidP="00C12DD5">
      <w:pPr>
        <w:spacing w:before="120" w:after="0"/>
        <w:rPr>
          <w:rFonts w:eastAsia="Times New Roman" w:cs="Times New Roman"/>
          <w:lang w:eastAsia="zh-CN"/>
        </w:rPr>
      </w:pPr>
      <w:r w:rsidRPr="00EE49F0">
        <w:rPr>
          <w:rFonts w:eastAsia="Times New Roman" w:cs="Times New Roman"/>
          <w:lang w:eastAsia="zh-CN"/>
        </w:rPr>
        <w:t>Настоящата средносрочна б</w:t>
      </w:r>
      <w:r w:rsidR="009B3C1F" w:rsidRPr="00EE49F0">
        <w:rPr>
          <w:rFonts w:eastAsia="Times New Roman" w:cs="Times New Roman"/>
          <w:lang w:eastAsia="zh-CN"/>
        </w:rPr>
        <w:t xml:space="preserve">юджетна прогноза </w:t>
      </w:r>
      <w:r w:rsidRPr="00EE49F0">
        <w:rPr>
          <w:rFonts w:eastAsia="Times New Roman" w:cs="Times New Roman"/>
          <w:lang w:eastAsia="zh-CN"/>
        </w:rPr>
        <w:t>съдържа изискваната съгласно Закона за публичните финанси съпоставка на макроикономическата прогноза на Министерството на финансите с тази на ЕК. Включена е и съпоставка на прогнозата на Министерството на финансите с прогнозата на ЕК по отношение на показателите на сектор „Държавно управление“.</w:t>
      </w:r>
    </w:p>
    <w:p w:rsidR="00652E06" w:rsidRPr="00EE49F0" w:rsidRDefault="00040015" w:rsidP="00C12DD5">
      <w:pPr>
        <w:spacing w:before="120" w:after="0"/>
        <w:rPr>
          <w:rFonts w:eastAsia="Times New Roman" w:cs="Times New Roman"/>
          <w:lang w:eastAsia="zh-CN"/>
        </w:rPr>
      </w:pPr>
      <w:r w:rsidRPr="00EE49F0">
        <w:rPr>
          <w:rFonts w:eastAsia="Times New Roman" w:cs="Times New Roman"/>
          <w:lang w:eastAsia="zh-CN"/>
        </w:rPr>
        <w:t>Запазва се въведеният с АСБП за периода 2019-2021 г.</w:t>
      </w:r>
      <w:r w:rsidR="0034315D" w:rsidRPr="00EE49F0">
        <w:rPr>
          <w:rFonts w:eastAsia="Times New Roman" w:cs="Times New Roman"/>
          <w:lang w:eastAsia="zh-CN"/>
        </w:rPr>
        <w:t xml:space="preserve"> нов</w:t>
      </w:r>
      <w:r w:rsidRPr="00EE49F0">
        <w:rPr>
          <w:rFonts w:eastAsia="Times New Roman" w:cs="Times New Roman"/>
          <w:lang w:eastAsia="zh-CN"/>
        </w:rPr>
        <w:t xml:space="preserve"> подход в съдържанието на прогнозата с включването на повече информация при представянето на разходните политики с акцент върху ключовите индикатори за измерване на степента на изпълнението им, с цел чрез дефинирането на устойчиви индикатори да се създаде възможност за проследяване на постигнатия напредък по провежданите политики и за по-ефективно и ефикасно управление на публичните разходи.</w:t>
      </w:r>
    </w:p>
    <w:p w:rsidR="00652E06" w:rsidRPr="00EE49F0" w:rsidRDefault="00652E06" w:rsidP="00C12DD5">
      <w:pPr>
        <w:spacing w:before="120" w:after="0"/>
        <w:rPr>
          <w:rFonts w:eastAsia="Times New Roman" w:cs="Times New Roman"/>
          <w:lang w:eastAsia="zh-CN"/>
        </w:rPr>
      </w:pPr>
      <w:r w:rsidRPr="00EE49F0">
        <w:rPr>
          <w:rFonts w:eastAsia="Times New Roman" w:cs="Times New Roman"/>
          <w:lang w:eastAsia="zh-CN"/>
        </w:rPr>
        <w:t>Макроикономическата прогноза, използвана при разработването на актуализираната средносрочна бюджетна прогноза, се базира на допусканията за основни показатели на външната среда на Европейската комисия</w:t>
      </w:r>
      <w:r w:rsidRPr="00C530CF">
        <w:rPr>
          <w:rFonts w:eastAsia="Times New Roman" w:cs="Times New Roman"/>
          <w:lang w:eastAsia="zh-CN"/>
        </w:rPr>
        <w:t>, Международния валутен фонд</w:t>
      </w:r>
      <w:r w:rsidRPr="00EE49F0">
        <w:rPr>
          <w:rFonts w:eastAsia="Times New Roman" w:cs="Times New Roman"/>
          <w:lang w:eastAsia="zh-CN"/>
        </w:rPr>
        <w:t xml:space="preserve"> и Министерството на финансите на Република България, актуални към месец </w:t>
      </w:r>
      <w:r w:rsidR="00547CF6" w:rsidRPr="00EE49F0">
        <w:rPr>
          <w:rFonts w:eastAsia="Times New Roman" w:cs="Times New Roman"/>
          <w:lang w:eastAsia="zh-CN"/>
        </w:rPr>
        <w:t>октомври</w:t>
      </w:r>
      <w:r w:rsidRPr="00EE49F0">
        <w:rPr>
          <w:rFonts w:eastAsia="Times New Roman" w:cs="Times New Roman"/>
          <w:lang w:eastAsia="zh-CN"/>
        </w:rPr>
        <w:t xml:space="preserve"> 201</w:t>
      </w:r>
      <w:r w:rsidR="00547CF6" w:rsidRPr="00EE49F0">
        <w:rPr>
          <w:rFonts w:eastAsia="Times New Roman" w:cs="Times New Roman"/>
          <w:lang w:eastAsia="zh-CN"/>
        </w:rPr>
        <w:t>9</w:t>
      </w:r>
      <w:r w:rsidRPr="00EE49F0">
        <w:rPr>
          <w:rFonts w:eastAsia="Times New Roman" w:cs="Times New Roman"/>
          <w:lang w:eastAsia="zh-CN"/>
        </w:rPr>
        <w:t xml:space="preserve"> година.</w:t>
      </w:r>
    </w:p>
    <w:p w:rsidR="00652E06" w:rsidRPr="00EE49F0" w:rsidRDefault="00652E06" w:rsidP="00C12DD5">
      <w:pPr>
        <w:spacing w:before="120" w:after="0"/>
        <w:rPr>
          <w:rFonts w:eastAsia="Times New Roman" w:cs="Times New Roman"/>
          <w:lang w:eastAsia="zh-CN"/>
        </w:rPr>
      </w:pPr>
      <w:r w:rsidRPr="00EE49F0">
        <w:rPr>
          <w:rFonts w:eastAsia="Times New Roman" w:cs="Times New Roman"/>
          <w:lang w:eastAsia="zh-CN"/>
        </w:rPr>
        <w:t xml:space="preserve">Ключови цели продължават да бъдат запазването на фискалната устойчивост и провеждането на последователна, прозрачна и предвидима фискална политика, която да допринася за подобряване на бизнес средата, насърчаване на инвестициите и стимулиране развитието на трудовия пазар за постигане на икономически растеж и заетост, придържайки се към общите правила на ЕС. </w:t>
      </w:r>
    </w:p>
    <w:p w:rsidR="00D93C37" w:rsidRPr="00EE49F0" w:rsidRDefault="00D93C37" w:rsidP="00D93C37">
      <w:pPr>
        <w:spacing w:before="120" w:after="0"/>
        <w:rPr>
          <w:rFonts w:eastAsia="Times New Roman" w:cs="Times New Roman"/>
          <w:lang w:eastAsia="zh-CN"/>
        </w:rPr>
      </w:pPr>
      <w:r w:rsidRPr="00FD0B29">
        <w:rPr>
          <w:rFonts w:eastAsia="Times New Roman" w:cs="Times New Roman"/>
          <w:lang w:eastAsia="zh-CN"/>
        </w:rPr>
        <w:t xml:space="preserve">Очакваното изпълнение за тази година отчита </w:t>
      </w:r>
      <w:r w:rsidRPr="000D123C">
        <w:rPr>
          <w:rFonts w:eastAsia="Times New Roman" w:cs="Times New Roman"/>
          <w:lang w:eastAsia="zh-CN"/>
        </w:rPr>
        <w:t xml:space="preserve">измененията </w:t>
      </w:r>
      <w:r w:rsidR="00A10AD9">
        <w:rPr>
          <w:rFonts w:eastAsia="Times New Roman" w:cs="Times New Roman"/>
          <w:lang w:eastAsia="zh-CN"/>
        </w:rPr>
        <w:t xml:space="preserve">и допълнениията </w:t>
      </w:r>
      <w:r w:rsidRPr="000D123C">
        <w:rPr>
          <w:rFonts w:eastAsia="Times New Roman" w:cs="Times New Roman"/>
          <w:lang w:eastAsia="zh-CN"/>
        </w:rPr>
        <w:t>в</w:t>
      </w:r>
      <w:r w:rsidRPr="00C22104">
        <w:rPr>
          <w:rFonts w:eastAsia="Times New Roman" w:cs="Times New Roman"/>
          <w:lang w:eastAsia="zh-CN"/>
        </w:rPr>
        <w:t xml:space="preserve"> ЗДБРБ за 2019 г. във връзка с обезпечаване на допълнителни разходи за изпълнение на проект за инвестиционен разход за придобиване на нов тип боен самолет,</w:t>
      </w:r>
      <w:r w:rsidRPr="000D123C">
        <w:rPr>
          <w:rFonts w:eastAsia="Times New Roman" w:cs="Times New Roman"/>
          <w:lang w:eastAsia="zh-CN"/>
        </w:rPr>
        <w:t xml:space="preserve"> както и предложените промени по бюджета на </w:t>
      </w:r>
      <w:r w:rsidR="00F161B3" w:rsidRPr="00F161B3">
        <w:rPr>
          <w:rFonts w:eastAsia="Times New Roman" w:cs="Times New Roman"/>
          <w:lang w:eastAsia="zh-CN"/>
        </w:rPr>
        <w:t xml:space="preserve">Държавната агенция „Технически операции“ </w:t>
      </w:r>
      <w:r w:rsidRPr="000D123C">
        <w:rPr>
          <w:rFonts w:eastAsia="Times New Roman" w:cs="Times New Roman"/>
          <w:lang w:eastAsia="zh-CN"/>
        </w:rPr>
        <w:t>за 2019 г.,</w:t>
      </w:r>
      <w:r w:rsidRPr="00FD0B29">
        <w:rPr>
          <w:rFonts w:eastAsia="Times New Roman" w:cs="Times New Roman"/>
          <w:lang w:eastAsia="zh-CN"/>
        </w:rPr>
        <w:t xml:space="preserve"> с ко</w:t>
      </w:r>
      <w:r w:rsidRPr="000D123C">
        <w:rPr>
          <w:rFonts w:eastAsia="Times New Roman" w:cs="Times New Roman"/>
          <w:lang w:eastAsia="zh-CN"/>
        </w:rPr>
        <w:t>и</w:t>
      </w:r>
      <w:r w:rsidRPr="00FD0B29">
        <w:rPr>
          <w:rFonts w:eastAsia="Times New Roman" w:cs="Times New Roman"/>
          <w:lang w:eastAsia="zh-CN"/>
        </w:rPr>
        <w:t xml:space="preserve">то бюджетното салдо по КФП </w:t>
      </w:r>
      <w:r w:rsidRPr="000D123C">
        <w:rPr>
          <w:rFonts w:eastAsia="Times New Roman" w:cs="Times New Roman"/>
          <w:lang w:eastAsia="zh-CN"/>
        </w:rPr>
        <w:t xml:space="preserve">за </w:t>
      </w:r>
      <w:r w:rsidR="004945F6">
        <w:rPr>
          <w:rFonts w:eastAsia="Times New Roman" w:cs="Times New Roman"/>
          <w:lang w:eastAsia="zh-CN"/>
        </w:rPr>
        <w:t>тази</w:t>
      </w:r>
      <w:r w:rsidRPr="000D123C">
        <w:rPr>
          <w:rFonts w:eastAsia="Times New Roman" w:cs="Times New Roman"/>
          <w:lang w:eastAsia="zh-CN"/>
        </w:rPr>
        <w:t xml:space="preserve"> година се очаква да е </w:t>
      </w:r>
      <w:r w:rsidR="00766E91">
        <w:rPr>
          <w:rFonts w:eastAsia="Times New Roman" w:cs="Times New Roman"/>
          <w:lang w:eastAsia="zh-CN"/>
        </w:rPr>
        <w:t xml:space="preserve">дефицит </w:t>
      </w:r>
      <w:r w:rsidRPr="000D123C">
        <w:rPr>
          <w:rFonts w:eastAsia="Times New Roman" w:cs="Times New Roman"/>
          <w:lang w:eastAsia="zh-CN"/>
        </w:rPr>
        <w:t xml:space="preserve">в размер на </w:t>
      </w:r>
      <w:r w:rsidRPr="00FD0B29">
        <w:rPr>
          <w:rFonts w:eastAsia="Times New Roman" w:cs="Times New Roman"/>
          <w:lang w:eastAsia="zh-CN"/>
        </w:rPr>
        <w:t>2,</w:t>
      </w:r>
      <w:r w:rsidRPr="000D123C">
        <w:rPr>
          <w:rFonts w:eastAsia="Times New Roman" w:cs="Times New Roman"/>
          <w:lang w:eastAsia="zh-CN"/>
        </w:rPr>
        <w:t>0</w:t>
      </w:r>
      <w:r w:rsidRPr="00FD0B29">
        <w:rPr>
          <w:rFonts w:eastAsia="Times New Roman" w:cs="Times New Roman"/>
          <w:lang w:eastAsia="zh-CN"/>
        </w:rPr>
        <w:t>% от БВП</w:t>
      </w:r>
      <w:r w:rsidRPr="00C22104">
        <w:rPr>
          <w:rFonts w:eastAsia="Times New Roman" w:cs="Times New Roman"/>
          <w:lang w:eastAsia="zh-CN"/>
        </w:rPr>
        <w:t>.</w:t>
      </w:r>
    </w:p>
    <w:p w:rsidR="00D93C37" w:rsidRPr="00EE49F0" w:rsidRDefault="00D93C37" w:rsidP="00D93C37">
      <w:pPr>
        <w:spacing w:before="120" w:after="0"/>
        <w:rPr>
          <w:rFonts w:eastAsia="Times New Roman" w:cs="Times New Roman"/>
          <w:lang w:eastAsia="zh-CN"/>
        </w:rPr>
      </w:pPr>
      <w:r w:rsidRPr="00EE49F0">
        <w:rPr>
          <w:rFonts w:eastAsia="Times New Roman" w:cs="Times New Roman"/>
          <w:lang w:eastAsia="zh-CN"/>
        </w:rPr>
        <w:t xml:space="preserve">В настоящата прогноза се запазват </w:t>
      </w:r>
      <w:r w:rsidRPr="00EE49F0">
        <w:rPr>
          <w:rFonts w:eastAsia="Times New Roman" w:cs="Times New Roman"/>
          <w:b/>
          <w:lang w:eastAsia="zh-CN"/>
        </w:rPr>
        <w:t>целите за бюджетното салдо</w:t>
      </w:r>
      <w:r w:rsidRPr="00EE49F0">
        <w:rPr>
          <w:rFonts w:eastAsia="Times New Roman" w:cs="Times New Roman"/>
          <w:lang w:eastAsia="zh-CN"/>
        </w:rPr>
        <w:t>, заложени в СБП за периода 2020-2022 г. - достигане до балансирана бюджетна позиция през 2020 г. и запазването ѝ през следващите години. Целта за постигане и поддържане на балансиран бюджет остава непроменена в продължение на няколко поредни цикъла на подготовка на бюджета.</w:t>
      </w:r>
    </w:p>
    <w:p w:rsidR="00C60E7D" w:rsidRPr="00D142D3" w:rsidRDefault="00C60E7D" w:rsidP="00C60E7D">
      <w:pPr>
        <w:spacing w:before="120" w:after="0"/>
        <w:rPr>
          <w:rFonts w:eastAsia="Times New Roman" w:cs="Times New Roman"/>
          <w:lang w:eastAsia="zh-CN"/>
        </w:rPr>
      </w:pPr>
      <w:r w:rsidRPr="00EE49F0">
        <w:rPr>
          <w:rFonts w:eastAsia="Times New Roman" w:cs="Times New Roman"/>
          <w:lang w:eastAsia="zh-CN"/>
        </w:rPr>
        <w:t>Изразени като процент от БВП, и при приходите</w:t>
      </w:r>
      <w:r w:rsidR="004945F6">
        <w:rPr>
          <w:rFonts w:eastAsia="Times New Roman" w:cs="Times New Roman"/>
          <w:lang w:eastAsia="zh-CN"/>
        </w:rPr>
        <w:t>,</w:t>
      </w:r>
      <w:r w:rsidRPr="00EE49F0">
        <w:rPr>
          <w:rFonts w:eastAsia="Times New Roman" w:cs="Times New Roman"/>
          <w:lang w:eastAsia="zh-CN"/>
        </w:rPr>
        <w:t xml:space="preserve"> и при разходите за периода 2020-2022 г. се наблюдава тенденция на спад </w:t>
      </w:r>
      <w:r w:rsidRPr="00D142D3">
        <w:rPr>
          <w:rFonts w:eastAsia="Times New Roman" w:cs="Times New Roman"/>
          <w:lang w:eastAsia="zh-CN"/>
        </w:rPr>
        <w:t>от 36,9% до 35,0%, а в номинален размер параметрите на тези показатели се увеличават, като от 46 8</w:t>
      </w:r>
      <w:r w:rsidRPr="00D142D3">
        <w:rPr>
          <w:rFonts w:eastAsia="Times New Roman" w:cs="Times New Roman"/>
          <w:lang w:val="ru-RU" w:eastAsia="zh-CN"/>
        </w:rPr>
        <w:t>26</w:t>
      </w:r>
      <w:r w:rsidRPr="00D142D3">
        <w:rPr>
          <w:rFonts w:eastAsia="Times New Roman" w:cs="Times New Roman"/>
          <w:lang w:eastAsia="zh-CN"/>
        </w:rPr>
        <w:t>,</w:t>
      </w:r>
      <w:r w:rsidRPr="00D142D3">
        <w:rPr>
          <w:rFonts w:eastAsia="Times New Roman" w:cs="Times New Roman"/>
          <w:lang w:val="ru-RU" w:eastAsia="zh-CN"/>
        </w:rPr>
        <w:t>5</w:t>
      </w:r>
      <w:r w:rsidRPr="00D142D3">
        <w:rPr>
          <w:rFonts w:eastAsia="Times New Roman" w:cs="Times New Roman"/>
          <w:lang w:eastAsia="zh-CN"/>
        </w:rPr>
        <w:t xml:space="preserve"> млн. лв. за 2020 г. се очаква да достигнат 50 14</w:t>
      </w:r>
      <w:r w:rsidRPr="00D142D3">
        <w:rPr>
          <w:rFonts w:eastAsia="Times New Roman" w:cs="Times New Roman"/>
          <w:lang w:val="ru-RU" w:eastAsia="zh-CN"/>
        </w:rPr>
        <w:t>2</w:t>
      </w:r>
      <w:r w:rsidRPr="00D142D3">
        <w:rPr>
          <w:rFonts w:eastAsia="Times New Roman" w:cs="Times New Roman"/>
          <w:lang w:eastAsia="zh-CN"/>
        </w:rPr>
        <w:t>,</w:t>
      </w:r>
      <w:r w:rsidRPr="00D142D3">
        <w:rPr>
          <w:rFonts w:eastAsia="Times New Roman" w:cs="Times New Roman"/>
          <w:lang w:val="ru-RU" w:eastAsia="zh-CN"/>
        </w:rPr>
        <w:t>9</w:t>
      </w:r>
      <w:r w:rsidRPr="00D142D3">
        <w:rPr>
          <w:rFonts w:eastAsia="Times New Roman" w:cs="Times New Roman"/>
          <w:lang w:eastAsia="zh-CN"/>
        </w:rPr>
        <w:t xml:space="preserve"> млн. лв. през 2022 г. </w:t>
      </w:r>
    </w:p>
    <w:p w:rsidR="00D93C37" w:rsidRPr="00257C2D" w:rsidRDefault="00D93C37" w:rsidP="00D93C37">
      <w:pPr>
        <w:spacing w:before="120" w:after="0"/>
        <w:rPr>
          <w:rFonts w:eastAsia="Times New Roman" w:cs="Times New Roman"/>
          <w:lang w:eastAsia="zh-CN"/>
        </w:rPr>
      </w:pPr>
      <w:r w:rsidRPr="00257C2D">
        <w:rPr>
          <w:rFonts w:eastAsia="Times New Roman" w:cs="Times New Roman"/>
          <w:lang w:eastAsia="zh-CN"/>
        </w:rPr>
        <w:t xml:space="preserve">При отчетено положително салдо на сектор „Държавно управление“ (на начислена основа) за 2018 г., през 2019 г. се очаква бюджетното салдо </w:t>
      </w:r>
      <w:r w:rsidR="009254A5">
        <w:rPr>
          <w:rFonts w:eastAsia="Times New Roman" w:cs="Times New Roman"/>
          <w:lang w:eastAsia="zh-CN"/>
        </w:rPr>
        <w:t>също да бъде положително-</w:t>
      </w:r>
      <w:r w:rsidRPr="00257C2D">
        <w:rPr>
          <w:rFonts w:eastAsia="Times New Roman" w:cs="Times New Roman"/>
          <w:lang w:eastAsia="zh-CN"/>
        </w:rPr>
        <w:t>в размер на 0,05% от БВП. В средносрочен план се очаква деф</w:t>
      </w:r>
      <w:r w:rsidR="00990E62">
        <w:rPr>
          <w:rFonts w:eastAsia="Times New Roman" w:cs="Times New Roman"/>
          <w:lang w:eastAsia="zh-CN"/>
        </w:rPr>
        <w:t>ицит за 2020 г. в размер на 0,1</w:t>
      </w:r>
      <w:r w:rsidRPr="00257C2D">
        <w:rPr>
          <w:rFonts w:eastAsia="Times New Roman" w:cs="Times New Roman"/>
          <w:lang w:eastAsia="zh-CN"/>
        </w:rPr>
        <w:t xml:space="preserve">% от БВП и излишък съответно от 0,5% и 0,1% от БВП за 2021 г. и 2022 г. </w:t>
      </w:r>
    </w:p>
    <w:p w:rsidR="00D93C37" w:rsidRDefault="00D93C37" w:rsidP="00C12DD5">
      <w:pPr>
        <w:spacing w:before="120" w:after="0"/>
        <w:rPr>
          <w:rFonts w:eastAsia="Times New Roman" w:cs="Times New Roman"/>
          <w:lang w:eastAsia="zh-CN"/>
        </w:rPr>
      </w:pPr>
      <w:r w:rsidRPr="00EE49F0">
        <w:rPr>
          <w:rFonts w:eastAsia="Times New Roman" w:cs="Times New Roman"/>
          <w:lang w:eastAsia="zh-CN"/>
        </w:rPr>
        <w:t>Приходните и разходните политики в тази прогноза са продължение на заложените в СБП за периода 2020-2022 г., като за надграждането с нови са взети предвид както макроикономическите аспекти, така и фискални</w:t>
      </w:r>
      <w:r>
        <w:rPr>
          <w:rFonts w:eastAsia="Times New Roman" w:cs="Times New Roman"/>
          <w:lang w:eastAsia="zh-CN"/>
        </w:rPr>
        <w:t>те</w:t>
      </w:r>
      <w:r w:rsidRPr="00EE49F0">
        <w:rPr>
          <w:rFonts w:eastAsia="Times New Roman" w:cs="Times New Roman"/>
          <w:lang w:eastAsia="zh-CN"/>
        </w:rPr>
        <w:t xml:space="preserve"> възможности за осигуряване на финансиране на приоритетните сектори и за реализиране на хоризонтални мерки, засягащи бюджетната сфера</w:t>
      </w:r>
      <w:r>
        <w:rPr>
          <w:rFonts w:eastAsia="Times New Roman" w:cs="Times New Roman"/>
          <w:lang w:eastAsia="zh-CN"/>
        </w:rPr>
        <w:t>.</w:t>
      </w:r>
    </w:p>
    <w:p w:rsidR="00160314" w:rsidRPr="00EE49F0" w:rsidRDefault="00160314" w:rsidP="00C12DD5">
      <w:pPr>
        <w:spacing w:before="120" w:after="0"/>
        <w:rPr>
          <w:rFonts w:eastAsia="Times New Roman" w:cs="Times New Roman"/>
          <w:lang w:eastAsia="zh-CN"/>
        </w:rPr>
      </w:pPr>
      <w:r w:rsidRPr="00EE49F0">
        <w:rPr>
          <w:rFonts w:eastAsia="Times New Roman" w:cs="Times New Roman"/>
          <w:lang w:eastAsia="zh-CN"/>
        </w:rPr>
        <w:t xml:space="preserve">Основните цели на данъчната политика са повишаване на приходите от данъци, справяне със сенчестата икономика и намаляване на административната тежест и разходите за бизнеса и гражданите. Приоритетите на данъчната политика са съобразени с дадената от Съвета на Европейския съюз специфична препоръка към България за подобряването на събираемостта на данъците. </w:t>
      </w:r>
    </w:p>
    <w:p w:rsidR="00160314" w:rsidRPr="00EE49F0" w:rsidRDefault="00160314" w:rsidP="00931EB2">
      <w:pPr>
        <w:spacing w:before="120" w:after="120"/>
        <w:rPr>
          <w:rFonts w:eastAsia="Times New Roman" w:cs="Times New Roman"/>
          <w:lang w:eastAsia="zh-CN"/>
        </w:rPr>
      </w:pPr>
      <w:r w:rsidRPr="00EE49F0">
        <w:rPr>
          <w:rFonts w:eastAsia="Times New Roman" w:cs="Times New Roman"/>
          <w:lang w:eastAsia="zh-CN"/>
        </w:rPr>
        <w:t>В средносрочен план се предвижда запазване на ниските данъчни ставки на корпоративните данъци и тези на данъците върху доходите на физическите лица, което допринася за повишаване на икономическия растеж и има положително влияние върху търсенето и предлагането на труд.</w:t>
      </w:r>
    </w:p>
    <w:p w:rsidR="00EE49F0" w:rsidRPr="00EE49F0" w:rsidRDefault="00EE49F0" w:rsidP="00EE49F0">
      <w:pPr>
        <w:rPr>
          <w:rFonts w:eastAsia="Times New Roman" w:cs="Times New Roman"/>
          <w:lang w:eastAsia="zh-CN"/>
        </w:rPr>
      </w:pPr>
      <w:r w:rsidRPr="00EE49F0">
        <w:rPr>
          <w:rFonts w:eastAsia="Times New Roman" w:cs="Times New Roman"/>
          <w:b/>
          <w:lang w:eastAsia="zh-CN"/>
        </w:rPr>
        <w:t>Приоритетите на Бюджет 2020</w:t>
      </w:r>
      <w:r w:rsidRPr="00EE49F0">
        <w:rPr>
          <w:rFonts w:eastAsia="Times New Roman" w:cs="Times New Roman"/>
          <w:lang w:eastAsia="zh-CN"/>
        </w:rPr>
        <w:t>, които надграждат вече заложените в средносрочната бюджетна прогноза от пролетта приоритети и допускания за развитие на секторните и хоризонталните политики, са както следва:</w:t>
      </w:r>
    </w:p>
    <w:p w:rsidR="00EE49F0" w:rsidRPr="00A51B25" w:rsidRDefault="00EE49F0" w:rsidP="00EE49F0">
      <w:r w:rsidRPr="00EE49F0">
        <w:rPr>
          <w:rFonts w:eastAsia="Times New Roman" w:cs="Times New Roman"/>
          <w:b/>
          <w:lang w:eastAsia="zh-CN"/>
        </w:rPr>
        <w:t>Образование.</w:t>
      </w:r>
      <w:r w:rsidRPr="00EE49F0">
        <w:t xml:space="preserve"> През 2020-2022 г. ще продължи реализирането на мерките, насочени към повишаване привлекателността на учителската професия и мотивацията на действащите учители</w:t>
      </w:r>
      <w:r w:rsidR="00DE0675">
        <w:t xml:space="preserve">. </w:t>
      </w:r>
      <w:r w:rsidRPr="00EE49F0">
        <w:t>Навлизането на млади и високообразовани хора в образователната система неминуемо ще се отрази положително върху качеството на придобитите знания и умения на учениците. Насърчаването на зрелостниците с високи образователни резултати да получат педагогическо образование и да постъпват на работа в образователната система е сред приоритет</w:t>
      </w:r>
      <w:r w:rsidR="009254A5">
        <w:t>ните мерки, реализирането на кои</w:t>
      </w:r>
      <w:r w:rsidRPr="00EE49F0">
        <w:t xml:space="preserve">то </w:t>
      </w:r>
      <w:r w:rsidRPr="00A51B25">
        <w:t>ще позволи да се преодолее очаквания недостиг на педагогически специалисти.</w:t>
      </w:r>
      <w:r w:rsidR="00F30595">
        <w:t xml:space="preserve"> </w:t>
      </w:r>
    </w:p>
    <w:p w:rsidR="00EE49F0" w:rsidRPr="00A51B25" w:rsidRDefault="00EE49F0" w:rsidP="00EE49F0">
      <w:r w:rsidRPr="00A51B25">
        <w:rPr>
          <w:b/>
        </w:rPr>
        <w:t>Здравеопазване.</w:t>
      </w:r>
      <w:r w:rsidRPr="00A51B25">
        <w:t xml:space="preserve"> О</w:t>
      </w:r>
      <w:r w:rsidR="00991966">
        <w:t>сновните приоритетни направления</w:t>
      </w:r>
      <w:r w:rsidRPr="00A51B25">
        <w:t xml:space="preserve"> в областта на здравеопазването през тригодишния период </w:t>
      </w:r>
      <w:r w:rsidR="00DE0675">
        <w:t>са</w:t>
      </w:r>
      <w:r w:rsidRPr="00A51B25">
        <w:t xml:space="preserve"> осигуряване на финансова устойчивост и обезпеченост на здравната система с цел подобряване здравето на населението</w:t>
      </w:r>
      <w:r w:rsidRPr="00A51B25">
        <w:rPr>
          <w:sz w:val="23"/>
          <w:szCs w:val="23"/>
        </w:rPr>
        <w:t xml:space="preserve">, </w:t>
      </w:r>
      <w:r w:rsidRPr="00A5292E">
        <w:rPr>
          <w:szCs w:val="24"/>
        </w:rPr>
        <w:t>повишаване и поддържане качеството на живот през целия жизнен цикъл чрез намаляване на преждевременната смъртност и заболеваемостта,</w:t>
      </w:r>
      <w:r w:rsidRPr="00A51B25">
        <w:t xml:space="preserve"> както и преодоляване на регионалните дисбаланси и осигуряване на функционално взаимодействие между отделните нива на медицинска помощ. Ще продължи реализирането на мерки по оптимизиране на структурата на разходите за различните видове медицински дейности, лекарствени продукти и медицински изделия на базата на договаряните обеми и стойности. Изграждането на Национална здравна информационна система посредством използване на нови технологии в областта на електронното здравеопазване е сред приоритетите, с които се цели подобряване на качес</w:t>
      </w:r>
      <w:r w:rsidR="004F41AD">
        <w:t>твото и ефективността на процесите</w:t>
      </w:r>
      <w:r w:rsidRPr="00A51B25">
        <w:t xml:space="preserve"> в системата на здравеопазване.</w:t>
      </w:r>
    </w:p>
    <w:p w:rsidR="00EE49F0" w:rsidRPr="00791845" w:rsidRDefault="00EE49F0" w:rsidP="00EE49F0">
      <w:pPr>
        <w:rPr>
          <w:rFonts w:eastAsia="Times New Roman" w:cs="Times New Roman"/>
          <w:bCs/>
          <w:lang w:eastAsia="zh-CN"/>
        </w:rPr>
      </w:pPr>
      <w:r w:rsidRPr="00EE49F0">
        <w:rPr>
          <w:rFonts w:eastAsia="Times New Roman" w:cs="Times New Roman"/>
          <w:b/>
          <w:lang w:eastAsia="zh-CN"/>
        </w:rPr>
        <w:t xml:space="preserve">Отбрана. </w:t>
      </w:r>
      <w:r w:rsidR="00DE0675" w:rsidRPr="00DE0675">
        <w:rPr>
          <w:rFonts w:eastAsia="Times New Roman" w:cs="Times New Roman"/>
          <w:lang w:eastAsia="zh-CN"/>
        </w:rPr>
        <w:t>През периода 2020-2022 г. политиката, провеждана от правителството в областта на отбраната</w:t>
      </w:r>
      <w:r w:rsidR="00865AF3">
        <w:rPr>
          <w:rFonts w:eastAsia="Times New Roman" w:cs="Times New Roman"/>
          <w:lang w:eastAsia="zh-CN"/>
        </w:rPr>
        <w:t>,</w:t>
      </w:r>
      <w:r w:rsidR="00DE0675" w:rsidRPr="00DE0675">
        <w:rPr>
          <w:rFonts w:eastAsia="Times New Roman" w:cs="Times New Roman"/>
          <w:lang w:eastAsia="zh-CN"/>
        </w:rPr>
        <w:t xml:space="preserve"> продължава да е приоритет</w:t>
      </w:r>
      <w:r w:rsidR="00416513">
        <w:rPr>
          <w:rFonts w:eastAsia="Times New Roman" w:cs="Times New Roman"/>
          <w:lang w:eastAsia="zh-CN"/>
        </w:rPr>
        <w:t xml:space="preserve">на. </w:t>
      </w:r>
      <w:r w:rsidR="00DE0675" w:rsidRPr="00DE0675">
        <w:rPr>
          <w:rFonts w:eastAsia="Times New Roman" w:cs="Times New Roman"/>
          <w:lang w:eastAsia="zh-CN"/>
        </w:rPr>
        <w:t>Осигурени са средства за поддържане и развитие на националните отбранителни способности и способностите, свързани с колективната отбрана, в т.ч. сред</w:t>
      </w:r>
      <w:r w:rsidR="00865AF3">
        <w:rPr>
          <w:rFonts w:eastAsia="Times New Roman" w:cs="Times New Roman"/>
          <w:lang w:eastAsia="zh-CN"/>
        </w:rPr>
        <w:t>ства за изпълнение на приетите</w:t>
      </w:r>
      <w:r w:rsidR="00DE0675" w:rsidRPr="00DE0675">
        <w:rPr>
          <w:rFonts w:eastAsia="Times New Roman" w:cs="Times New Roman"/>
          <w:lang w:eastAsia="zh-CN"/>
        </w:rPr>
        <w:t xml:space="preserve"> от Народното събрание инвестиционни проекти. Относителният дял на капиталовите разходи към общите разход</w:t>
      </w:r>
      <w:r w:rsidR="00B3750A">
        <w:rPr>
          <w:rFonts w:eastAsia="Times New Roman" w:cs="Times New Roman"/>
          <w:lang w:eastAsia="zh-CN"/>
        </w:rPr>
        <w:t>и</w:t>
      </w:r>
      <w:r w:rsidR="00DE0675" w:rsidRPr="00DE0675">
        <w:rPr>
          <w:rFonts w:eastAsia="Times New Roman" w:cs="Times New Roman"/>
          <w:lang w:eastAsia="zh-CN"/>
        </w:rPr>
        <w:t xml:space="preserve"> за отбрана е над 20-процентния критерий на НАТО.</w:t>
      </w:r>
      <w:r w:rsidR="00DE0675">
        <w:rPr>
          <w:rFonts w:eastAsia="Times New Roman" w:cs="Times New Roman"/>
          <w:lang w:eastAsia="zh-CN"/>
        </w:rPr>
        <w:t xml:space="preserve"> </w:t>
      </w:r>
      <w:r w:rsidR="003124A7" w:rsidRPr="00791845">
        <w:rPr>
          <w:rFonts w:eastAsia="Times New Roman" w:cs="Times New Roman"/>
          <w:lang w:eastAsia="zh-CN"/>
        </w:rPr>
        <w:t>Спазено е изискването за достигане на разходите за отбрана до определения процент от БВП в съответствие с Националния план за повишаване на разходите за отбрана на 2 на сто от БВП на Република България до 2024 г.</w:t>
      </w:r>
      <w:r w:rsidRPr="00A51B25">
        <w:rPr>
          <w:rFonts w:eastAsia="Times New Roman" w:cs="Times New Roman"/>
          <w:lang w:eastAsia="zh-CN"/>
        </w:rPr>
        <w:t>, одобрен с РМС № 3/04.01.2018 г.,</w:t>
      </w:r>
      <w:r w:rsidR="00A51B25">
        <w:rPr>
          <w:rFonts w:eastAsia="Times New Roman" w:cs="Times New Roman"/>
          <w:lang w:eastAsia="zh-CN"/>
        </w:rPr>
        <w:t xml:space="preserve"> </w:t>
      </w:r>
      <w:r w:rsidRPr="00A51B25">
        <w:rPr>
          <w:rFonts w:eastAsia="Times New Roman" w:cs="Times New Roman"/>
          <w:lang w:eastAsia="zh-CN"/>
        </w:rPr>
        <w:t>като освен за увеличение на средствата за персонал са предвидени и д</w:t>
      </w:r>
      <w:r w:rsidRPr="00A51B25">
        <w:rPr>
          <w:rFonts w:eastAsia="Times New Roman" w:cs="Times New Roman"/>
          <w:bCs/>
          <w:lang w:eastAsia="zh-CN"/>
        </w:rPr>
        <w:t xml:space="preserve">опълнителни средства за изпълнение на международните договори във връзка с придобиването на </w:t>
      </w:r>
      <w:r w:rsidRPr="00EE49F0">
        <w:rPr>
          <w:rFonts w:eastAsia="Times New Roman" w:cs="Times New Roman"/>
          <w:bCs/>
          <w:lang w:eastAsia="zh-CN"/>
        </w:rPr>
        <w:t>нов тип боен самолет (транспорт и застраховки)</w:t>
      </w:r>
      <w:r w:rsidR="00791845">
        <w:rPr>
          <w:rFonts w:eastAsia="Times New Roman" w:cs="Times New Roman"/>
          <w:bCs/>
          <w:lang w:eastAsia="zh-CN"/>
        </w:rPr>
        <w:t>,</w:t>
      </w:r>
      <w:r w:rsidRPr="00EE49F0">
        <w:rPr>
          <w:rFonts w:eastAsia="Times New Roman" w:cs="Times New Roman"/>
          <w:bCs/>
          <w:lang w:eastAsia="zh-CN"/>
        </w:rPr>
        <w:t xml:space="preserve"> за изграждане на интегрирана система и инфраструктура за усвояване, експлоатация и осигуряване на новия тип боен самолет</w:t>
      </w:r>
      <w:r w:rsidR="00791845">
        <w:rPr>
          <w:rFonts w:eastAsia="Times New Roman" w:cs="Times New Roman"/>
          <w:bCs/>
          <w:lang w:eastAsia="zh-CN"/>
        </w:rPr>
        <w:t xml:space="preserve"> </w:t>
      </w:r>
      <w:r w:rsidR="00791845" w:rsidRPr="00791845">
        <w:rPr>
          <w:rFonts w:eastAsia="Times New Roman" w:cs="Times New Roman"/>
          <w:bCs/>
          <w:lang w:eastAsia="zh-CN"/>
        </w:rPr>
        <w:t>и за проекти за модернизация на Българската армия</w:t>
      </w:r>
      <w:r w:rsidRPr="00EE49F0">
        <w:rPr>
          <w:rFonts w:eastAsia="Times New Roman" w:cs="Times New Roman"/>
          <w:bCs/>
          <w:lang w:eastAsia="zh-CN"/>
        </w:rPr>
        <w:t>.</w:t>
      </w:r>
    </w:p>
    <w:p w:rsidR="00EE49F0" w:rsidRPr="00EE49F0" w:rsidRDefault="00EE49F0" w:rsidP="00EE49F0">
      <w:r w:rsidRPr="00EE49F0">
        <w:rPr>
          <w:rFonts w:eastAsia="Times New Roman" w:cs="Times New Roman"/>
          <w:b/>
          <w:lang w:eastAsia="zh-CN"/>
        </w:rPr>
        <w:t>Пенсионната политика</w:t>
      </w:r>
      <w:r w:rsidRPr="00EE49F0">
        <w:rPr>
          <w:rFonts w:eastAsia="Times New Roman" w:cs="Times New Roman"/>
          <w:lang w:eastAsia="zh-CN"/>
        </w:rPr>
        <w:t xml:space="preserve"> в периода 2020-2022 г. предвижда от 1 януари на всяка календарна година да продължи увеличаването на възрастта за придобиване право на пенсия с по 2 месеца за жените и с по 1 месец за мъжете, както и на необходимия осигурителен стаж за придобиване право на пенсия с по 2 месеца и за двата пола.</w:t>
      </w:r>
    </w:p>
    <w:p w:rsidR="00EE49F0" w:rsidRPr="00EE49F0" w:rsidRDefault="00EE49F0" w:rsidP="00EE49F0">
      <w:pPr>
        <w:rPr>
          <w:rFonts w:eastAsia="Times New Roman" w:cs="Times New Roman"/>
          <w:lang w:eastAsia="zh-CN"/>
        </w:rPr>
      </w:pPr>
      <w:r w:rsidRPr="00EE49F0">
        <w:rPr>
          <w:rFonts w:eastAsia="Times New Roman" w:cs="Times New Roman"/>
          <w:lang w:eastAsia="zh-CN"/>
        </w:rPr>
        <w:t>Тежестта по чл. 70, ал. 1 от КСО за всяка една година осигурителен стаж, която ще се прилага при изчисляване на размерите на новоотпуснатите пенсии, се запазва на достигнатото през 2019 г. ниво от 1,2.</w:t>
      </w:r>
    </w:p>
    <w:p w:rsidR="00EE49F0" w:rsidRPr="00EE49F0" w:rsidRDefault="00EE49F0" w:rsidP="00EE49F0">
      <w:pPr>
        <w:rPr>
          <w:rFonts w:eastAsia="Times New Roman" w:cs="Times New Roman"/>
          <w:lang w:eastAsia="zh-CN"/>
        </w:rPr>
      </w:pPr>
      <w:r w:rsidRPr="00EE49F0">
        <w:rPr>
          <w:rFonts w:eastAsia="Times New Roman" w:cs="Times New Roman"/>
          <w:lang w:eastAsia="zh-CN"/>
        </w:rPr>
        <w:t>От 1 юли 2020 г. всички пенсии, отпуснати до 31 декември 2019 г., се увеличават с 6,7% (процент, определен по правилото на чл. 100 от КСО).</w:t>
      </w:r>
    </w:p>
    <w:p w:rsidR="00EE49F0" w:rsidRPr="00EE49F0" w:rsidRDefault="00EE49F0" w:rsidP="00EE49F0">
      <w:r w:rsidRPr="00EE49F0">
        <w:rPr>
          <w:rFonts w:eastAsia="Times New Roman" w:cs="Times New Roman"/>
          <w:lang w:eastAsia="zh-CN"/>
        </w:rPr>
        <w:t>За 2021 и 2022 г. тежестта на една година осигурителен стаж в пенсионната формула се запазва в размер на 1,2, като от 1 юли на съответната година пенсиите, отпуснати до 31 декември на предходната календарна година, се осъвременяват по т.нар. „швейцарско правило” (чл. 100 от КСО).</w:t>
      </w:r>
    </w:p>
    <w:p w:rsidR="00EE49F0" w:rsidRPr="00931EB2" w:rsidRDefault="00EE49F0" w:rsidP="00EE49F0">
      <w:pPr>
        <w:tabs>
          <w:tab w:val="left" w:pos="851"/>
        </w:tabs>
        <w:spacing w:before="120" w:after="0"/>
        <w:rPr>
          <w:rFonts w:eastAsia="Times New Roman" w:cs="Times New Roman"/>
          <w:lang w:eastAsia="zh-CN"/>
        </w:rPr>
      </w:pPr>
      <w:r w:rsidRPr="00EE49F0">
        <w:rPr>
          <w:rFonts w:eastAsia="Times New Roman" w:cs="Times New Roman"/>
          <w:b/>
          <w:lang w:eastAsia="zh-CN"/>
        </w:rPr>
        <w:t xml:space="preserve">Политика по доходите. </w:t>
      </w:r>
      <w:r w:rsidRPr="00EE49F0">
        <w:rPr>
          <w:rFonts w:eastAsia="Times New Roman" w:cs="Times New Roman"/>
          <w:lang w:eastAsia="zh-CN"/>
        </w:rPr>
        <w:t>Освен вече предвиденото в СБП от пролетта на тази година</w:t>
      </w:r>
      <w:r w:rsidR="00A5292E">
        <w:rPr>
          <w:rFonts w:eastAsia="Times New Roman" w:cs="Times New Roman"/>
          <w:lang w:eastAsia="zh-CN"/>
        </w:rPr>
        <w:t xml:space="preserve"> увеличение</w:t>
      </w:r>
      <w:r w:rsidRPr="00EE49F0">
        <w:rPr>
          <w:rFonts w:eastAsia="Times New Roman" w:cs="Times New Roman"/>
          <w:lang w:eastAsia="zh-CN"/>
        </w:rPr>
        <w:t xml:space="preserve"> на размера на минималната работна заплата (от 1 януари 2020 г. на 610 лв., от 1 януари 2021 г. на 650 лв., като размерът от 650 лв. ще се запази и през 2022 г.), в настоящата прогноза е заложена мярка за 2020 г. за увеличение с 10% на средствата за заплати и възнаграждения на персонала, нает по трудови и служебни правоотношения, включително и на средствата за осигурителни вноски, което ще има отражение върху заплащането на заетите в бюджетния сектор. С това се създава възможност на база на увеличения размер на разходите за персонал да се увеличат индивидуалните основни месечни заплати на заетите, въз основа на заеманата длъжност и оценките за </w:t>
      </w:r>
      <w:r w:rsidRPr="00931EB2">
        <w:rPr>
          <w:rFonts w:eastAsia="Times New Roman" w:cs="Times New Roman"/>
          <w:lang w:eastAsia="zh-CN"/>
        </w:rPr>
        <w:t>постигнатите резултати.</w:t>
      </w:r>
    </w:p>
    <w:p w:rsidR="00B834DD" w:rsidRPr="00931EB2" w:rsidRDefault="00D626E8" w:rsidP="001125E6">
      <w:pPr>
        <w:spacing w:before="120" w:after="0"/>
        <w:rPr>
          <w:rFonts w:eastAsia="Times New Roman" w:cs="Times New Roman"/>
          <w:lang w:eastAsia="zh-CN"/>
        </w:rPr>
      </w:pPr>
      <w:r w:rsidRPr="00931EB2">
        <w:rPr>
          <w:rFonts w:eastAsia="Times New Roman" w:cs="Times New Roman"/>
          <w:lang w:eastAsia="zh-CN"/>
        </w:rPr>
        <w:t>За периода 2020-2022 г. осигурителнат</w:t>
      </w:r>
      <w:r w:rsidR="00A5292E" w:rsidRPr="00931EB2">
        <w:rPr>
          <w:rFonts w:eastAsia="Times New Roman" w:cs="Times New Roman"/>
          <w:lang w:eastAsia="zh-CN"/>
        </w:rPr>
        <w:t>а политика предвижда увеличение</w:t>
      </w:r>
      <w:r w:rsidRPr="00931EB2">
        <w:rPr>
          <w:rFonts w:eastAsia="Times New Roman" w:cs="Times New Roman"/>
          <w:lang w:eastAsia="zh-CN"/>
        </w:rPr>
        <w:t xml:space="preserve"> на минималния осигурителен доход за самоосигуряващите се лица, съответно в размер на 610 лв. за 2020 г. и 650 лв. за 2021 г</w:t>
      </w:r>
      <w:r w:rsidR="00A5292E" w:rsidRPr="00931EB2">
        <w:rPr>
          <w:rFonts w:eastAsia="Times New Roman" w:cs="Times New Roman"/>
          <w:lang w:eastAsia="zh-CN"/>
        </w:rPr>
        <w:t>. и 2022 г., както и увеличение</w:t>
      </w:r>
      <w:r w:rsidRPr="00931EB2">
        <w:rPr>
          <w:rFonts w:eastAsia="Times New Roman" w:cs="Times New Roman"/>
          <w:lang w:eastAsia="zh-CN"/>
        </w:rPr>
        <w:t xml:space="preserve"> на минималния осигурителен доход за регистрираните земеделски стопани и тютюнопроизводители от 400 лв. на 610 лв. от началото на 2020 г. Равнищата на минималните осигурителни доходи по основните икономически дейности и квалификационни групи професии от 2019 г. се запазват, като се извършва корекция сам</w:t>
      </w:r>
      <w:r w:rsidR="00C95EAD" w:rsidRPr="00931EB2">
        <w:rPr>
          <w:rFonts w:eastAsia="Times New Roman" w:cs="Times New Roman"/>
          <w:lang w:eastAsia="zh-CN"/>
        </w:rPr>
        <w:t>о по отношение на позициите, кои</w:t>
      </w:r>
      <w:r w:rsidRPr="00931EB2">
        <w:rPr>
          <w:rFonts w:eastAsia="Times New Roman" w:cs="Times New Roman"/>
          <w:lang w:eastAsia="zh-CN"/>
        </w:rPr>
        <w:t>то са под размера на минималната работна заплата за 2020 г. – 610 лв.</w:t>
      </w:r>
      <w:r w:rsidR="00C95EAD" w:rsidRPr="00931EB2">
        <w:rPr>
          <w:rFonts w:eastAsia="Times New Roman" w:cs="Times New Roman"/>
          <w:lang w:eastAsia="zh-CN"/>
        </w:rPr>
        <w:t xml:space="preserve"> Максималният осигурителен доход за всички осигурени лица се запазва в размер на 3 000 лв.</w:t>
      </w:r>
    </w:p>
    <w:p w:rsidR="001125E6" w:rsidRPr="00EE49F0" w:rsidRDefault="00991966" w:rsidP="001125E6">
      <w:pPr>
        <w:spacing w:before="120" w:after="0"/>
        <w:rPr>
          <w:rFonts w:eastAsia="Times New Roman" w:cs="Times New Roman"/>
          <w:lang w:eastAsia="zh-CN"/>
        </w:rPr>
      </w:pPr>
      <w:r>
        <w:rPr>
          <w:rFonts w:eastAsia="Times New Roman" w:cs="Times New Roman"/>
          <w:lang w:eastAsia="zh-CN"/>
        </w:rPr>
        <w:t xml:space="preserve">С Бюджет 2020 са предвидени </w:t>
      </w:r>
      <w:r w:rsidR="001125E6" w:rsidRPr="00931EB2">
        <w:rPr>
          <w:rFonts w:eastAsia="Times New Roman" w:cs="Times New Roman"/>
          <w:b/>
          <w:lang w:eastAsia="zh-CN"/>
        </w:rPr>
        <w:t xml:space="preserve">промени в механизмите за разпределение на </w:t>
      </w:r>
      <w:r w:rsidR="001125E6" w:rsidRPr="00DB6575">
        <w:rPr>
          <w:rFonts w:eastAsia="Times New Roman" w:cs="Times New Roman"/>
          <w:b/>
          <w:lang w:eastAsia="zh-CN"/>
        </w:rPr>
        <w:t>целевата субсидия за капиталови разходи</w:t>
      </w:r>
      <w:r w:rsidR="001125E6" w:rsidRPr="00EE49F0">
        <w:rPr>
          <w:rFonts w:eastAsia="Times New Roman" w:cs="Times New Roman"/>
          <w:lang w:eastAsia="zh-CN"/>
        </w:rPr>
        <w:t xml:space="preserve"> и </w:t>
      </w:r>
      <w:r w:rsidR="001125E6" w:rsidRPr="00DB6575">
        <w:rPr>
          <w:rFonts w:eastAsia="Times New Roman" w:cs="Times New Roman"/>
          <w:b/>
          <w:lang w:eastAsia="zh-CN"/>
        </w:rPr>
        <w:t>на</w:t>
      </w:r>
      <w:r w:rsidR="001125E6" w:rsidRPr="00EE49F0">
        <w:rPr>
          <w:rFonts w:eastAsia="Times New Roman" w:cs="Times New Roman"/>
          <w:lang w:eastAsia="zh-CN"/>
        </w:rPr>
        <w:t xml:space="preserve"> </w:t>
      </w:r>
      <w:r w:rsidR="001125E6" w:rsidRPr="00DB6575">
        <w:rPr>
          <w:rFonts w:eastAsia="Times New Roman" w:cs="Times New Roman"/>
          <w:b/>
          <w:lang w:eastAsia="zh-CN"/>
        </w:rPr>
        <w:t>трансфера за зимно поддържане и снегопочистване на общинските пътища</w:t>
      </w:r>
      <w:r w:rsidR="001125E6" w:rsidRPr="00EE49F0">
        <w:rPr>
          <w:rFonts w:eastAsia="Times New Roman" w:cs="Times New Roman"/>
          <w:lang w:eastAsia="zh-CN"/>
        </w:rPr>
        <w:t xml:space="preserve">. </w:t>
      </w:r>
    </w:p>
    <w:p w:rsidR="001125E6" w:rsidRPr="00EE49F0" w:rsidRDefault="001125E6" w:rsidP="001125E6">
      <w:pPr>
        <w:spacing w:before="120" w:after="0"/>
        <w:rPr>
          <w:rFonts w:eastAsia="Times New Roman" w:cs="Times New Roman"/>
          <w:highlight w:val="yellow"/>
          <w:lang w:eastAsia="zh-CN"/>
        </w:rPr>
      </w:pPr>
      <w:r w:rsidRPr="00EE49F0">
        <w:rPr>
          <w:rFonts w:eastAsia="Times New Roman" w:cs="Times New Roman"/>
          <w:lang w:eastAsia="zh-CN"/>
        </w:rPr>
        <w:t>При разпределението на целевата субсидия за капиталови разходи и на трансфера за зимно поддържане и снегопочистване на общинските пътища е премахнат изравнителният компонент, който осигурява достигнатия размер на целевата субсидия за капиталови разходи и на трансфера за зимно поддържане и снегопочистване през предходната година, с цел постигане на обективно съответствие между средствата и натуралните показатели за всяка конкретна община.</w:t>
      </w:r>
    </w:p>
    <w:p w:rsidR="00034482" w:rsidRPr="00EE49F0" w:rsidRDefault="00034482" w:rsidP="00C12DD5">
      <w:pPr>
        <w:spacing w:before="120" w:after="0"/>
        <w:rPr>
          <w:rFonts w:eastAsia="Times New Roman" w:cs="Times New Roman"/>
          <w:lang w:eastAsia="zh-CN"/>
        </w:rPr>
      </w:pPr>
      <w:r w:rsidRPr="00EE49F0">
        <w:rPr>
          <w:rFonts w:eastAsia="Times New Roman" w:cs="Times New Roman"/>
          <w:lang w:eastAsia="zh-CN"/>
        </w:rPr>
        <w:t xml:space="preserve">Приоритет за страната остава и успешното усвояване на </w:t>
      </w:r>
      <w:r w:rsidRPr="00EE49F0">
        <w:rPr>
          <w:rFonts w:eastAsia="Times New Roman" w:cs="Times New Roman"/>
          <w:b/>
          <w:lang w:eastAsia="zh-CN"/>
        </w:rPr>
        <w:t>средствата от европейските фондове и програми</w:t>
      </w:r>
      <w:r w:rsidRPr="00EE49F0">
        <w:rPr>
          <w:rFonts w:eastAsia="Times New Roman" w:cs="Times New Roman"/>
          <w:lang w:eastAsia="zh-CN"/>
        </w:rPr>
        <w:t>, чрез които да се постигне устойчив икономически растеж, по-висока заетост, социално включване</w:t>
      </w:r>
      <w:r w:rsidR="00427CA6">
        <w:rPr>
          <w:szCs w:val="24"/>
        </w:rPr>
        <w:t>, социално, икономическо</w:t>
      </w:r>
      <w:r w:rsidRPr="00EE49F0">
        <w:rPr>
          <w:rFonts w:eastAsia="Times New Roman" w:cs="Times New Roman"/>
          <w:lang w:eastAsia="zh-CN"/>
        </w:rPr>
        <w:t xml:space="preserve"> и териториално сближаване и изграждане на конкурентоспособна и иновативна икономика.</w:t>
      </w:r>
    </w:p>
    <w:p w:rsidR="00257C2D" w:rsidRPr="00257C2D" w:rsidRDefault="006B212E" w:rsidP="00257C2D">
      <w:pPr>
        <w:spacing w:before="120" w:after="0"/>
        <w:rPr>
          <w:rFonts w:eastAsia="Times New Roman" w:cs="Times New Roman"/>
          <w:lang w:eastAsia="zh-CN"/>
        </w:rPr>
      </w:pPr>
      <w:r w:rsidRPr="00EE49F0">
        <w:rPr>
          <w:rFonts w:eastAsia="Times New Roman" w:cs="Times New Roman"/>
          <w:lang w:eastAsia="zh-CN"/>
        </w:rPr>
        <w:t xml:space="preserve">Стратегията на политиката в </w:t>
      </w:r>
      <w:r w:rsidRPr="00EE49F0">
        <w:rPr>
          <w:rFonts w:eastAsia="Times New Roman" w:cs="Times New Roman"/>
          <w:b/>
          <w:lang w:eastAsia="zh-CN"/>
        </w:rPr>
        <w:t>областта на качеството на публичните финанси</w:t>
      </w:r>
      <w:r w:rsidRPr="00EE49F0">
        <w:rPr>
          <w:rFonts w:eastAsia="Times New Roman" w:cs="Times New Roman"/>
          <w:lang w:eastAsia="zh-CN"/>
        </w:rPr>
        <w:t xml:space="preserve"> следва последователните действия за институционални, нормативни и методологически промени в посока на подобряване управлението на публичните финанси и по-високо ниво на бюджетна прозрачност, като </w:t>
      </w:r>
      <w:r w:rsidR="00034482" w:rsidRPr="00EE49F0">
        <w:rPr>
          <w:rFonts w:eastAsia="Times New Roman" w:cs="Times New Roman"/>
          <w:lang w:eastAsia="zh-CN"/>
        </w:rPr>
        <w:t>ще продължат усилията за повишаване на ефективността и ефи</w:t>
      </w:r>
      <w:r w:rsidRPr="00EE49F0">
        <w:rPr>
          <w:rFonts w:eastAsia="Times New Roman" w:cs="Times New Roman"/>
          <w:lang w:eastAsia="zh-CN"/>
        </w:rPr>
        <w:t>касността на публичните разходи</w:t>
      </w:r>
      <w:r w:rsidR="00040595" w:rsidRPr="00EE49F0">
        <w:rPr>
          <w:rFonts w:eastAsia="Times New Roman" w:cs="Times New Roman"/>
          <w:lang w:eastAsia="zh-CN"/>
        </w:rPr>
        <w:t>.</w:t>
      </w:r>
      <w:r w:rsidR="00257C2D">
        <w:rPr>
          <w:rFonts w:eastAsia="Times New Roman" w:cs="Times New Roman"/>
          <w:lang w:eastAsia="zh-CN"/>
        </w:rPr>
        <w:t xml:space="preserve"> </w:t>
      </w:r>
      <w:r w:rsidR="00257C2D" w:rsidRPr="00257C2D">
        <w:rPr>
          <w:rFonts w:eastAsia="Times New Roman" w:cs="Times New Roman"/>
          <w:lang w:eastAsia="zh-CN"/>
        </w:rPr>
        <w:t xml:space="preserve">Нов момент в бюджетната процедура за 2020 г. е разширяването на обхвата на бюджетните организации, които прилагат програмен формат на бюджет. С решението за бюджетната процедура за </w:t>
      </w:r>
      <w:r w:rsidR="00257C2D">
        <w:rPr>
          <w:rFonts w:eastAsia="Times New Roman" w:cs="Times New Roman"/>
          <w:lang w:eastAsia="zh-CN"/>
        </w:rPr>
        <w:t xml:space="preserve">           </w:t>
      </w:r>
      <w:r w:rsidR="00257C2D" w:rsidRPr="00257C2D">
        <w:rPr>
          <w:rFonts w:eastAsia="Times New Roman" w:cs="Times New Roman"/>
          <w:lang w:eastAsia="zh-CN"/>
        </w:rPr>
        <w:t>2020 г. Министерският съвет определи, освен министерствата и държавните агенции, и останалите ПРБ, чиито бюджети са част от държавния бюджет (с изключение на бюджетите на съдебната власт и на Сметната палата), да прилагат програмен формат на бюджет за 2020 г.</w:t>
      </w:r>
    </w:p>
    <w:p w:rsidR="00700527" w:rsidRPr="00EE49F0" w:rsidRDefault="00700527" w:rsidP="00C12DD5">
      <w:pPr>
        <w:spacing w:before="120" w:after="0"/>
        <w:rPr>
          <w:rFonts w:eastAsia="Times New Roman" w:cs="Times New Roman"/>
          <w:lang w:eastAsia="zh-CN"/>
        </w:rPr>
      </w:pPr>
      <w:r w:rsidRPr="00EE49F0">
        <w:rPr>
          <w:rFonts w:eastAsia="Times New Roman" w:cs="Times New Roman"/>
          <w:lang w:eastAsia="zh-CN"/>
        </w:rPr>
        <w:t xml:space="preserve">Въз основа на допусканията, при прогнозно положително нетно дългово финансиране за периода 2020-2022 г., независимо от нарастването на дълга в абсолютна стойност, очакванията са да се запази тенденцията към </w:t>
      </w:r>
      <w:r w:rsidRPr="00EE49F0">
        <w:rPr>
          <w:rFonts w:eastAsia="Times New Roman" w:cs="Times New Roman"/>
          <w:b/>
          <w:lang w:eastAsia="zh-CN"/>
        </w:rPr>
        <w:t>намаляване на съотношението на държавния дълг спрямо прогнозното ниво на БВП</w:t>
      </w:r>
      <w:r w:rsidRPr="00EE49F0">
        <w:rPr>
          <w:rFonts w:eastAsia="Times New Roman" w:cs="Times New Roman"/>
          <w:lang w:eastAsia="zh-CN"/>
        </w:rPr>
        <w:t xml:space="preserve"> </w:t>
      </w:r>
      <w:r w:rsidRPr="00B64BB4">
        <w:rPr>
          <w:rFonts w:eastAsia="Times New Roman" w:cs="Times New Roman"/>
          <w:lang w:eastAsia="zh-CN"/>
        </w:rPr>
        <w:t>от 18,6% към края на 2019 г. до 17,0% в края на 2022 г. В контекста на провежданата бюджетна политика и прогнозите за темпа на растеж на БВП за периода 2020-202</w:t>
      </w:r>
      <w:r w:rsidR="00665779" w:rsidRPr="00B64BB4">
        <w:rPr>
          <w:rFonts w:eastAsia="Times New Roman" w:cs="Times New Roman"/>
          <w:lang w:eastAsia="zh-CN"/>
        </w:rPr>
        <w:t>2</w:t>
      </w:r>
      <w:r w:rsidRPr="00B64BB4">
        <w:rPr>
          <w:rFonts w:eastAsia="Times New Roman" w:cs="Times New Roman"/>
          <w:lang w:eastAsia="zh-CN"/>
        </w:rPr>
        <w:t xml:space="preserve"> г., нивото на консолидирания дълг на сектор „Държавно управление“ се очаква да продължи да спада, движейки се в диапазона от 19,8% до 18,2% от БВП или между 25,1-26,1 млрд. лв. Прогнозите </w:t>
      </w:r>
      <w:r w:rsidRPr="00EE49F0">
        <w:rPr>
          <w:rFonts w:eastAsia="Times New Roman" w:cs="Times New Roman"/>
          <w:lang w:eastAsia="zh-CN"/>
        </w:rPr>
        <w:t>за относителния дял на консолидирания дълг спрямо БВП остават значително под максимално допустимата референтна стойност на Маастрихтския критерий за конвергенция от 60%, което ще гарантира запазване на равнището на държавна задлъжнялост в устойчиви граници, респ. водещата позиция на Република България сред 28-те държави-членки на ЕС по отношение на ниското ниво на дългова тежест.</w:t>
      </w:r>
    </w:p>
    <w:p w:rsidR="00700527" w:rsidRPr="00EE49F0" w:rsidRDefault="00700527" w:rsidP="00C12DD5">
      <w:pPr>
        <w:spacing w:before="120" w:after="0"/>
        <w:rPr>
          <w:rFonts w:eastAsia="Times New Roman" w:cs="Times New Roman"/>
          <w:lang w:eastAsia="zh-CN"/>
        </w:rPr>
      </w:pPr>
    </w:p>
    <w:p w:rsidR="00E63743" w:rsidRDefault="00E63743" w:rsidP="00083361">
      <w:pPr>
        <w:suppressAutoHyphens/>
        <w:spacing w:after="120" w:line="276" w:lineRule="auto"/>
        <w:rPr>
          <w:rFonts w:eastAsia="Times New Roman"/>
          <w:szCs w:val="24"/>
          <w:lang w:eastAsia="zh-CN"/>
        </w:rPr>
        <w:sectPr w:rsidR="00E63743" w:rsidSect="00FF16A0">
          <w:headerReference w:type="even" r:id="rId13"/>
          <w:headerReference w:type="default" r:id="rId14"/>
          <w:footerReference w:type="even" r:id="rId15"/>
          <w:footerReference w:type="default" r:id="rId16"/>
          <w:footerReference w:type="first" r:id="rId17"/>
          <w:type w:val="oddPage"/>
          <w:pgSz w:w="11906" w:h="16838" w:code="9"/>
          <w:pgMar w:top="1418" w:right="1418" w:bottom="851" w:left="1418" w:header="708" w:footer="708" w:gutter="0"/>
          <w:cols w:space="708"/>
          <w:titlePg/>
          <w:docGrid w:linePitch="360"/>
        </w:sectPr>
      </w:pPr>
    </w:p>
    <w:p w:rsidR="00083361" w:rsidRPr="00A52E2F" w:rsidRDefault="00710C44" w:rsidP="00840F02">
      <w:pPr>
        <w:pStyle w:val="Heading1"/>
      </w:pPr>
      <w:bookmarkStart w:id="42" w:name="_Toc464224767"/>
      <w:bookmarkStart w:id="43" w:name="_Toc464225408"/>
      <w:bookmarkStart w:id="44" w:name="OLE_LINK24"/>
      <w:bookmarkStart w:id="45" w:name="OLE_LINK25"/>
      <w:bookmarkStart w:id="46" w:name="_Toc464458954"/>
      <w:bookmarkStart w:id="47" w:name="_Toc464459700"/>
      <w:bookmarkStart w:id="48" w:name="_Toc464460655"/>
      <w:bookmarkStart w:id="49" w:name="_Toc464463054"/>
      <w:bookmarkStart w:id="50" w:name="_Toc464464881"/>
      <w:bookmarkStart w:id="51" w:name="_Toc464465387"/>
      <w:bookmarkStart w:id="52" w:name="_Toc464465575"/>
      <w:bookmarkStart w:id="53" w:name="_Toc464466400"/>
      <w:bookmarkStart w:id="54" w:name="_Toc464466644"/>
      <w:bookmarkStart w:id="55" w:name="_Toc464466722"/>
      <w:bookmarkStart w:id="56" w:name="_Toc464470171"/>
      <w:bookmarkStart w:id="57" w:name="_Toc464470215"/>
      <w:bookmarkStart w:id="58" w:name="_Toc464644946"/>
      <w:bookmarkStart w:id="59" w:name="_Toc464646347"/>
      <w:bookmarkStart w:id="60" w:name="_Toc23337466"/>
      <w:r>
        <w:rPr>
          <w:noProof/>
        </w:rPr>
        <mc:AlternateContent>
          <mc:Choice Requires="wps">
            <w:drawing>
              <wp:anchor distT="0" distB="0" distL="114300" distR="114300" simplePos="0" relativeHeight="251645952" behindDoc="0" locked="0" layoutInCell="1" allowOverlap="1" wp14:anchorId="12119E98" wp14:editId="48FDF5F9">
                <wp:simplePos x="0" y="0"/>
                <wp:positionH relativeFrom="column">
                  <wp:posOffset>-900430</wp:posOffset>
                </wp:positionH>
                <wp:positionV relativeFrom="paragraph">
                  <wp:posOffset>1403350</wp:posOffset>
                </wp:positionV>
                <wp:extent cx="7560310" cy="0"/>
                <wp:effectExtent l="0" t="0" r="21590" b="19050"/>
                <wp:wrapNone/>
                <wp:docPr id="20" name="Straight Connector 20"/>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9119E83" id="Straight Connector 20" o:spid="_x0000_s1026" style="position:absolute;z-index:251645952;visibility:visible;mso-wrap-style:square;mso-wrap-distance-left:9pt;mso-wrap-distance-top:0;mso-wrap-distance-right:9pt;mso-wrap-distance-bottom:0;mso-position-horizontal:absolute;mso-position-horizontal-relative:text;mso-position-vertical:absolute;mso-position-vertical-relative:text" from="-70.9pt,110.5pt" to="524.4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" strokecolor="#b32c16 [3206]"/>
            </w:pict>
          </mc:Fallback>
        </mc:AlternateContent>
      </w:r>
      <w:r>
        <w:rPr>
          <w:noProof/>
        </w:rPr>
        <mc:AlternateContent>
          <mc:Choice Requires="wps">
            <w:drawing>
              <wp:anchor distT="0" distB="0" distL="114300" distR="114300" simplePos="0" relativeHeight="251644928" behindDoc="1" locked="0" layoutInCell="1" allowOverlap="1" wp14:anchorId="51D2399B" wp14:editId="08F8DB95">
                <wp:simplePos x="0" y="0"/>
                <wp:positionH relativeFrom="column">
                  <wp:posOffset>-900430</wp:posOffset>
                </wp:positionH>
                <wp:positionV relativeFrom="paragraph">
                  <wp:posOffset>-900430</wp:posOffset>
                </wp:positionV>
                <wp:extent cx="7560860" cy="2304000"/>
                <wp:effectExtent l="0" t="0" r="2540" b="1270"/>
                <wp:wrapNone/>
                <wp:docPr id="19" name="Rectangle 19"/>
                <wp:cNvGraphicFramePr/>
                <a:graphic xmlns:a="http://schemas.openxmlformats.org/drawingml/2006/main">
                  <a:graphicData uri="http://schemas.microsoft.com/office/word/2010/wordprocessingShape">
                    <wps:wsp>
                      <wps:cNvSpPr/>
                      <wps:spPr>
                        <a:xfrm>
                          <a:off x="0" y="0"/>
                          <a:ext cx="756086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F978B14" id="Rectangle 19" o:spid="_x0000_s1026" style="position:absolute;margin-left:-70.9pt;margin-top:-70.9pt;width:595.35pt;height:181.4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" fillcolor="#f8cec7 [662]" stroked="f" strokeweight="1pt"/>
            </w:pict>
          </mc:Fallback>
        </mc:AlternateContent>
      </w:r>
      <w:r w:rsidR="008E39D6">
        <w:br/>
      </w:r>
      <w:bookmarkStart w:id="61" w:name="_Toc465205488"/>
      <w:r w:rsidR="00083361" w:rsidRPr="008E39D6">
        <w:rPr>
          <w:color w:val="auto"/>
        </w:rPr>
        <w:t xml:space="preserve">Икономически перспективи за </w:t>
      </w:r>
      <w:r w:rsidR="00E6483B" w:rsidRPr="00664F93">
        <w:rPr>
          <w:color w:val="auto"/>
          <w:lang w:val="ru-RU"/>
        </w:rPr>
        <w:br/>
      </w:r>
      <w:r w:rsidR="00083361" w:rsidRPr="008E39D6">
        <w:rPr>
          <w:color w:val="auto"/>
        </w:rPr>
        <w:t>периода 201</w:t>
      </w:r>
      <w:r w:rsidR="002A37C0">
        <w:rPr>
          <w:color w:val="auto"/>
        </w:rPr>
        <w:t>9</w:t>
      </w:r>
      <w:r w:rsidR="007C2FAB">
        <w:rPr>
          <w:color w:val="auto"/>
        </w:rPr>
        <w:t>-202</w:t>
      </w:r>
      <w:r w:rsidR="002A37C0">
        <w:rPr>
          <w:color w:val="auto"/>
        </w:rPr>
        <w:t>2</w:t>
      </w:r>
      <w:r w:rsidR="00AA3035">
        <w:rPr>
          <w:color w:val="auto"/>
        </w:rPr>
        <w:t> г.</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rsidR="00083361" w:rsidRPr="00DE2BDB" w:rsidRDefault="00083361" w:rsidP="00383B3F">
      <w:pPr>
        <w:pStyle w:val="Heading2"/>
      </w:pPr>
      <w:bookmarkStart w:id="62" w:name="_Toc464225409"/>
      <w:bookmarkStart w:id="63" w:name="_Toc464458955"/>
      <w:bookmarkStart w:id="64" w:name="_Toc464459701"/>
      <w:bookmarkStart w:id="65" w:name="_Toc464460656"/>
      <w:bookmarkStart w:id="66" w:name="_Toc464463055"/>
      <w:bookmarkStart w:id="67" w:name="_Toc464464882"/>
      <w:bookmarkStart w:id="68" w:name="_Toc464465388"/>
      <w:bookmarkStart w:id="69" w:name="_Toc464465576"/>
      <w:bookmarkStart w:id="70" w:name="_Toc464466401"/>
      <w:bookmarkStart w:id="71" w:name="_Toc464466645"/>
      <w:bookmarkStart w:id="72" w:name="_Toc464644947"/>
      <w:bookmarkStart w:id="73" w:name="_Toc465205489"/>
      <w:bookmarkStart w:id="74" w:name="_Toc23337467"/>
      <w:r w:rsidRPr="00DE2BDB">
        <w:t>ПРЕГЛЕД НА РАЗВИТИЕТО НА СВЕТОВНАТА И ЕВРОПЕЙСКАТА ИКОНОМИКА</w:t>
      </w:r>
      <w:bookmarkEnd w:id="62"/>
      <w:bookmarkEnd w:id="63"/>
      <w:bookmarkEnd w:id="64"/>
      <w:bookmarkEnd w:id="65"/>
      <w:bookmarkEnd w:id="66"/>
      <w:bookmarkEnd w:id="67"/>
      <w:bookmarkEnd w:id="68"/>
      <w:bookmarkEnd w:id="69"/>
      <w:bookmarkEnd w:id="70"/>
      <w:bookmarkEnd w:id="71"/>
      <w:bookmarkEnd w:id="72"/>
      <w:bookmarkEnd w:id="73"/>
      <w:bookmarkEnd w:id="74"/>
    </w:p>
    <w:p w:rsidR="00210735" w:rsidRPr="00210735" w:rsidRDefault="00210735" w:rsidP="00210735">
      <w:pPr>
        <w:spacing w:after="120"/>
        <w:rPr>
          <w:rFonts w:eastAsia="Times New Roman"/>
          <w:bCs/>
          <w:lang w:eastAsia="zh-CN"/>
        </w:rPr>
      </w:pPr>
      <w:r w:rsidRPr="00210735">
        <w:rPr>
          <w:rFonts w:eastAsia="Times New Roman"/>
          <w:bCs/>
          <w:lang w:eastAsia="zh-CN"/>
        </w:rPr>
        <w:t>През първата половина на 2019 г. икономическата активност в световен мащаб се забави, отразявайки сходна динамика както в развитите, така и в развиващите с</w:t>
      </w:r>
      <w:r w:rsidR="00784DDA">
        <w:rPr>
          <w:rFonts w:eastAsia="Times New Roman"/>
          <w:bCs/>
          <w:lang w:eastAsia="zh-CN"/>
        </w:rPr>
        <w:t>е страни. БВП на ЕС нарасна с 1,</w:t>
      </w:r>
      <w:r w:rsidRPr="00210735">
        <w:rPr>
          <w:rFonts w:eastAsia="Times New Roman"/>
          <w:bCs/>
          <w:lang w:eastAsia="zh-CN"/>
        </w:rPr>
        <w:t xml:space="preserve">5%, </w:t>
      </w:r>
      <w:r w:rsidR="00784DDA">
        <w:rPr>
          <w:rFonts w:eastAsia="Times New Roman"/>
          <w:bCs/>
          <w:lang w:eastAsia="zh-CN"/>
        </w:rPr>
        <w:t>при 2,</w:t>
      </w:r>
      <w:r w:rsidRPr="00210735">
        <w:rPr>
          <w:rFonts w:eastAsia="Times New Roman"/>
          <w:bCs/>
          <w:lang w:eastAsia="zh-CN"/>
        </w:rPr>
        <w:t xml:space="preserve">4% за същия период на 2018 г. Растежът в страните от Централна и Източна Европа остана стабилен, но икономическата активност в големи икономики като Германия и Италия се забави значително. Износът и промишленото производство се понижиха, повлияни от негативната динамика при машини и автомобили, а краткосрочните индикатори дават сигнали за продължаващ спад в промишлеността. Същевременно показателите за услугите на вътрешния пазар и строителството останаха относително стабилни, при положително развитие на пазара на труда. </w:t>
      </w:r>
    </w:p>
    <w:p w:rsidR="00210735" w:rsidRPr="00210735" w:rsidRDefault="00210735" w:rsidP="00210735">
      <w:pPr>
        <w:spacing w:after="120"/>
        <w:rPr>
          <w:rFonts w:eastAsia="Times New Roman"/>
          <w:bCs/>
          <w:lang w:eastAsia="zh-CN"/>
        </w:rPr>
      </w:pPr>
      <w:r w:rsidRPr="00210735">
        <w:rPr>
          <w:rFonts w:eastAsia="Times New Roman"/>
          <w:bCs/>
          <w:lang w:eastAsia="zh-CN"/>
        </w:rPr>
        <w:t xml:space="preserve">След силно първо тримесечие, </w:t>
      </w:r>
      <w:r w:rsidR="00784DDA">
        <w:rPr>
          <w:rFonts w:eastAsia="Times New Roman"/>
          <w:bCs/>
          <w:lang w:eastAsia="zh-CN"/>
        </w:rPr>
        <w:t>ръстът на БВП на САЩ достигна 2,</w:t>
      </w:r>
      <w:r w:rsidRPr="00210735">
        <w:rPr>
          <w:rFonts w:eastAsia="Times New Roman"/>
          <w:bCs/>
          <w:lang w:eastAsia="zh-CN"/>
        </w:rPr>
        <w:t>5% за полугодието на 2019 г.</w:t>
      </w:r>
      <w:r w:rsidR="00A478B5">
        <w:rPr>
          <w:rFonts w:eastAsia="Times New Roman"/>
          <w:bCs/>
          <w:lang w:eastAsia="zh-CN"/>
        </w:rPr>
        <w:t>,</w:t>
      </w:r>
      <w:r w:rsidRPr="00210735">
        <w:rPr>
          <w:rFonts w:eastAsia="Times New Roman"/>
          <w:bCs/>
          <w:lang w:eastAsia="zh-CN"/>
        </w:rPr>
        <w:t xml:space="preserve"> при повишение от 3</w:t>
      </w:r>
      <w:r w:rsidR="00782270">
        <w:rPr>
          <w:rFonts w:eastAsia="Times New Roman"/>
          <w:bCs/>
          <w:lang w:eastAsia="zh-CN"/>
        </w:rPr>
        <w:t>,0</w:t>
      </w:r>
      <w:r w:rsidRPr="00210735">
        <w:rPr>
          <w:rFonts w:eastAsia="Times New Roman"/>
          <w:bCs/>
          <w:lang w:eastAsia="zh-CN"/>
        </w:rPr>
        <w:t>% през съответния период на 2018 г. Годината започна и с по-силен от очакванията растеж в Китай, но сигнали за забавяне се забелязаха през второто тримесечие, когат</w:t>
      </w:r>
      <w:r w:rsidR="00784DDA">
        <w:rPr>
          <w:rFonts w:eastAsia="Times New Roman"/>
          <w:bCs/>
          <w:lang w:eastAsia="zh-CN"/>
        </w:rPr>
        <w:t>о растежът на БВП се забави с 0,6 пр.п. до 6,</w:t>
      </w:r>
      <w:r w:rsidRPr="00210735">
        <w:rPr>
          <w:rFonts w:eastAsia="Times New Roman"/>
          <w:bCs/>
          <w:lang w:eastAsia="zh-CN"/>
        </w:rPr>
        <w:t>2% спрямо същото тримесечие на предходната година.</w:t>
      </w:r>
    </w:p>
    <w:p w:rsidR="00210735" w:rsidRDefault="00210735" w:rsidP="00463652">
      <w:pPr>
        <w:spacing w:after="120"/>
        <w:rPr>
          <w:rFonts w:eastAsia="Times New Roman"/>
          <w:bCs/>
          <w:highlight w:val="yellow"/>
          <w:lang w:eastAsia="zh-CN"/>
        </w:rPr>
      </w:pPr>
      <w:r w:rsidRPr="00210735">
        <w:rPr>
          <w:rFonts w:eastAsia="Times New Roman"/>
          <w:bCs/>
          <w:lang w:eastAsia="zh-CN"/>
        </w:rPr>
        <w:t>За трето поредно тримесечие растежът на БВП на Турция отбеляза спад. Все пак, спадът за полугодието на 2019 г. бе по-благоприятен от очакванията, като нетният износ и правителственото потребление допринесоха за това.</w:t>
      </w:r>
    </w:p>
    <w:p w:rsidR="00463652" w:rsidRDefault="00A52E2F" w:rsidP="00784DDA">
      <w:pPr>
        <w:spacing w:before="120" w:after="0"/>
        <w:contextualSpacing/>
        <w:rPr>
          <w:rFonts w:eastAsia="Times New Roman"/>
          <w:b/>
          <w:bCs/>
          <w:lang w:eastAsia="zh-CN"/>
        </w:rPr>
      </w:pPr>
      <w:r w:rsidRPr="005B023A">
        <w:rPr>
          <w:rFonts w:eastAsia="Times New Roman"/>
          <w:b/>
          <w:bCs/>
          <w:lang w:eastAsia="zh-CN"/>
        </w:rPr>
        <w:t xml:space="preserve">Граф. </w:t>
      </w:r>
      <w:r w:rsidR="004627C6" w:rsidRPr="005B023A">
        <w:rPr>
          <w:rFonts w:eastAsia="Times New Roman"/>
          <w:b/>
          <w:bCs/>
          <w:lang w:eastAsia="zh-CN"/>
        </w:rPr>
        <w:fldChar w:fldCharType="begin"/>
      </w:r>
      <w:r w:rsidR="004627C6" w:rsidRPr="005B023A">
        <w:rPr>
          <w:rFonts w:eastAsia="Times New Roman"/>
          <w:b/>
          <w:bCs/>
          <w:lang w:eastAsia="zh-CN"/>
        </w:rPr>
        <w:instrText xml:space="preserve"> STYLEREF 1 \s </w:instrText>
      </w:r>
      <w:r w:rsidR="004627C6" w:rsidRPr="005B023A">
        <w:rPr>
          <w:rFonts w:eastAsia="Times New Roman"/>
          <w:b/>
          <w:bCs/>
          <w:lang w:eastAsia="zh-CN"/>
        </w:rPr>
        <w:fldChar w:fldCharType="separate"/>
      </w:r>
      <w:r w:rsidR="0034195B">
        <w:rPr>
          <w:rFonts w:eastAsia="Times New Roman"/>
          <w:b/>
          <w:bCs/>
          <w:noProof/>
          <w:lang w:eastAsia="zh-CN"/>
        </w:rPr>
        <w:t>I</w:t>
      </w:r>
      <w:r w:rsidR="004627C6" w:rsidRPr="005B023A">
        <w:rPr>
          <w:rFonts w:eastAsia="Times New Roman"/>
          <w:b/>
          <w:bCs/>
          <w:lang w:eastAsia="zh-CN"/>
        </w:rPr>
        <w:fldChar w:fldCharType="end"/>
      </w:r>
      <w:r w:rsidR="005D7434" w:rsidRPr="005B023A">
        <w:rPr>
          <w:rFonts w:eastAsia="Times New Roman"/>
          <w:b/>
          <w:bCs/>
          <w:lang w:eastAsia="zh-CN"/>
        </w:rPr>
        <w:noBreakHyphen/>
      </w:r>
      <w:r w:rsidR="004627C6" w:rsidRPr="005B023A">
        <w:rPr>
          <w:rFonts w:eastAsia="Times New Roman"/>
          <w:b/>
          <w:bCs/>
          <w:lang w:eastAsia="zh-CN"/>
        </w:rPr>
        <w:fldChar w:fldCharType="begin"/>
      </w:r>
      <w:r w:rsidR="004627C6" w:rsidRPr="005B023A">
        <w:rPr>
          <w:rFonts w:eastAsia="Times New Roman"/>
          <w:b/>
          <w:bCs/>
          <w:lang w:eastAsia="zh-CN"/>
        </w:rPr>
        <w:instrText xml:space="preserve"> SEQ Граф. \* ARABIC \s 1 </w:instrText>
      </w:r>
      <w:r w:rsidR="004627C6" w:rsidRPr="005B023A">
        <w:rPr>
          <w:rFonts w:eastAsia="Times New Roman"/>
          <w:b/>
          <w:bCs/>
          <w:lang w:eastAsia="zh-CN"/>
        </w:rPr>
        <w:fldChar w:fldCharType="separate"/>
      </w:r>
      <w:r w:rsidR="0034195B">
        <w:rPr>
          <w:rFonts w:eastAsia="Times New Roman"/>
          <w:b/>
          <w:bCs/>
          <w:noProof/>
          <w:lang w:eastAsia="zh-CN"/>
        </w:rPr>
        <w:t>1</w:t>
      </w:r>
      <w:r w:rsidR="004627C6" w:rsidRPr="005B023A">
        <w:rPr>
          <w:rFonts w:eastAsia="Times New Roman"/>
          <w:b/>
          <w:bCs/>
          <w:lang w:eastAsia="zh-CN"/>
        </w:rPr>
        <w:fldChar w:fldCharType="end"/>
      </w:r>
      <w:r w:rsidRPr="005B023A">
        <w:rPr>
          <w:rFonts w:eastAsia="Times New Roman"/>
          <w:b/>
          <w:bCs/>
          <w:lang w:eastAsia="zh-CN"/>
        </w:rPr>
        <w:t>:</w:t>
      </w:r>
      <w:r w:rsidRPr="005B023A">
        <w:rPr>
          <w:rFonts w:eastAsia="Times New Roman"/>
          <w:bCs/>
          <w:lang w:eastAsia="zh-CN"/>
        </w:rPr>
        <w:tab/>
      </w:r>
      <w:r w:rsidR="00190761" w:rsidRPr="00795C05">
        <w:rPr>
          <w:rFonts w:eastAsia="Times New Roman"/>
          <w:b/>
          <w:bCs/>
          <w:lang w:eastAsia="zh-CN"/>
        </w:rPr>
        <w:t>Реален БВП</w:t>
      </w:r>
    </w:p>
    <w:p w:rsidR="00784DDA" w:rsidRDefault="00463652" w:rsidP="00784DDA">
      <w:pPr>
        <w:spacing w:before="120" w:after="0"/>
        <w:ind w:firstLine="1418"/>
        <w:contextualSpacing/>
        <w:rPr>
          <w:sz w:val="22"/>
        </w:rPr>
      </w:pPr>
      <w:r>
        <w:rPr>
          <w:rFonts w:eastAsia="Times New Roman"/>
          <w:b/>
          <w:bCs/>
          <w:lang w:eastAsia="zh-CN"/>
        </w:rPr>
        <w:t xml:space="preserve"> </w:t>
      </w:r>
      <w:r w:rsidR="00745148" w:rsidRPr="00463652">
        <w:rPr>
          <w:sz w:val="22"/>
        </w:rPr>
        <w:t>(% промяна спрямо съответното тримесечие на предходната година)</w:t>
      </w:r>
    </w:p>
    <w:p w:rsidR="00784DDA" w:rsidRPr="00784DDA" w:rsidRDefault="00784DDA" w:rsidP="00784DDA">
      <w:pPr>
        <w:spacing w:before="120" w:after="0"/>
        <w:ind w:firstLine="1418"/>
        <w:contextualSpacing/>
        <w:rPr>
          <w:sz w:val="22"/>
        </w:rPr>
      </w:pPr>
    </w:p>
    <w:p w:rsidR="00784DDA" w:rsidRDefault="00784DDA" w:rsidP="00784DDA">
      <w:pPr>
        <w:jc w:val="center"/>
        <w:rPr>
          <w:sz w:val="16"/>
          <w:szCs w:val="16"/>
        </w:rPr>
      </w:pPr>
      <w:r>
        <w:rPr>
          <w:noProof/>
        </w:rPr>
        <w:drawing>
          <wp:inline distT="0" distB="0" distL="0" distR="0" wp14:anchorId="4E0CA8A9" wp14:editId="56AF4AD0">
            <wp:extent cx="5152030" cy="2295525"/>
            <wp:effectExtent l="0" t="0" r="10795" b="952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083361" w:rsidRPr="00784DDA" w:rsidRDefault="00784DDA" w:rsidP="00784DDA">
      <w:pPr>
        <w:jc w:val="right"/>
        <w:rPr>
          <w:noProof/>
        </w:rPr>
      </w:pPr>
      <w:r>
        <w:rPr>
          <w:sz w:val="16"/>
          <w:szCs w:val="16"/>
        </w:rPr>
        <w:t xml:space="preserve"> </w:t>
      </w:r>
      <w:r w:rsidR="00083361" w:rsidRPr="00E27769">
        <w:rPr>
          <w:sz w:val="16"/>
          <w:szCs w:val="16"/>
        </w:rPr>
        <w:t>Източник: Евростат, Американско бюро за икономически анализи</w:t>
      </w:r>
    </w:p>
    <w:p w:rsidR="00824B66" w:rsidRPr="00BA381C" w:rsidRDefault="00824B66" w:rsidP="00BA381C">
      <w:pPr>
        <w:pStyle w:val="Heading4"/>
        <w:numPr>
          <w:ilvl w:val="0"/>
          <w:numId w:val="0"/>
        </w:numPr>
        <w:rPr>
          <w:rStyle w:val="Strong"/>
          <w:b/>
          <w:bCs/>
        </w:rPr>
      </w:pPr>
      <w:r w:rsidRPr="00BA381C">
        <w:rPr>
          <w:rStyle w:val="Heading4Char"/>
          <w:b/>
        </w:rPr>
        <w:t>О</w:t>
      </w:r>
      <w:r w:rsidR="00BA381C" w:rsidRPr="00BA381C">
        <w:rPr>
          <w:rStyle w:val="Heading4Char"/>
          <w:b/>
        </w:rPr>
        <w:t>сновни допускания</w:t>
      </w:r>
      <w:r w:rsidRPr="00BA381C">
        <w:rPr>
          <w:rStyle w:val="Heading4Char"/>
          <w:b/>
        </w:rPr>
        <w:t xml:space="preserve">, </w:t>
      </w:r>
      <w:r w:rsidR="00BA381C" w:rsidRPr="00BA381C">
        <w:rPr>
          <w:rStyle w:val="Heading4Char"/>
          <w:b/>
        </w:rPr>
        <w:t>на които се основава</w:t>
      </w:r>
      <w:r w:rsidRPr="00BA381C">
        <w:rPr>
          <w:rStyle w:val="Heading4Char"/>
          <w:b/>
        </w:rPr>
        <w:t xml:space="preserve"> </w:t>
      </w:r>
      <w:r w:rsidR="00BA381C" w:rsidRPr="00BA381C">
        <w:rPr>
          <w:rStyle w:val="Heading4Char"/>
          <w:b/>
        </w:rPr>
        <w:t>макроикономическата</w:t>
      </w:r>
      <w:r w:rsidRPr="00BA381C">
        <w:rPr>
          <w:rStyle w:val="Heading4Char"/>
          <w:b/>
        </w:rPr>
        <w:t xml:space="preserve"> </w:t>
      </w:r>
      <w:r w:rsidR="00BA381C" w:rsidRPr="00BA381C">
        <w:rPr>
          <w:rStyle w:val="Heading4Char"/>
          <w:b/>
        </w:rPr>
        <w:t>рамка</w:t>
      </w:r>
      <w:r w:rsidRPr="00BA381C">
        <w:rPr>
          <w:rStyle w:val="Heading4Char"/>
          <w:b/>
        </w:rPr>
        <w:t xml:space="preserve"> </w:t>
      </w:r>
      <w:r w:rsidR="00BA381C" w:rsidRPr="00BA381C">
        <w:rPr>
          <w:rStyle w:val="Heading4Char"/>
          <w:b/>
        </w:rPr>
        <w:t>за</w:t>
      </w:r>
      <w:r w:rsidRPr="00BA381C">
        <w:rPr>
          <w:rStyle w:val="Heading4Char"/>
          <w:b/>
        </w:rPr>
        <w:t xml:space="preserve"> </w:t>
      </w:r>
      <w:r w:rsidR="00BA381C" w:rsidRPr="00BA381C">
        <w:rPr>
          <w:rStyle w:val="Heading4Char"/>
          <w:b/>
        </w:rPr>
        <w:t>периода</w:t>
      </w:r>
      <w:r w:rsidRPr="00BA381C">
        <w:rPr>
          <w:rStyle w:val="Heading4Char"/>
          <w:b/>
        </w:rPr>
        <w:t xml:space="preserve"> 201</w:t>
      </w:r>
      <w:r w:rsidR="009B3C1F">
        <w:rPr>
          <w:rStyle w:val="Heading4Char"/>
          <w:b/>
        </w:rPr>
        <w:t>9</w:t>
      </w:r>
      <w:r w:rsidRPr="00BA381C">
        <w:rPr>
          <w:rStyle w:val="Heading4Char"/>
          <w:b/>
        </w:rPr>
        <w:t>-20</w:t>
      </w:r>
      <w:r w:rsidR="007C2FAB">
        <w:rPr>
          <w:rStyle w:val="Heading4Char"/>
          <w:b/>
        </w:rPr>
        <w:t>2</w:t>
      </w:r>
      <w:r w:rsidR="009B3C1F">
        <w:rPr>
          <w:rStyle w:val="Heading4Char"/>
          <w:b/>
        </w:rPr>
        <w:t>2</w:t>
      </w:r>
      <w:r w:rsidR="00AA3035" w:rsidRPr="00BA381C">
        <w:rPr>
          <w:rStyle w:val="Heading4Char"/>
          <w:b/>
        </w:rPr>
        <w:t> г</w:t>
      </w:r>
      <w:r w:rsidR="00AA3035" w:rsidRPr="00BA381C">
        <w:rPr>
          <w:rStyle w:val="Strong"/>
          <w:b/>
          <w:bCs/>
        </w:rPr>
        <w:t>.</w:t>
      </w:r>
    </w:p>
    <w:p w:rsidR="00784DDA" w:rsidRDefault="00784DDA" w:rsidP="00856DCE">
      <w:pPr>
        <w:spacing w:after="120"/>
        <w:rPr>
          <w:rFonts w:eastAsia="Times New Roman"/>
          <w:bCs/>
          <w:highlight w:val="yellow"/>
          <w:lang w:eastAsia="zh-CN"/>
        </w:rPr>
      </w:pPr>
      <w:r w:rsidRPr="00784DDA">
        <w:rPr>
          <w:rFonts w:eastAsia="Times New Roman"/>
          <w:bCs/>
          <w:lang w:eastAsia="zh-CN"/>
        </w:rPr>
        <w:t>Растежът на световн</w:t>
      </w:r>
      <w:r>
        <w:rPr>
          <w:rFonts w:eastAsia="Times New Roman"/>
          <w:bCs/>
          <w:lang w:eastAsia="zh-CN"/>
        </w:rPr>
        <w:t>ата икономика ще се забави до 3,1% през 2019 г. спрямо 3,</w:t>
      </w:r>
      <w:r w:rsidRPr="00784DDA">
        <w:rPr>
          <w:rFonts w:eastAsia="Times New Roman"/>
          <w:bCs/>
          <w:lang w:eastAsia="zh-CN"/>
        </w:rPr>
        <w:t>6% през 2018 г., отразявайки по-умерената икономическа активност както в развитите, така и в развиващите се страни. Растежът на ЕС ще се ограничи през текущата година</w:t>
      </w:r>
      <w:r w:rsidR="00A478B5">
        <w:rPr>
          <w:rFonts w:eastAsia="Times New Roman"/>
          <w:bCs/>
          <w:lang w:eastAsia="zh-CN"/>
        </w:rPr>
        <w:t>,</w:t>
      </w:r>
      <w:r w:rsidRPr="00784DDA">
        <w:rPr>
          <w:rFonts w:eastAsia="Times New Roman"/>
          <w:bCs/>
          <w:lang w:eastAsia="zh-CN"/>
        </w:rPr>
        <w:t xml:space="preserve"> движен основно от динамиката на по-големите икономики в </w:t>
      </w:r>
      <w:r w:rsidR="00D52D59">
        <w:rPr>
          <w:rFonts w:eastAsia="Times New Roman"/>
          <w:bCs/>
          <w:lang w:eastAsia="zh-CN"/>
        </w:rPr>
        <w:t>е</w:t>
      </w:r>
      <w:r w:rsidRPr="00784DDA">
        <w:rPr>
          <w:rFonts w:eastAsia="Times New Roman"/>
          <w:bCs/>
          <w:lang w:eastAsia="zh-CN"/>
        </w:rPr>
        <w:t xml:space="preserve">врозоната. През 2020 г. се очаква международната търговия да ускори растежа си, което ще подкрепи промишленото производство и растежа на БВП на </w:t>
      </w:r>
      <w:r w:rsidR="00D52D59">
        <w:rPr>
          <w:rFonts w:eastAsia="Times New Roman"/>
          <w:bCs/>
          <w:lang w:eastAsia="zh-CN"/>
        </w:rPr>
        <w:t>е</w:t>
      </w:r>
      <w:r w:rsidRPr="00784DDA">
        <w:rPr>
          <w:rFonts w:eastAsia="Times New Roman"/>
          <w:bCs/>
          <w:lang w:eastAsia="zh-CN"/>
        </w:rPr>
        <w:t>врозоната и ЕС. През следващите две години 2021-2022 г. растежът на ЕС леко ще се забави поради по-ниското вътрешно търсене в развитите страни и Китай. В същото време, очакванията за динамиката на икономиката на САЩ са за постепенно забавяне през целия прогнозен хоризонт. Очаква се растежът на световн</w:t>
      </w:r>
      <w:r>
        <w:rPr>
          <w:rFonts w:eastAsia="Times New Roman"/>
          <w:bCs/>
          <w:lang w:eastAsia="zh-CN"/>
        </w:rPr>
        <w:t>ата икономика да се ускори до 3,</w:t>
      </w:r>
      <w:r w:rsidRPr="00784DDA">
        <w:rPr>
          <w:rFonts w:eastAsia="Times New Roman"/>
          <w:bCs/>
          <w:lang w:eastAsia="zh-CN"/>
        </w:rPr>
        <w:t>5% през 2020 г</w:t>
      </w:r>
      <w:r>
        <w:rPr>
          <w:rFonts w:eastAsia="Times New Roman"/>
          <w:bCs/>
          <w:lang w:eastAsia="zh-CN"/>
        </w:rPr>
        <w:t>. и темпът да се запази около 3,</w:t>
      </w:r>
      <w:r w:rsidRPr="00784DDA">
        <w:rPr>
          <w:rFonts w:eastAsia="Times New Roman"/>
          <w:bCs/>
          <w:lang w:eastAsia="zh-CN"/>
        </w:rPr>
        <w:t>6% до края на прогнозния хоризонт.</w:t>
      </w:r>
    </w:p>
    <w:p w:rsidR="00083361" w:rsidRPr="00616C7A" w:rsidRDefault="00A52E2F" w:rsidP="00A52E2F">
      <w:pPr>
        <w:pStyle w:val="Caption"/>
        <w:rPr>
          <w:szCs w:val="24"/>
        </w:rPr>
      </w:pPr>
      <w:bookmarkStart w:id="75" w:name="_Toc464644948"/>
      <w:bookmarkStart w:id="76" w:name="_Toc464646348"/>
      <w:bookmarkStart w:id="77" w:name="_Toc464737629"/>
      <w:bookmarkStart w:id="78" w:name="_Toc23337511"/>
      <w:r>
        <w:t xml:space="preserve">Табл. </w:t>
      </w:r>
      <w:fldSimple w:instr=" STYLEREF 1 \s ">
        <w:r w:rsidR="0034195B">
          <w:rPr>
            <w:noProof/>
          </w:rPr>
          <w:t>I</w:t>
        </w:r>
      </w:fldSimple>
      <w:r w:rsidR="00927CD5">
        <w:noBreakHyphen/>
      </w:r>
      <w:fldSimple w:instr=" SEQ Табл. \* ARABIC \s 1 ">
        <w:r w:rsidR="0034195B">
          <w:rPr>
            <w:noProof/>
          </w:rPr>
          <w:t>1</w:t>
        </w:r>
      </w:fldSimple>
      <w:r w:rsidR="00083361" w:rsidRPr="00616C7A">
        <w:rPr>
          <w:bCs w:val="0"/>
          <w:iCs/>
          <w:szCs w:val="24"/>
        </w:rPr>
        <w:t>:</w:t>
      </w:r>
      <w:r w:rsidR="001977D8">
        <w:rPr>
          <w:bCs w:val="0"/>
          <w:iCs/>
          <w:szCs w:val="24"/>
        </w:rPr>
        <w:tab/>
      </w:r>
      <w:r w:rsidR="00083361" w:rsidRPr="00616C7A">
        <w:rPr>
          <w:bCs w:val="0"/>
          <w:iCs/>
          <w:szCs w:val="24"/>
        </w:rPr>
        <w:t>Основни допускания за развитието на външната среда</w:t>
      </w:r>
      <w:bookmarkEnd w:id="75"/>
      <w:bookmarkEnd w:id="76"/>
      <w:bookmarkEnd w:id="77"/>
      <w:bookmarkEnd w:id="78"/>
    </w:p>
    <w:tbl>
      <w:tblPr>
        <w:tblW w:w="490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3609"/>
        <w:gridCol w:w="825"/>
        <w:gridCol w:w="935"/>
        <w:gridCol w:w="880"/>
        <w:gridCol w:w="880"/>
        <w:gridCol w:w="880"/>
        <w:gridCol w:w="880"/>
      </w:tblGrid>
      <w:tr w:rsidR="00083361" w:rsidRPr="00DB315A" w:rsidTr="004A7105">
        <w:trPr>
          <w:trHeight w:val="20"/>
          <w:jc w:val="center"/>
        </w:trPr>
        <w:tc>
          <w:tcPr>
            <w:tcW w:w="3746" w:type="dxa"/>
            <w:vMerge w:val="restart"/>
            <w:shd w:val="clear" w:color="auto" w:fill="auto"/>
            <w:vAlign w:val="center"/>
            <w:hideMark/>
          </w:tcPr>
          <w:p w:rsidR="00083361" w:rsidRPr="00DB315A" w:rsidRDefault="00083361" w:rsidP="00E22F06">
            <w:pPr>
              <w:pStyle w:val="texttable"/>
              <w:jc w:val="center"/>
              <w:rPr>
                <w:b/>
              </w:rPr>
            </w:pPr>
            <w:bookmarkStart w:id="79" w:name="RANGE!A1:G11"/>
            <w:r w:rsidRPr="00DB315A">
              <w:rPr>
                <w:b/>
              </w:rPr>
              <w:t>Международна среда</w:t>
            </w:r>
            <w:bookmarkEnd w:id="79"/>
          </w:p>
        </w:tc>
        <w:tc>
          <w:tcPr>
            <w:tcW w:w="1760" w:type="dxa"/>
            <w:gridSpan w:val="2"/>
            <w:tcBorders>
              <w:top w:val="single" w:sz="4" w:space="0" w:color="auto"/>
              <w:bottom w:val="single" w:sz="4" w:space="0" w:color="auto"/>
            </w:tcBorders>
            <w:shd w:val="clear" w:color="auto" w:fill="auto"/>
            <w:noWrap/>
            <w:vAlign w:val="center"/>
            <w:hideMark/>
          </w:tcPr>
          <w:p w:rsidR="00083361" w:rsidRPr="00DB315A" w:rsidRDefault="00083361" w:rsidP="00E22F06">
            <w:pPr>
              <w:pStyle w:val="texttable"/>
              <w:jc w:val="center"/>
              <w:rPr>
                <w:b/>
              </w:rPr>
            </w:pPr>
            <w:r w:rsidRPr="00DB315A">
              <w:rPr>
                <w:b/>
              </w:rPr>
              <w:t>Отчетни данни</w:t>
            </w:r>
          </w:p>
        </w:tc>
        <w:tc>
          <w:tcPr>
            <w:tcW w:w="3520" w:type="dxa"/>
            <w:gridSpan w:val="4"/>
            <w:tcBorders>
              <w:top w:val="single" w:sz="4" w:space="0" w:color="auto"/>
              <w:bottom w:val="single" w:sz="4" w:space="0" w:color="auto"/>
            </w:tcBorders>
            <w:shd w:val="clear" w:color="auto" w:fill="F2F2F2"/>
            <w:noWrap/>
            <w:vAlign w:val="center"/>
            <w:hideMark/>
          </w:tcPr>
          <w:p w:rsidR="00083361" w:rsidRPr="00DB315A" w:rsidRDefault="00083361" w:rsidP="00E22F06">
            <w:pPr>
              <w:pStyle w:val="texttable"/>
              <w:jc w:val="center"/>
              <w:rPr>
                <w:b/>
              </w:rPr>
            </w:pPr>
            <w:r w:rsidRPr="00DB315A">
              <w:rPr>
                <w:b/>
              </w:rPr>
              <w:t>Прогноза</w:t>
            </w:r>
          </w:p>
        </w:tc>
      </w:tr>
      <w:tr w:rsidR="00083361" w:rsidRPr="00DB315A" w:rsidTr="00EB6FFB">
        <w:trPr>
          <w:trHeight w:val="20"/>
          <w:jc w:val="center"/>
        </w:trPr>
        <w:tc>
          <w:tcPr>
            <w:tcW w:w="3746" w:type="dxa"/>
            <w:vMerge/>
            <w:tcBorders>
              <w:bottom w:val="single" w:sz="4" w:space="0" w:color="auto"/>
            </w:tcBorders>
            <w:shd w:val="clear" w:color="auto" w:fill="auto"/>
            <w:vAlign w:val="center"/>
            <w:hideMark/>
          </w:tcPr>
          <w:p w:rsidR="00083361" w:rsidRPr="00DB315A" w:rsidRDefault="00083361" w:rsidP="00D55B7F">
            <w:pPr>
              <w:pStyle w:val="texttable"/>
              <w:rPr>
                <w:b/>
              </w:rPr>
            </w:pPr>
          </w:p>
        </w:tc>
        <w:tc>
          <w:tcPr>
            <w:tcW w:w="825" w:type="dxa"/>
            <w:tcBorders>
              <w:top w:val="single" w:sz="4" w:space="0" w:color="auto"/>
              <w:bottom w:val="single" w:sz="4" w:space="0" w:color="auto"/>
            </w:tcBorders>
            <w:shd w:val="clear" w:color="auto" w:fill="auto"/>
            <w:noWrap/>
            <w:vAlign w:val="center"/>
            <w:hideMark/>
          </w:tcPr>
          <w:p w:rsidR="00083361" w:rsidRPr="00DB315A" w:rsidRDefault="00DB315A" w:rsidP="00D55B7F">
            <w:pPr>
              <w:pStyle w:val="texttable"/>
              <w:jc w:val="center"/>
              <w:rPr>
                <w:b/>
              </w:rPr>
            </w:pPr>
            <w:r w:rsidRPr="00DB315A">
              <w:rPr>
                <w:b/>
              </w:rPr>
              <w:t>2017</w:t>
            </w:r>
          </w:p>
        </w:tc>
        <w:tc>
          <w:tcPr>
            <w:tcW w:w="935" w:type="dxa"/>
            <w:tcBorders>
              <w:top w:val="single" w:sz="4" w:space="0" w:color="auto"/>
              <w:bottom w:val="single" w:sz="4" w:space="0" w:color="auto"/>
            </w:tcBorders>
            <w:shd w:val="clear" w:color="auto" w:fill="auto"/>
            <w:noWrap/>
            <w:vAlign w:val="center"/>
            <w:hideMark/>
          </w:tcPr>
          <w:p w:rsidR="00083361" w:rsidRPr="00DB315A" w:rsidRDefault="00083361" w:rsidP="004023BD">
            <w:pPr>
              <w:pStyle w:val="texttable"/>
              <w:jc w:val="center"/>
              <w:rPr>
                <w:b/>
              </w:rPr>
            </w:pPr>
            <w:r w:rsidRPr="00DB315A">
              <w:rPr>
                <w:b/>
              </w:rPr>
              <w:t>201</w:t>
            </w:r>
            <w:r w:rsidR="00DB315A" w:rsidRPr="00DB315A">
              <w:rPr>
                <w:b/>
              </w:rPr>
              <w:t>8</w:t>
            </w:r>
          </w:p>
        </w:tc>
        <w:tc>
          <w:tcPr>
            <w:tcW w:w="880" w:type="dxa"/>
            <w:tcBorders>
              <w:top w:val="single" w:sz="4" w:space="0" w:color="auto"/>
              <w:bottom w:val="single" w:sz="4" w:space="0" w:color="auto"/>
            </w:tcBorders>
            <w:shd w:val="clear" w:color="auto" w:fill="F2F2F2"/>
            <w:noWrap/>
            <w:vAlign w:val="center"/>
            <w:hideMark/>
          </w:tcPr>
          <w:p w:rsidR="00083361" w:rsidRPr="00DB315A" w:rsidRDefault="00083361" w:rsidP="004023BD">
            <w:pPr>
              <w:pStyle w:val="texttable"/>
              <w:jc w:val="center"/>
              <w:rPr>
                <w:b/>
              </w:rPr>
            </w:pPr>
            <w:r w:rsidRPr="00DB315A">
              <w:rPr>
                <w:b/>
              </w:rPr>
              <w:t>201</w:t>
            </w:r>
            <w:r w:rsidR="00DB315A" w:rsidRPr="00DB315A">
              <w:rPr>
                <w:b/>
              </w:rPr>
              <w:t>9</w:t>
            </w:r>
          </w:p>
        </w:tc>
        <w:tc>
          <w:tcPr>
            <w:tcW w:w="880" w:type="dxa"/>
            <w:tcBorders>
              <w:top w:val="single" w:sz="4" w:space="0" w:color="auto"/>
              <w:bottom w:val="single" w:sz="4" w:space="0" w:color="auto"/>
            </w:tcBorders>
            <w:shd w:val="clear" w:color="auto" w:fill="F2F2F2"/>
            <w:noWrap/>
            <w:vAlign w:val="center"/>
            <w:hideMark/>
          </w:tcPr>
          <w:p w:rsidR="00083361" w:rsidRPr="00DB315A" w:rsidRDefault="00DB315A" w:rsidP="004023BD">
            <w:pPr>
              <w:pStyle w:val="texttable"/>
              <w:jc w:val="center"/>
              <w:rPr>
                <w:b/>
              </w:rPr>
            </w:pPr>
            <w:r w:rsidRPr="00DB315A">
              <w:rPr>
                <w:b/>
              </w:rPr>
              <w:t>2020</w:t>
            </w:r>
          </w:p>
        </w:tc>
        <w:tc>
          <w:tcPr>
            <w:tcW w:w="880" w:type="dxa"/>
            <w:tcBorders>
              <w:top w:val="single" w:sz="4" w:space="0" w:color="auto"/>
              <w:bottom w:val="single" w:sz="4" w:space="0" w:color="auto"/>
            </w:tcBorders>
            <w:shd w:val="clear" w:color="auto" w:fill="F2F2F2"/>
            <w:noWrap/>
            <w:vAlign w:val="center"/>
            <w:hideMark/>
          </w:tcPr>
          <w:p w:rsidR="00083361" w:rsidRPr="00DB315A" w:rsidRDefault="00DB315A" w:rsidP="004023BD">
            <w:pPr>
              <w:pStyle w:val="texttable"/>
              <w:jc w:val="center"/>
              <w:rPr>
                <w:b/>
              </w:rPr>
            </w:pPr>
            <w:r w:rsidRPr="00DB315A">
              <w:rPr>
                <w:b/>
              </w:rPr>
              <w:t>2021</w:t>
            </w:r>
          </w:p>
        </w:tc>
        <w:tc>
          <w:tcPr>
            <w:tcW w:w="880" w:type="dxa"/>
            <w:tcBorders>
              <w:top w:val="single" w:sz="4" w:space="0" w:color="auto"/>
              <w:bottom w:val="single" w:sz="4" w:space="0" w:color="auto"/>
            </w:tcBorders>
            <w:shd w:val="clear" w:color="auto" w:fill="F2F2F2"/>
            <w:noWrap/>
            <w:vAlign w:val="center"/>
            <w:hideMark/>
          </w:tcPr>
          <w:p w:rsidR="00083361" w:rsidRPr="00DB315A" w:rsidRDefault="00083361" w:rsidP="007C2FAB">
            <w:pPr>
              <w:pStyle w:val="texttable"/>
              <w:jc w:val="center"/>
              <w:rPr>
                <w:b/>
              </w:rPr>
            </w:pPr>
            <w:r w:rsidRPr="00DB315A">
              <w:rPr>
                <w:b/>
              </w:rPr>
              <w:t>20</w:t>
            </w:r>
            <w:r w:rsidR="00DB315A" w:rsidRPr="00DB315A">
              <w:rPr>
                <w:b/>
              </w:rPr>
              <w:t>22</w:t>
            </w:r>
          </w:p>
        </w:tc>
      </w:tr>
      <w:tr w:rsidR="00784DDA" w:rsidRPr="00DB315A" w:rsidTr="00EB6FFB">
        <w:trPr>
          <w:trHeight w:val="20"/>
          <w:jc w:val="center"/>
        </w:trPr>
        <w:tc>
          <w:tcPr>
            <w:tcW w:w="3746" w:type="dxa"/>
            <w:tcBorders>
              <w:top w:val="single" w:sz="4" w:space="0" w:color="auto"/>
              <w:bottom w:val="nil"/>
            </w:tcBorders>
            <w:shd w:val="clear" w:color="auto" w:fill="auto"/>
            <w:vAlign w:val="center"/>
            <w:hideMark/>
          </w:tcPr>
          <w:p w:rsidR="00784DDA" w:rsidRPr="00DB315A" w:rsidRDefault="00784DDA" w:rsidP="00D55B7F">
            <w:pPr>
              <w:pStyle w:val="texttable"/>
            </w:pPr>
            <w:r w:rsidRPr="00DB315A">
              <w:t>Световна икономика (реален растеж, %)</w:t>
            </w:r>
          </w:p>
        </w:tc>
        <w:tc>
          <w:tcPr>
            <w:tcW w:w="825" w:type="dxa"/>
            <w:tcBorders>
              <w:top w:val="single" w:sz="4" w:space="0" w:color="auto"/>
              <w:bottom w:val="nil"/>
            </w:tcBorders>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3,8</w:t>
            </w:r>
          </w:p>
        </w:tc>
        <w:tc>
          <w:tcPr>
            <w:tcW w:w="935" w:type="dxa"/>
            <w:tcBorders>
              <w:top w:val="single" w:sz="4" w:space="0" w:color="auto"/>
              <w:bottom w:val="nil"/>
            </w:tcBorders>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3,6</w:t>
            </w:r>
          </w:p>
        </w:tc>
        <w:tc>
          <w:tcPr>
            <w:tcW w:w="880" w:type="dxa"/>
            <w:tcBorders>
              <w:top w:val="single" w:sz="4" w:space="0" w:color="auto"/>
              <w:bottom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3,1</w:t>
            </w:r>
          </w:p>
        </w:tc>
        <w:tc>
          <w:tcPr>
            <w:tcW w:w="880" w:type="dxa"/>
            <w:tcBorders>
              <w:top w:val="single" w:sz="4" w:space="0" w:color="auto"/>
              <w:bottom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3,5</w:t>
            </w:r>
          </w:p>
        </w:tc>
        <w:tc>
          <w:tcPr>
            <w:tcW w:w="880" w:type="dxa"/>
            <w:tcBorders>
              <w:top w:val="single" w:sz="4" w:space="0" w:color="auto"/>
              <w:bottom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3,6</w:t>
            </w:r>
          </w:p>
        </w:tc>
        <w:tc>
          <w:tcPr>
            <w:tcW w:w="880" w:type="dxa"/>
            <w:tcBorders>
              <w:top w:val="single" w:sz="4" w:space="0" w:color="auto"/>
              <w:bottom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3,6</w:t>
            </w:r>
          </w:p>
        </w:tc>
      </w:tr>
      <w:tr w:rsidR="00784DDA" w:rsidRPr="00DB315A" w:rsidTr="004A7105">
        <w:trPr>
          <w:trHeight w:val="20"/>
          <w:jc w:val="center"/>
        </w:trPr>
        <w:tc>
          <w:tcPr>
            <w:tcW w:w="3746" w:type="dxa"/>
            <w:tcBorders>
              <w:top w:val="nil"/>
            </w:tcBorders>
            <w:shd w:val="clear" w:color="auto" w:fill="auto"/>
            <w:vAlign w:val="center"/>
            <w:hideMark/>
          </w:tcPr>
          <w:p w:rsidR="00784DDA" w:rsidRPr="00DB315A" w:rsidRDefault="00784DDA" w:rsidP="00D55B7F">
            <w:pPr>
              <w:pStyle w:val="texttable"/>
            </w:pPr>
            <w:r w:rsidRPr="00DB315A">
              <w:t>Европейска икономика – ЕС 28 (%)</w:t>
            </w:r>
          </w:p>
        </w:tc>
        <w:tc>
          <w:tcPr>
            <w:tcW w:w="825" w:type="dxa"/>
            <w:tcBorders>
              <w:top w:val="nil"/>
            </w:tcBorders>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2,5</w:t>
            </w:r>
          </w:p>
        </w:tc>
        <w:tc>
          <w:tcPr>
            <w:tcW w:w="935" w:type="dxa"/>
            <w:tcBorders>
              <w:top w:val="nil"/>
            </w:tcBorders>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2,0</w:t>
            </w:r>
          </w:p>
        </w:tc>
        <w:tc>
          <w:tcPr>
            <w:tcW w:w="880" w:type="dxa"/>
            <w:tcBorders>
              <w:top w:val="nil"/>
              <w:bottom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1,6</w:t>
            </w:r>
          </w:p>
        </w:tc>
        <w:tc>
          <w:tcPr>
            <w:tcW w:w="880" w:type="dxa"/>
            <w:tcBorders>
              <w:top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1,8</w:t>
            </w:r>
          </w:p>
        </w:tc>
        <w:tc>
          <w:tcPr>
            <w:tcW w:w="880" w:type="dxa"/>
            <w:tcBorders>
              <w:top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1,7</w:t>
            </w:r>
          </w:p>
        </w:tc>
        <w:tc>
          <w:tcPr>
            <w:tcW w:w="880" w:type="dxa"/>
            <w:tcBorders>
              <w:top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1,7</w:t>
            </w:r>
          </w:p>
        </w:tc>
      </w:tr>
      <w:tr w:rsidR="00784DDA" w:rsidRPr="00DB315A" w:rsidTr="00167302">
        <w:trPr>
          <w:trHeight w:val="20"/>
          <w:jc w:val="center"/>
        </w:trPr>
        <w:tc>
          <w:tcPr>
            <w:tcW w:w="3746" w:type="dxa"/>
            <w:shd w:val="clear" w:color="auto" w:fill="auto"/>
            <w:vAlign w:val="center"/>
            <w:hideMark/>
          </w:tcPr>
          <w:p w:rsidR="00784DDA" w:rsidRPr="00DB315A" w:rsidRDefault="00784DDA" w:rsidP="00D55B7F">
            <w:pPr>
              <w:pStyle w:val="texttable"/>
            </w:pPr>
            <w:r w:rsidRPr="00DB315A">
              <w:t xml:space="preserve">Средногодишен валутен курс (щ.д./евро) </w:t>
            </w:r>
          </w:p>
        </w:tc>
        <w:tc>
          <w:tcPr>
            <w:tcW w:w="825" w:type="dxa"/>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1,13</w:t>
            </w:r>
          </w:p>
        </w:tc>
        <w:tc>
          <w:tcPr>
            <w:tcW w:w="935" w:type="dxa"/>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1,18</w:t>
            </w:r>
          </w:p>
        </w:tc>
        <w:tc>
          <w:tcPr>
            <w:tcW w:w="880" w:type="dxa"/>
            <w:tcBorders>
              <w:top w:val="nil"/>
              <w:bottom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1,12</w:t>
            </w:r>
          </w:p>
        </w:tc>
        <w:tc>
          <w:tcPr>
            <w:tcW w:w="880" w:type="dxa"/>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1,10</w:t>
            </w:r>
          </w:p>
        </w:tc>
        <w:tc>
          <w:tcPr>
            <w:tcW w:w="880" w:type="dxa"/>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1,10</w:t>
            </w:r>
          </w:p>
        </w:tc>
        <w:tc>
          <w:tcPr>
            <w:tcW w:w="880" w:type="dxa"/>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1,10</w:t>
            </w:r>
          </w:p>
        </w:tc>
      </w:tr>
      <w:tr w:rsidR="00784DDA" w:rsidRPr="00DB315A" w:rsidTr="00167302">
        <w:trPr>
          <w:trHeight w:val="20"/>
          <w:jc w:val="center"/>
        </w:trPr>
        <w:tc>
          <w:tcPr>
            <w:tcW w:w="3746" w:type="dxa"/>
            <w:shd w:val="clear" w:color="auto" w:fill="auto"/>
            <w:vAlign w:val="center"/>
            <w:hideMark/>
          </w:tcPr>
          <w:p w:rsidR="00784DDA" w:rsidRPr="00DB315A" w:rsidRDefault="00784DDA" w:rsidP="00D55B7F">
            <w:pPr>
              <w:pStyle w:val="texttable"/>
            </w:pPr>
            <w:r w:rsidRPr="00DB315A">
              <w:t>Цена на петрол „Брент“ (щ.д./барел)</w:t>
            </w:r>
          </w:p>
        </w:tc>
        <w:tc>
          <w:tcPr>
            <w:tcW w:w="825" w:type="dxa"/>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54,4</w:t>
            </w:r>
          </w:p>
        </w:tc>
        <w:tc>
          <w:tcPr>
            <w:tcW w:w="935" w:type="dxa"/>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71,1</w:t>
            </w:r>
          </w:p>
        </w:tc>
        <w:tc>
          <w:tcPr>
            <w:tcW w:w="880" w:type="dxa"/>
            <w:tcBorders>
              <w:top w:val="nil"/>
              <w:bottom w:val="nil"/>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63,0</w:t>
            </w:r>
          </w:p>
        </w:tc>
        <w:tc>
          <w:tcPr>
            <w:tcW w:w="880" w:type="dxa"/>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57,8</w:t>
            </w:r>
          </w:p>
        </w:tc>
        <w:tc>
          <w:tcPr>
            <w:tcW w:w="880" w:type="dxa"/>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56,3</w:t>
            </w:r>
          </w:p>
        </w:tc>
        <w:tc>
          <w:tcPr>
            <w:tcW w:w="880" w:type="dxa"/>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56,0</w:t>
            </w:r>
          </w:p>
        </w:tc>
      </w:tr>
      <w:tr w:rsidR="00784DDA" w:rsidRPr="00886E11" w:rsidTr="004A7105">
        <w:trPr>
          <w:trHeight w:val="20"/>
          <w:jc w:val="center"/>
        </w:trPr>
        <w:tc>
          <w:tcPr>
            <w:tcW w:w="3746" w:type="dxa"/>
            <w:shd w:val="clear" w:color="auto" w:fill="auto"/>
            <w:vAlign w:val="center"/>
            <w:hideMark/>
          </w:tcPr>
          <w:p w:rsidR="00784DDA" w:rsidRPr="00DB315A" w:rsidRDefault="00784DDA" w:rsidP="00D55B7F">
            <w:pPr>
              <w:pStyle w:val="texttable"/>
            </w:pPr>
            <w:r w:rsidRPr="00DB315A">
              <w:t xml:space="preserve">Цена на неенергийни суровини </w:t>
            </w:r>
            <w:r w:rsidRPr="00DB315A">
              <w:br/>
              <w:t>(в щ.д., %)</w:t>
            </w:r>
          </w:p>
        </w:tc>
        <w:tc>
          <w:tcPr>
            <w:tcW w:w="825" w:type="dxa"/>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5,5</w:t>
            </w:r>
          </w:p>
        </w:tc>
        <w:tc>
          <w:tcPr>
            <w:tcW w:w="935" w:type="dxa"/>
            <w:shd w:val="clear" w:color="auto" w:fill="auto"/>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1,7</w:t>
            </w:r>
          </w:p>
        </w:tc>
        <w:tc>
          <w:tcPr>
            <w:tcW w:w="880" w:type="dxa"/>
            <w:tcBorders>
              <w:top w:val="nil"/>
              <w:bottom w:val="single" w:sz="4" w:space="0" w:color="auto"/>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-2,1</w:t>
            </w:r>
          </w:p>
        </w:tc>
        <w:tc>
          <w:tcPr>
            <w:tcW w:w="880" w:type="dxa"/>
            <w:tcBorders>
              <w:bottom w:val="single" w:sz="4" w:space="0" w:color="auto"/>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1,4</w:t>
            </w:r>
          </w:p>
        </w:tc>
        <w:tc>
          <w:tcPr>
            <w:tcW w:w="880" w:type="dxa"/>
            <w:tcBorders>
              <w:bottom w:val="single" w:sz="4" w:space="0" w:color="auto"/>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1,3</w:t>
            </w:r>
          </w:p>
        </w:tc>
        <w:tc>
          <w:tcPr>
            <w:tcW w:w="880" w:type="dxa"/>
            <w:tcBorders>
              <w:bottom w:val="single" w:sz="4" w:space="0" w:color="auto"/>
            </w:tcBorders>
            <w:shd w:val="clear" w:color="auto" w:fill="F2F2F2"/>
            <w:noWrap/>
            <w:vAlign w:val="center"/>
          </w:tcPr>
          <w:p w:rsidR="00784DDA" w:rsidRPr="00FB20E5" w:rsidRDefault="00784DDA" w:rsidP="00167302">
            <w:pPr>
              <w:spacing w:before="100" w:beforeAutospacing="1" w:after="100" w:afterAutospacing="1"/>
              <w:ind w:leftChars="-160" w:left="-384"/>
              <w:jc w:val="right"/>
              <w:rPr>
                <w:rFonts w:eastAsia="Times New Roman" w:cs="Times New Roman"/>
                <w:sz w:val="20"/>
                <w:szCs w:val="20"/>
                <w:lang w:eastAsia="en-GB"/>
              </w:rPr>
            </w:pPr>
            <w:r w:rsidRPr="00FB20E5">
              <w:rPr>
                <w:rFonts w:eastAsia="Times New Roman" w:cs="Times New Roman"/>
                <w:sz w:val="20"/>
                <w:szCs w:val="20"/>
                <w:lang w:eastAsia="en-GB"/>
              </w:rPr>
              <w:t>1,4</w:t>
            </w:r>
          </w:p>
        </w:tc>
      </w:tr>
    </w:tbl>
    <w:p w:rsidR="00784DDA" w:rsidRPr="00784DDA" w:rsidRDefault="00784DDA" w:rsidP="00784DDA">
      <w:pPr>
        <w:pStyle w:val="Source0"/>
        <w:rPr>
          <w:sz w:val="16"/>
          <w:szCs w:val="16"/>
        </w:rPr>
      </w:pPr>
      <w:r>
        <w:rPr>
          <w:sz w:val="16"/>
          <w:szCs w:val="16"/>
        </w:rPr>
        <w:t>Източник</w:t>
      </w:r>
      <w:r w:rsidR="00C530CF">
        <w:rPr>
          <w:sz w:val="16"/>
          <w:szCs w:val="16"/>
        </w:rPr>
        <w:t>:</w:t>
      </w:r>
      <w:r w:rsidRPr="00784DDA">
        <w:rPr>
          <w:rFonts w:cs="Times New Roman"/>
        </w:rPr>
        <w:t xml:space="preserve"> </w:t>
      </w:r>
      <w:r w:rsidRPr="00784DDA">
        <w:rPr>
          <w:sz w:val="16"/>
          <w:szCs w:val="16"/>
        </w:rPr>
        <w:t xml:space="preserve">МФ, </w:t>
      </w:r>
      <w:r w:rsidR="001A5213">
        <w:rPr>
          <w:sz w:val="16"/>
          <w:szCs w:val="16"/>
        </w:rPr>
        <w:t xml:space="preserve">ЕК, </w:t>
      </w:r>
      <w:r w:rsidR="00C530CF">
        <w:rPr>
          <w:sz w:val="16"/>
          <w:szCs w:val="16"/>
        </w:rPr>
        <w:t>МВФ</w:t>
      </w:r>
      <w:r w:rsidR="001A5213">
        <w:rPr>
          <w:sz w:val="16"/>
          <w:szCs w:val="16"/>
        </w:rPr>
        <w:t>, СБ</w:t>
      </w:r>
    </w:p>
    <w:p w:rsidR="00784DDA" w:rsidRPr="00784DDA" w:rsidRDefault="00784DDA" w:rsidP="00784DDA">
      <w:pPr>
        <w:spacing w:after="120"/>
        <w:rPr>
          <w:rFonts w:eastAsia="Times New Roman"/>
          <w:lang w:eastAsia="zh-CN"/>
        </w:rPr>
      </w:pPr>
      <w:r w:rsidRPr="00784DDA">
        <w:rPr>
          <w:rFonts w:eastAsia="Times New Roman"/>
          <w:lang w:eastAsia="zh-CN"/>
        </w:rPr>
        <w:t>Прогнозата за курса BGN/USD се основава на наличието на фиксиран курс на лева към единната европейска валута и техническо допускане за разменния курс на еврото към щатския долар. Последното се състои в изчисляване на средния курс EUR/USD с дневни данни за последните десет работни дни към датата на изготвяне на допусканията и фиксирането му за дните до края на прогнозния хоризонт. В настоящата прогноза последните актуални дневни данни са към 16 септември 2019 г. Според така направената техническа прогноза, валутният курс на еврото п</w:t>
      </w:r>
      <w:r>
        <w:rPr>
          <w:rFonts w:eastAsia="Times New Roman"/>
          <w:lang w:eastAsia="zh-CN"/>
        </w:rPr>
        <w:t>рез 2019 г. се очаква да бъде 1,12 долара, а през 2020 г. – 1,11 при курс 1,</w:t>
      </w:r>
      <w:r w:rsidRPr="00784DDA">
        <w:rPr>
          <w:rFonts w:eastAsia="Times New Roman"/>
          <w:lang w:eastAsia="zh-CN"/>
        </w:rPr>
        <w:t>18 през 2018 г. Като процентна промяна числата показват номинална обезценка на еврото пре</w:t>
      </w:r>
      <w:r>
        <w:rPr>
          <w:rFonts w:eastAsia="Times New Roman"/>
          <w:lang w:eastAsia="zh-CN"/>
        </w:rPr>
        <w:t>з 2019 и 2020 г., съответно с 5,3 и 1,</w:t>
      </w:r>
      <w:r w:rsidRPr="00784DDA">
        <w:rPr>
          <w:rFonts w:eastAsia="Times New Roman"/>
          <w:lang w:eastAsia="zh-CN"/>
        </w:rPr>
        <w:t>5%.</w:t>
      </w:r>
    </w:p>
    <w:p w:rsidR="00784DDA" w:rsidRPr="00784DDA" w:rsidRDefault="00784DDA" w:rsidP="00784DDA">
      <w:pPr>
        <w:spacing w:after="120"/>
        <w:rPr>
          <w:rFonts w:eastAsia="Times New Roman"/>
          <w:lang w:eastAsia="zh-CN"/>
        </w:rPr>
      </w:pPr>
      <w:r w:rsidRPr="00784DDA">
        <w:rPr>
          <w:rFonts w:eastAsia="Times New Roman"/>
          <w:lang w:eastAsia="zh-CN"/>
        </w:rPr>
        <w:t>През 2019 г. се очаква средната цена на суровия петрол тип „Брент“ да бъде 63 щ.д./ба</w:t>
      </w:r>
      <w:r>
        <w:rPr>
          <w:rFonts w:eastAsia="Times New Roman"/>
          <w:lang w:eastAsia="zh-CN"/>
        </w:rPr>
        <w:t>рел, при очаквано равнище от 61,</w:t>
      </w:r>
      <w:r w:rsidRPr="00784DDA">
        <w:rPr>
          <w:rFonts w:eastAsia="Times New Roman"/>
          <w:lang w:eastAsia="zh-CN"/>
        </w:rPr>
        <w:t xml:space="preserve">5 </w:t>
      </w:r>
      <w:r w:rsidR="00A478B5" w:rsidRPr="00A478B5">
        <w:rPr>
          <w:rFonts w:eastAsia="Times New Roman"/>
          <w:lang w:eastAsia="zh-CN"/>
        </w:rPr>
        <w:t xml:space="preserve">щ.д./барел </w:t>
      </w:r>
      <w:r w:rsidRPr="00784DDA">
        <w:rPr>
          <w:rFonts w:eastAsia="Times New Roman"/>
          <w:lang w:eastAsia="zh-CN"/>
        </w:rPr>
        <w:t>в пролетната прогноза. Спрямо о</w:t>
      </w:r>
      <w:r>
        <w:rPr>
          <w:rFonts w:eastAsia="Times New Roman"/>
          <w:lang w:eastAsia="zh-CN"/>
        </w:rPr>
        <w:t>тчетената цена за 2018 г. от 71,</w:t>
      </w:r>
      <w:r w:rsidRPr="00784DDA">
        <w:rPr>
          <w:rFonts w:eastAsia="Times New Roman"/>
          <w:lang w:eastAsia="zh-CN"/>
        </w:rPr>
        <w:t>1 щ.д., прогнозат</w:t>
      </w:r>
      <w:r>
        <w:rPr>
          <w:rFonts w:eastAsia="Times New Roman"/>
          <w:lang w:eastAsia="zh-CN"/>
        </w:rPr>
        <w:t>а за 2019 г. показва спад от 11,</w:t>
      </w:r>
      <w:r w:rsidRPr="00784DDA">
        <w:rPr>
          <w:rFonts w:eastAsia="Times New Roman"/>
          <w:lang w:eastAsia="zh-CN"/>
        </w:rPr>
        <w:t>4%. Върху цените в лева спадът ще бъде по-малък (6</w:t>
      </w:r>
      <w:r w:rsidR="00D52D59">
        <w:rPr>
          <w:rFonts w:eastAsia="Times New Roman"/>
          <w:lang w:eastAsia="zh-CN"/>
        </w:rPr>
        <w:t>,</w:t>
      </w:r>
      <w:r w:rsidRPr="00784DDA">
        <w:rPr>
          <w:rFonts w:eastAsia="Times New Roman"/>
          <w:lang w:eastAsia="zh-CN"/>
        </w:rPr>
        <w:t xml:space="preserve">3%), поради обезценката на еврото. </w:t>
      </w:r>
      <w:r w:rsidR="00991966" w:rsidRPr="00784DDA">
        <w:rPr>
          <w:rFonts w:eastAsia="Times New Roman"/>
          <w:lang w:eastAsia="zh-CN"/>
        </w:rPr>
        <w:t xml:space="preserve">В </w:t>
      </w:r>
      <w:r w:rsidRPr="00784DDA">
        <w:rPr>
          <w:rFonts w:eastAsia="Times New Roman"/>
          <w:lang w:eastAsia="zh-CN"/>
        </w:rPr>
        <w:t xml:space="preserve">есенната прогноза </w:t>
      </w:r>
      <w:r w:rsidR="00991966" w:rsidRPr="00784DDA">
        <w:rPr>
          <w:rFonts w:eastAsia="Times New Roman"/>
          <w:lang w:eastAsia="zh-CN"/>
        </w:rPr>
        <w:t>з</w:t>
      </w:r>
      <w:r w:rsidR="00991966">
        <w:rPr>
          <w:rFonts w:eastAsia="Times New Roman"/>
          <w:lang w:eastAsia="zh-CN"/>
        </w:rPr>
        <w:t>а периода</w:t>
      </w:r>
      <w:r w:rsidR="00991966" w:rsidRPr="00784DDA">
        <w:rPr>
          <w:rFonts w:eastAsia="Times New Roman"/>
          <w:lang w:eastAsia="zh-CN"/>
        </w:rPr>
        <w:t xml:space="preserve"> 2020-2022 г. </w:t>
      </w:r>
      <w:r w:rsidRPr="00784DDA">
        <w:rPr>
          <w:rFonts w:eastAsia="Times New Roman"/>
          <w:lang w:eastAsia="zh-CN"/>
        </w:rPr>
        <w:t>цената на петрола е променена към по-ниски равнища. По години динамиката показва спад в до</w:t>
      </w:r>
      <w:r>
        <w:rPr>
          <w:rFonts w:eastAsia="Times New Roman"/>
          <w:lang w:eastAsia="zh-CN"/>
        </w:rPr>
        <w:t>ларово изражение, съответно с 8,3, 2,6 и 0,</w:t>
      </w:r>
      <w:r w:rsidRPr="00784DDA">
        <w:rPr>
          <w:rFonts w:eastAsia="Times New Roman"/>
          <w:lang w:eastAsia="zh-CN"/>
        </w:rPr>
        <w:t xml:space="preserve">6%. </w:t>
      </w:r>
    </w:p>
    <w:p w:rsidR="00784DDA" w:rsidRDefault="00784DDA" w:rsidP="00784DDA">
      <w:pPr>
        <w:spacing w:after="120"/>
        <w:rPr>
          <w:rFonts w:eastAsia="Times New Roman"/>
          <w:highlight w:val="yellow"/>
          <w:lang w:eastAsia="zh-CN"/>
        </w:rPr>
      </w:pPr>
      <w:r w:rsidRPr="00784DDA">
        <w:rPr>
          <w:rFonts w:eastAsia="Times New Roman"/>
          <w:lang w:eastAsia="zh-CN"/>
        </w:rPr>
        <w:t>При цените на неенергийните суровини спадът в доларово изражение през 2019 г. се очертава да бъде по-голям в сравнение с очакванията през пролетта. През първите осем месеца на годината сп</w:t>
      </w:r>
      <w:r>
        <w:rPr>
          <w:rFonts w:eastAsia="Times New Roman"/>
          <w:lang w:eastAsia="zh-CN"/>
        </w:rPr>
        <w:t>адът бе както следва – храни (6,9%), напитки (7,1%), сурови материали (3,7%), основни метали (12,</w:t>
      </w:r>
      <w:r w:rsidRPr="00784DDA">
        <w:rPr>
          <w:rFonts w:eastAsia="Times New Roman"/>
          <w:lang w:eastAsia="zh-CN"/>
        </w:rPr>
        <w:t>3%). Преизчислен</w:t>
      </w:r>
      <w:r w:rsidR="00865AF3">
        <w:rPr>
          <w:rFonts w:eastAsia="Times New Roman"/>
          <w:lang w:eastAsia="zh-CN"/>
        </w:rPr>
        <w:t>о</w:t>
      </w:r>
      <w:r w:rsidRPr="00784DDA">
        <w:rPr>
          <w:rFonts w:eastAsia="Times New Roman"/>
          <w:lang w:eastAsia="zh-CN"/>
        </w:rPr>
        <w:t xml:space="preserve"> в евро (лева)</w:t>
      </w:r>
      <w:r w:rsidR="00A478B5">
        <w:rPr>
          <w:rFonts w:eastAsia="Times New Roman"/>
          <w:lang w:eastAsia="zh-CN"/>
        </w:rPr>
        <w:t>,</w:t>
      </w:r>
      <w:r w:rsidRPr="00784DDA">
        <w:rPr>
          <w:rFonts w:eastAsia="Times New Roman"/>
          <w:lang w:eastAsia="zh-CN"/>
        </w:rPr>
        <w:t xml:space="preserve"> спадът </w:t>
      </w:r>
      <w:r w:rsidR="00A478B5">
        <w:rPr>
          <w:rFonts w:eastAsia="Times New Roman"/>
          <w:lang w:eastAsia="zh-CN"/>
        </w:rPr>
        <w:t xml:space="preserve">при цените </w:t>
      </w:r>
      <w:r w:rsidRPr="00784DDA">
        <w:rPr>
          <w:rFonts w:eastAsia="Times New Roman"/>
          <w:lang w:eastAsia="zh-CN"/>
        </w:rPr>
        <w:t>е доста по-нисък, а за някои от тях се получава леко поскъпване, тъй като за същия период еврото, респективно лев</w:t>
      </w:r>
      <w:r>
        <w:rPr>
          <w:rFonts w:eastAsia="Times New Roman"/>
          <w:lang w:eastAsia="zh-CN"/>
        </w:rPr>
        <w:t>а</w:t>
      </w:r>
      <w:r w:rsidR="00D52D59">
        <w:rPr>
          <w:rFonts w:eastAsia="Times New Roman"/>
          <w:lang w:eastAsia="zh-CN"/>
        </w:rPr>
        <w:t>,</w:t>
      </w:r>
      <w:r>
        <w:rPr>
          <w:rFonts w:eastAsia="Times New Roman"/>
          <w:lang w:eastAsia="zh-CN"/>
        </w:rPr>
        <w:t xml:space="preserve"> се обезцени спрямо долара с 6,</w:t>
      </w:r>
      <w:r w:rsidRPr="00784DDA">
        <w:rPr>
          <w:rFonts w:eastAsia="Times New Roman"/>
          <w:lang w:eastAsia="zh-CN"/>
        </w:rPr>
        <w:t>4%. Прогнозата е цената на неенергийнит</w:t>
      </w:r>
      <w:r>
        <w:rPr>
          <w:rFonts w:eastAsia="Times New Roman"/>
          <w:lang w:eastAsia="zh-CN"/>
        </w:rPr>
        <w:t>е суровини да бъде по-ниска с 2,</w:t>
      </w:r>
      <w:r w:rsidRPr="00784DDA">
        <w:rPr>
          <w:rFonts w:eastAsia="Times New Roman"/>
          <w:lang w:eastAsia="zh-CN"/>
        </w:rPr>
        <w:t xml:space="preserve">1% за 2019 г., котирана в </w:t>
      </w:r>
      <w:r>
        <w:rPr>
          <w:rFonts w:eastAsia="Times New Roman"/>
          <w:lang w:eastAsia="zh-CN"/>
        </w:rPr>
        <w:t>щатски долари, а в периода 2020-</w:t>
      </w:r>
      <w:r w:rsidRPr="00784DDA">
        <w:rPr>
          <w:rFonts w:eastAsia="Times New Roman"/>
          <w:lang w:eastAsia="zh-CN"/>
        </w:rPr>
        <w:t xml:space="preserve">2022 г. да </w:t>
      </w:r>
      <w:r>
        <w:rPr>
          <w:rFonts w:eastAsia="Times New Roman"/>
          <w:lang w:eastAsia="zh-CN"/>
        </w:rPr>
        <w:t>има леко повишение – средно с 1,</w:t>
      </w:r>
      <w:r w:rsidRPr="00784DDA">
        <w:rPr>
          <w:rFonts w:eastAsia="Times New Roman"/>
          <w:lang w:eastAsia="zh-CN"/>
        </w:rPr>
        <w:t>4%.</w:t>
      </w:r>
    </w:p>
    <w:p w:rsidR="00083361" w:rsidRPr="009F0F9A" w:rsidRDefault="00083361" w:rsidP="00DE2BDB">
      <w:pPr>
        <w:pStyle w:val="Heading2"/>
      </w:pPr>
      <w:bookmarkStart w:id="80" w:name="_Toc464225411"/>
      <w:bookmarkStart w:id="81" w:name="_Toc464458957"/>
      <w:bookmarkStart w:id="82" w:name="_Toc464459703"/>
      <w:bookmarkStart w:id="83" w:name="_Toc464460658"/>
      <w:bookmarkStart w:id="84" w:name="_Toc464463057"/>
      <w:bookmarkStart w:id="85" w:name="_Toc464464884"/>
      <w:bookmarkStart w:id="86" w:name="_Toc464465390"/>
      <w:bookmarkStart w:id="87" w:name="_Toc464465578"/>
      <w:bookmarkStart w:id="88" w:name="_Toc464466403"/>
      <w:bookmarkStart w:id="89" w:name="_Toc464466647"/>
      <w:bookmarkStart w:id="90" w:name="_Toc464644949"/>
      <w:bookmarkStart w:id="91" w:name="_Toc465205490"/>
      <w:bookmarkStart w:id="92" w:name="_Toc23337468"/>
      <w:r w:rsidRPr="009F0F9A">
        <w:t>ПРЕГЛЕД НА РАЗВИТИЕТО НА НАЦИОНАЛНАТА ИКОНОМИКА</w:t>
      </w:r>
      <w:bookmarkEnd w:id="80"/>
      <w:bookmarkEnd w:id="81"/>
      <w:bookmarkEnd w:id="82"/>
      <w:bookmarkEnd w:id="83"/>
      <w:bookmarkEnd w:id="84"/>
      <w:bookmarkEnd w:id="85"/>
      <w:bookmarkEnd w:id="86"/>
      <w:bookmarkEnd w:id="87"/>
      <w:bookmarkEnd w:id="88"/>
      <w:bookmarkEnd w:id="89"/>
      <w:bookmarkEnd w:id="90"/>
      <w:bookmarkEnd w:id="91"/>
      <w:bookmarkEnd w:id="92"/>
    </w:p>
    <w:p w:rsidR="00083361" w:rsidRPr="003C27E4" w:rsidRDefault="00083361" w:rsidP="00676AFF">
      <w:pPr>
        <w:pStyle w:val="Heading3"/>
        <w:ind w:left="0"/>
        <w:rPr>
          <w:w w:val="90"/>
          <w:lang w:eastAsia="zh-CN"/>
        </w:rPr>
      </w:pPr>
      <w:bookmarkStart w:id="93" w:name="_Toc464225412"/>
      <w:bookmarkStart w:id="94" w:name="_Toc464458958"/>
      <w:bookmarkStart w:id="95" w:name="_Toc464459704"/>
      <w:bookmarkStart w:id="96" w:name="_Toc464460659"/>
      <w:bookmarkStart w:id="97" w:name="_Toc464463058"/>
      <w:bookmarkStart w:id="98" w:name="_Toc464464885"/>
      <w:bookmarkStart w:id="99" w:name="_Toc464465391"/>
      <w:bookmarkStart w:id="100" w:name="_Toc464465579"/>
      <w:bookmarkStart w:id="101" w:name="_Toc464466404"/>
      <w:bookmarkStart w:id="102" w:name="_Toc464466648"/>
      <w:bookmarkStart w:id="103" w:name="_Toc464644950"/>
      <w:r w:rsidRPr="003C27E4">
        <w:rPr>
          <w:w w:val="90"/>
          <w:lang w:eastAsia="zh-CN"/>
        </w:rPr>
        <w:t xml:space="preserve"> </w:t>
      </w:r>
      <w:bookmarkStart w:id="104" w:name="_Toc465070441"/>
      <w:bookmarkStart w:id="105" w:name="_Toc465205491"/>
      <w:r w:rsidRPr="003C27E4">
        <w:rPr>
          <w:w w:val="90"/>
          <w:lang w:eastAsia="zh-CN"/>
        </w:rPr>
        <w:t>БРУТЕН ВЪТРЕШЕН ПРОДУКТ</w:t>
      </w:r>
      <w:bookmarkEnd w:id="93"/>
      <w:bookmarkEnd w:id="94"/>
      <w:bookmarkEnd w:id="95"/>
      <w:bookmarkEnd w:id="96"/>
      <w:bookmarkEnd w:id="97"/>
      <w:bookmarkEnd w:id="98"/>
      <w:bookmarkEnd w:id="99"/>
      <w:bookmarkEnd w:id="100"/>
      <w:bookmarkEnd w:id="101"/>
      <w:bookmarkEnd w:id="102"/>
      <w:bookmarkEnd w:id="103"/>
      <w:bookmarkEnd w:id="104"/>
      <w:bookmarkEnd w:id="105"/>
    </w:p>
    <w:p w:rsidR="00663F27" w:rsidRPr="00663F27" w:rsidRDefault="00663F27" w:rsidP="00663F27">
      <w:pPr>
        <w:spacing w:after="120"/>
        <w:rPr>
          <w:rFonts w:eastAsia="Calibri" w:cs="Times New Roman"/>
          <w:bCs/>
          <w:szCs w:val="24"/>
        </w:rPr>
      </w:pPr>
      <w:r w:rsidRPr="00663F27">
        <w:rPr>
          <w:rFonts w:eastAsia="Calibri" w:cs="Times New Roman"/>
          <w:bCs/>
          <w:szCs w:val="24"/>
        </w:rPr>
        <w:t>През първото полугодие на 2019 г. растежът на брутния вътрешен продукт в страната се ускори спрямо същия</w:t>
      </w:r>
      <w:r>
        <w:rPr>
          <w:rFonts w:eastAsia="Calibri" w:cs="Times New Roman"/>
          <w:bCs/>
          <w:szCs w:val="24"/>
        </w:rPr>
        <w:t xml:space="preserve"> период на 2018 г. и достигна 4,</w:t>
      </w:r>
      <w:r w:rsidRPr="00663F27">
        <w:rPr>
          <w:rFonts w:eastAsia="Calibri" w:cs="Times New Roman"/>
          <w:bCs/>
          <w:szCs w:val="24"/>
        </w:rPr>
        <w:t>1%. По компоненти с основен принос за растежа бе вътрешното търсене.</w:t>
      </w:r>
    </w:p>
    <w:p w:rsidR="00663F27" w:rsidRPr="00663F27" w:rsidRDefault="00663F27" w:rsidP="00663F27">
      <w:pPr>
        <w:spacing w:after="120"/>
        <w:rPr>
          <w:rFonts w:eastAsia="Calibri" w:cs="Times New Roman"/>
          <w:bCs/>
          <w:szCs w:val="24"/>
        </w:rPr>
      </w:pPr>
      <w:r w:rsidRPr="00663F27">
        <w:rPr>
          <w:rFonts w:eastAsia="Calibri" w:cs="Times New Roman"/>
          <w:bCs/>
          <w:szCs w:val="24"/>
        </w:rPr>
        <w:t>К</w:t>
      </w:r>
      <w:r>
        <w:rPr>
          <w:rFonts w:eastAsia="Calibri" w:cs="Times New Roman"/>
          <w:bCs/>
          <w:szCs w:val="24"/>
        </w:rPr>
        <w:t>райното потребление нарасна с 6,</w:t>
      </w:r>
      <w:r w:rsidRPr="00663F27">
        <w:rPr>
          <w:rFonts w:eastAsia="Calibri" w:cs="Times New Roman"/>
          <w:bCs/>
          <w:szCs w:val="24"/>
        </w:rPr>
        <w:t>3%</w:t>
      </w:r>
      <w:r w:rsidR="00A478B5">
        <w:rPr>
          <w:rFonts w:eastAsia="Calibri" w:cs="Times New Roman"/>
          <w:bCs/>
          <w:szCs w:val="24"/>
        </w:rPr>
        <w:t>,</w:t>
      </w:r>
      <w:r w:rsidRPr="00663F27">
        <w:rPr>
          <w:rFonts w:eastAsia="Calibri" w:cs="Times New Roman"/>
          <w:bCs/>
          <w:szCs w:val="24"/>
        </w:rPr>
        <w:t xml:space="preserve"> движено както от разходите на домакинствата, така и от правителствените</w:t>
      </w:r>
      <w:r w:rsidR="00A478B5">
        <w:rPr>
          <w:rFonts w:eastAsia="Calibri" w:cs="Times New Roman"/>
          <w:bCs/>
          <w:szCs w:val="24"/>
        </w:rPr>
        <w:t xml:space="preserve"> разходи</w:t>
      </w:r>
      <w:r w:rsidRPr="00663F27">
        <w:rPr>
          <w:rFonts w:eastAsia="Calibri" w:cs="Times New Roman"/>
          <w:bCs/>
          <w:szCs w:val="24"/>
        </w:rPr>
        <w:t>. Повишаването на заплатите и на кредитите към домакинства подкрепи ръста на частно</w:t>
      </w:r>
      <w:r>
        <w:rPr>
          <w:rFonts w:eastAsia="Calibri" w:cs="Times New Roman"/>
          <w:bCs/>
          <w:szCs w:val="24"/>
        </w:rPr>
        <w:t>то потребление и той достигна 6,</w:t>
      </w:r>
      <w:r w:rsidRPr="00663F27">
        <w:rPr>
          <w:rFonts w:eastAsia="Calibri" w:cs="Times New Roman"/>
          <w:bCs/>
          <w:szCs w:val="24"/>
        </w:rPr>
        <w:t>9%. Публичното потребление отчете повишение от 4</w:t>
      </w:r>
      <w:r>
        <w:rPr>
          <w:rFonts w:eastAsia="Calibri" w:cs="Times New Roman"/>
          <w:bCs/>
          <w:szCs w:val="24"/>
        </w:rPr>
        <w:t>,0</w:t>
      </w:r>
      <w:r w:rsidRPr="00663F27">
        <w:rPr>
          <w:rFonts w:eastAsia="Calibri" w:cs="Times New Roman"/>
          <w:bCs/>
          <w:szCs w:val="24"/>
        </w:rPr>
        <w:t xml:space="preserve">% в резултат на по-високите разходи за персонал. Инвестициите </w:t>
      </w:r>
      <w:r>
        <w:rPr>
          <w:rFonts w:eastAsia="Calibri" w:cs="Times New Roman"/>
          <w:bCs/>
          <w:szCs w:val="24"/>
        </w:rPr>
        <w:t>в основен капитал нараснаха с 0,</w:t>
      </w:r>
      <w:r w:rsidRPr="00663F27">
        <w:rPr>
          <w:rFonts w:eastAsia="Calibri" w:cs="Times New Roman"/>
          <w:bCs/>
          <w:szCs w:val="24"/>
        </w:rPr>
        <w:t xml:space="preserve">7%, като отчетената динамика се дължеше на по-високите капиталови разходи на публичния сектор. </w:t>
      </w:r>
    </w:p>
    <w:p w:rsidR="00663F27" w:rsidRPr="00663F27" w:rsidRDefault="00663F27" w:rsidP="00663F27">
      <w:pPr>
        <w:spacing w:after="120"/>
        <w:rPr>
          <w:rFonts w:eastAsia="Calibri" w:cs="Times New Roman"/>
          <w:bCs/>
          <w:szCs w:val="24"/>
        </w:rPr>
      </w:pPr>
      <w:r w:rsidRPr="00663F27">
        <w:rPr>
          <w:rFonts w:eastAsia="Calibri" w:cs="Times New Roman"/>
          <w:bCs/>
          <w:szCs w:val="24"/>
        </w:rPr>
        <w:t>За първата половина на 2019 г. както износът, така и вносът на стоки и услуги се понижиха поради спад в услугите. Намалението при внос</w:t>
      </w:r>
      <w:r w:rsidR="00991966">
        <w:rPr>
          <w:rFonts w:eastAsia="Calibri" w:cs="Times New Roman"/>
          <w:bCs/>
          <w:szCs w:val="24"/>
        </w:rPr>
        <w:t>а</w:t>
      </w:r>
      <w:r w:rsidRPr="00663F27">
        <w:rPr>
          <w:rFonts w:eastAsia="Calibri" w:cs="Times New Roman"/>
          <w:bCs/>
          <w:szCs w:val="24"/>
        </w:rPr>
        <w:t xml:space="preserve"> бе по-изразено и в резултат нетният износ имаше положителен принос за растежа на БВП за полугодието.</w:t>
      </w:r>
    </w:p>
    <w:p w:rsidR="00663F27" w:rsidRPr="00663F27" w:rsidRDefault="00663F27" w:rsidP="00856DCE">
      <w:pPr>
        <w:spacing w:after="120"/>
        <w:rPr>
          <w:rFonts w:eastAsia="Calibri" w:cs="Times New Roman"/>
          <w:bCs/>
          <w:szCs w:val="24"/>
        </w:rPr>
      </w:pPr>
      <w:r w:rsidRPr="00663F27">
        <w:rPr>
          <w:rFonts w:eastAsia="Calibri" w:cs="Times New Roman"/>
          <w:bCs/>
          <w:szCs w:val="24"/>
        </w:rPr>
        <w:t xml:space="preserve">Брутната добавена </w:t>
      </w:r>
      <w:r>
        <w:rPr>
          <w:rFonts w:eastAsia="Calibri" w:cs="Times New Roman"/>
          <w:bCs/>
          <w:szCs w:val="24"/>
        </w:rPr>
        <w:t>стойност в страната нарасна с 3,</w:t>
      </w:r>
      <w:r w:rsidRPr="00663F27">
        <w:rPr>
          <w:rFonts w:eastAsia="Calibri" w:cs="Times New Roman"/>
          <w:bCs/>
          <w:szCs w:val="24"/>
        </w:rPr>
        <w:t>5% през първото полугодие на 2019 г., при сходно повишение за същия период на 2018 г. Основен принос за растежа имах</w:t>
      </w:r>
      <w:r>
        <w:rPr>
          <w:rFonts w:eastAsia="Calibri" w:cs="Times New Roman"/>
          <w:bCs/>
          <w:szCs w:val="24"/>
        </w:rPr>
        <w:t>а услугите, които нараснаха с 3,</w:t>
      </w:r>
      <w:r w:rsidRPr="00663F27">
        <w:rPr>
          <w:rFonts w:eastAsia="Calibri" w:cs="Times New Roman"/>
          <w:bCs/>
          <w:szCs w:val="24"/>
        </w:rPr>
        <w:t>9%. В същото време, растежът на добавената стойност в промишлеността и строителството се ускори спрямо</w:t>
      </w:r>
      <w:r>
        <w:rPr>
          <w:rFonts w:eastAsia="Calibri" w:cs="Times New Roman"/>
          <w:bCs/>
          <w:szCs w:val="24"/>
        </w:rPr>
        <w:t xml:space="preserve"> 2018 г. и достигна съответно 2,2% и 2,</w:t>
      </w:r>
      <w:r w:rsidRPr="00663F27">
        <w:rPr>
          <w:rFonts w:eastAsia="Calibri" w:cs="Times New Roman"/>
          <w:bCs/>
          <w:szCs w:val="24"/>
        </w:rPr>
        <w:t>8%. Динамиката на сградното строителство бе водеща за растежа в строителния отрасъл.</w:t>
      </w:r>
    </w:p>
    <w:p w:rsidR="00083361" w:rsidRPr="00B12908" w:rsidRDefault="00083361" w:rsidP="00676AFF">
      <w:pPr>
        <w:pStyle w:val="Heading3"/>
        <w:ind w:left="0"/>
        <w:rPr>
          <w:w w:val="90"/>
          <w:lang w:eastAsia="zh-CN"/>
        </w:rPr>
      </w:pPr>
      <w:bookmarkStart w:id="106" w:name="_Toc464225413"/>
      <w:bookmarkStart w:id="107" w:name="_Toc464458959"/>
      <w:bookmarkStart w:id="108" w:name="_Toc464459705"/>
      <w:bookmarkStart w:id="109" w:name="_Toc464460660"/>
      <w:bookmarkStart w:id="110" w:name="_Toc464463059"/>
      <w:bookmarkStart w:id="111" w:name="_Toc464464886"/>
      <w:bookmarkStart w:id="112" w:name="_Toc464465392"/>
      <w:bookmarkStart w:id="113" w:name="_Toc464465580"/>
      <w:bookmarkStart w:id="114" w:name="_Toc464466405"/>
      <w:bookmarkStart w:id="115" w:name="_Toc464466649"/>
      <w:bookmarkStart w:id="116" w:name="_Toc464644951"/>
      <w:bookmarkStart w:id="117" w:name="_Toc465070442"/>
      <w:bookmarkStart w:id="118" w:name="_Toc465205492"/>
      <w:r w:rsidRPr="00676AFF">
        <w:rPr>
          <w:w w:val="90"/>
          <w:lang w:eastAsia="zh-CN"/>
        </w:rPr>
        <w:t>ПАЗАР</w:t>
      </w:r>
      <w:r w:rsidRPr="00B12908">
        <w:rPr>
          <w:w w:val="90"/>
          <w:lang w:eastAsia="zh-CN"/>
        </w:rPr>
        <w:t xml:space="preserve"> НА ТРУДА</w:t>
      </w:r>
      <w:bookmarkEnd w:id="106"/>
      <w:bookmarkEnd w:id="107"/>
      <w:bookmarkEnd w:id="108"/>
      <w:bookmarkEnd w:id="109"/>
      <w:bookmarkEnd w:id="110"/>
      <w:bookmarkEnd w:id="111"/>
      <w:bookmarkEnd w:id="112"/>
      <w:bookmarkEnd w:id="113"/>
      <w:bookmarkEnd w:id="114"/>
      <w:bookmarkEnd w:id="115"/>
      <w:bookmarkEnd w:id="116"/>
      <w:bookmarkEnd w:id="117"/>
      <w:bookmarkEnd w:id="118"/>
    </w:p>
    <w:p w:rsidR="00663F27" w:rsidRPr="00663F27" w:rsidRDefault="00663F27" w:rsidP="00663F27">
      <w:pPr>
        <w:spacing w:after="120"/>
        <w:rPr>
          <w:rFonts w:eastAsia="Times New Roman" w:cs="Times New Roman"/>
          <w:szCs w:val="24"/>
        </w:rPr>
      </w:pPr>
      <w:bookmarkStart w:id="119" w:name="_Toc464225414"/>
      <w:bookmarkStart w:id="120" w:name="_Toc464458960"/>
      <w:bookmarkStart w:id="121" w:name="_Toc464459706"/>
      <w:bookmarkStart w:id="122" w:name="_Toc464460661"/>
      <w:bookmarkStart w:id="123" w:name="_Toc464463060"/>
      <w:bookmarkStart w:id="124" w:name="_Toc464464887"/>
      <w:bookmarkStart w:id="125" w:name="_Toc464465393"/>
      <w:bookmarkStart w:id="126" w:name="_Toc464465581"/>
      <w:bookmarkStart w:id="127" w:name="_Toc464466406"/>
      <w:bookmarkStart w:id="128" w:name="_Toc464466650"/>
      <w:bookmarkStart w:id="129" w:name="_Toc464644952"/>
      <w:bookmarkStart w:id="130" w:name="_Toc465070443"/>
      <w:bookmarkStart w:id="131" w:name="_Toc465205493"/>
      <w:r w:rsidRPr="00663F27">
        <w:rPr>
          <w:rFonts w:eastAsia="Times New Roman" w:cs="Times New Roman"/>
          <w:szCs w:val="24"/>
        </w:rPr>
        <w:t xml:space="preserve">През първата половина на 2019 г. </w:t>
      </w:r>
      <w:r w:rsidR="00A36A57">
        <w:rPr>
          <w:rFonts w:eastAsia="Times New Roman" w:cs="Times New Roman"/>
          <w:szCs w:val="24"/>
        </w:rPr>
        <w:t xml:space="preserve">на </w:t>
      </w:r>
      <w:r w:rsidRPr="00663F27">
        <w:rPr>
          <w:rFonts w:eastAsia="Times New Roman" w:cs="Times New Roman"/>
          <w:szCs w:val="24"/>
        </w:rPr>
        <w:t>пазар</w:t>
      </w:r>
      <w:r w:rsidR="00A36A57">
        <w:rPr>
          <w:rFonts w:eastAsia="Times New Roman" w:cs="Times New Roman"/>
          <w:szCs w:val="24"/>
        </w:rPr>
        <w:t>а</w:t>
      </w:r>
      <w:r w:rsidRPr="00663F27">
        <w:rPr>
          <w:rFonts w:eastAsia="Times New Roman" w:cs="Times New Roman"/>
          <w:szCs w:val="24"/>
        </w:rPr>
        <w:t xml:space="preserve"> на труда </w:t>
      </w:r>
      <w:r w:rsidR="00A36A57">
        <w:rPr>
          <w:rFonts w:eastAsia="Times New Roman" w:cs="Times New Roman"/>
          <w:szCs w:val="24"/>
        </w:rPr>
        <w:t>се наблюдаваше</w:t>
      </w:r>
      <w:r w:rsidRPr="00663F27">
        <w:rPr>
          <w:rFonts w:eastAsia="Times New Roman" w:cs="Times New Roman"/>
          <w:szCs w:val="24"/>
        </w:rPr>
        <w:t xml:space="preserve"> благоприятно развитие, което бе потвърдено от </w:t>
      </w:r>
      <w:r w:rsidR="00DD7057">
        <w:rPr>
          <w:rFonts w:eastAsia="Times New Roman" w:cs="Times New Roman"/>
          <w:szCs w:val="24"/>
        </w:rPr>
        <w:t>отчетеното</w:t>
      </w:r>
      <w:r w:rsidRPr="00663F27">
        <w:rPr>
          <w:rFonts w:eastAsia="Times New Roman" w:cs="Times New Roman"/>
          <w:szCs w:val="24"/>
        </w:rPr>
        <w:t xml:space="preserve"> увеличение на работната сила. То се реализира в условията на спад на населението в трудоспособна възраст (15-64 г.) и бе подкрепено от преходи от неактивност към активно поведение на пазара на труда. Коефициентите на икономическа активност и на заетост във възрастовата група 15-64 г. се повишиха до исторически най-високите си стойности от 73,8% и 70,7% към второто тримесечие. Независимо че динамиката на работната сила е ограничавана от намалението при младите възрастови </w:t>
      </w:r>
      <w:r w:rsidR="00D52D59">
        <w:rPr>
          <w:rFonts w:eastAsia="Times New Roman" w:cs="Times New Roman"/>
          <w:szCs w:val="24"/>
        </w:rPr>
        <w:t>групи</w:t>
      </w:r>
      <w:r w:rsidRPr="00663F27">
        <w:rPr>
          <w:rFonts w:eastAsia="Times New Roman" w:cs="Times New Roman"/>
          <w:szCs w:val="24"/>
        </w:rPr>
        <w:t xml:space="preserve"> (15-24 г.), броят на заетите през второто тримесечие успя да отбележи увеличение във всички възрастови групи, което бе резултат от високото търсене на труд и повишениет</w:t>
      </w:r>
      <w:r w:rsidR="00E420F8">
        <w:rPr>
          <w:rFonts w:eastAsia="Times New Roman" w:cs="Times New Roman"/>
          <w:szCs w:val="24"/>
        </w:rPr>
        <w:t>о на доходите, както</w:t>
      </w:r>
      <w:r w:rsidRPr="00663F27">
        <w:rPr>
          <w:rFonts w:eastAsia="Times New Roman" w:cs="Times New Roman"/>
          <w:szCs w:val="24"/>
        </w:rPr>
        <w:t xml:space="preserve"> и от провежданата целенасочена политика в подкрепа на уязвимите групи на пазара на труда, сред които попадат младежите и възрастните работници. Вследствие нарасналите възможности за заетост, коефициентът на безработица продължи да се понижава и достигна исторически минимум от 4,2%</w:t>
      </w:r>
      <w:r w:rsidRPr="00663F27">
        <w:rPr>
          <w:rFonts w:eastAsia="Times New Roman" w:cs="Times New Roman"/>
          <w:position w:val="2"/>
          <w:sz w:val="18"/>
          <w:szCs w:val="24"/>
          <w:vertAlign w:val="superscript"/>
          <w:lang w:eastAsia="en-US"/>
        </w:rPr>
        <w:footnoteReference w:id="2"/>
      </w:r>
      <w:r w:rsidRPr="00663F27">
        <w:rPr>
          <w:rFonts w:eastAsia="Times New Roman" w:cs="Times New Roman"/>
          <w:szCs w:val="24"/>
        </w:rPr>
        <w:t xml:space="preserve"> през второто тримесечие на 2019 г.</w:t>
      </w:r>
    </w:p>
    <w:p w:rsidR="00663F27" w:rsidRPr="00663F27" w:rsidRDefault="00663F27" w:rsidP="00663F27">
      <w:pPr>
        <w:spacing w:after="120"/>
        <w:rPr>
          <w:rFonts w:eastAsia="Times New Roman" w:cs="Times New Roman"/>
          <w:szCs w:val="24"/>
        </w:rPr>
      </w:pPr>
      <w:r w:rsidRPr="00663F27">
        <w:rPr>
          <w:rFonts w:eastAsia="Times New Roman" w:cs="Times New Roman"/>
          <w:szCs w:val="24"/>
        </w:rPr>
        <w:t xml:space="preserve">Динамиката на заетите (съгласно ЕСС 2010) през първото полугодие </w:t>
      </w:r>
      <w:r w:rsidR="00935A5E">
        <w:rPr>
          <w:rFonts w:eastAsia="Times New Roman" w:cs="Times New Roman"/>
          <w:szCs w:val="24"/>
        </w:rPr>
        <w:t xml:space="preserve">на 2019 г. </w:t>
      </w:r>
      <w:r w:rsidRPr="00663F27">
        <w:rPr>
          <w:rFonts w:eastAsia="Times New Roman" w:cs="Times New Roman"/>
          <w:szCs w:val="24"/>
        </w:rPr>
        <w:t>се подобри до 0,2%, след отбелязаните спадове през втората половина на 2018 г. Положителното развитие бе подкрепено от увеличението на заетостта в услугите (с 1,7%) и строителството (с 5,9%) и ограничено от негативната динамика в селското стопанство (с -5,4%) и в индустрия</w:t>
      </w:r>
      <w:r w:rsidR="00E420F8">
        <w:rPr>
          <w:rFonts w:eastAsia="Times New Roman" w:cs="Times New Roman"/>
          <w:szCs w:val="24"/>
        </w:rPr>
        <w:t>та</w:t>
      </w:r>
      <w:r w:rsidRPr="00663F27">
        <w:rPr>
          <w:rFonts w:eastAsia="Times New Roman" w:cs="Times New Roman"/>
          <w:szCs w:val="24"/>
        </w:rPr>
        <w:t xml:space="preserve"> без строителство</w:t>
      </w:r>
      <w:r w:rsidR="00E420F8">
        <w:rPr>
          <w:rFonts w:eastAsia="Times New Roman" w:cs="Times New Roman"/>
          <w:szCs w:val="24"/>
        </w:rPr>
        <w:t>то</w:t>
      </w:r>
      <w:r w:rsidRPr="00663F27">
        <w:rPr>
          <w:rFonts w:eastAsia="Times New Roman" w:cs="Times New Roman"/>
          <w:szCs w:val="24"/>
        </w:rPr>
        <w:t xml:space="preserve"> (с -0,5%) спрямо </w:t>
      </w:r>
      <w:r w:rsidR="00935A5E" w:rsidRPr="00935A5E">
        <w:rPr>
          <w:rFonts w:eastAsia="Times New Roman" w:cs="Times New Roman"/>
          <w:szCs w:val="24"/>
        </w:rPr>
        <w:t>полугодието</w:t>
      </w:r>
      <w:r w:rsidRPr="00663F27">
        <w:rPr>
          <w:rFonts w:eastAsia="Times New Roman" w:cs="Times New Roman"/>
          <w:szCs w:val="24"/>
        </w:rPr>
        <w:t xml:space="preserve"> на 2018 г. Следва да се отбележи, че от страна на производствените фактори заетост и производителност на труда, икономическият растеж през първата половина на 2019 г. бе формиран в по-голяма степен от увеличението на производителността на труда. Растежът на показателя възлезе на 3,9%</w:t>
      </w:r>
      <w:r w:rsidRPr="00663F27">
        <w:rPr>
          <w:rFonts w:eastAsia="Times New Roman" w:cs="Times New Roman"/>
          <w:position w:val="2"/>
          <w:sz w:val="18"/>
          <w:szCs w:val="24"/>
          <w:vertAlign w:val="superscript"/>
          <w:lang w:eastAsia="en-US"/>
        </w:rPr>
        <w:footnoteReference w:id="3"/>
      </w:r>
      <w:r w:rsidRPr="00663F27">
        <w:rPr>
          <w:rFonts w:eastAsia="Times New Roman" w:cs="Times New Roman"/>
          <w:szCs w:val="24"/>
        </w:rPr>
        <w:t>, с положителен принос и на трите основни икономически сектора. В условията на ускорено търсене на труд в услугите, растежът на производителността на труда в сектора от 2,2% остана по-висок от този в индустрията, който достигна 1,5%. Все пак, производителността в индустрията отново се повиши, след отбелязания спад през миналата година, подпомогната от увеличението в преработващата промишленост, независимо че броят на заетите там продължи слабо да се понижава, под влияние на инерционните процеси от втората половина на 2018 г.</w:t>
      </w:r>
    </w:p>
    <w:p w:rsidR="00663F27" w:rsidRPr="009212CB" w:rsidRDefault="00663F27" w:rsidP="00856DCE">
      <w:pPr>
        <w:spacing w:after="120"/>
        <w:rPr>
          <w:rFonts w:eastAsia="Times New Roman" w:cs="Times New Roman"/>
          <w:szCs w:val="24"/>
        </w:rPr>
      </w:pPr>
      <w:r w:rsidRPr="00663F27">
        <w:rPr>
          <w:rFonts w:eastAsia="Times New Roman" w:cs="Times New Roman"/>
          <w:szCs w:val="24"/>
        </w:rPr>
        <w:t>Успоредно с поддържането на висок растеж на производителността на труда, през първата половина на 2019 г. нарастването на компенсацията на един нает се забави до 7,5% и това допринесе за ограничаване на темпа на повишение на номиналните разходи за труд на единица продукция (РТЕП) до 3,5%</w:t>
      </w:r>
      <w:r w:rsidRPr="00663F27">
        <w:rPr>
          <w:rFonts w:eastAsia="Times New Roman" w:cs="Times New Roman"/>
          <w:position w:val="2"/>
          <w:sz w:val="18"/>
          <w:szCs w:val="24"/>
          <w:vertAlign w:val="superscript"/>
          <w:lang w:eastAsia="en-US"/>
        </w:rPr>
        <w:footnoteReference w:id="4"/>
      </w:r>
      <w:r w:rsidRPr="00663F27">
        <w:rPr>
          <w:rFonts w:eastAsia="Times New Roman" w:cs="Times New Roman"/>
          <w:szCs w:val="24"/>
        </w:rPr>
        <w:t>. Последното бе обусловено от услугите, където повишението на компенсацията на един нает бе редуцирано до 5,4%. Същевременно, нарастването на доходите в индустрията</w:t>
      </w:r>
      <w:r w:rsidR="003B5865">
        <w:rPr>
          <w:rFonts w:eastAsia="Times New Roman" w:cs="Times New Roman"/>
          <w:szCs w:val="24"/>
        </w:rPr>
        <w:t xml:space="preserve"> отново достигна двуцифрен темп</w:t>
      </w:r>
      <w:r w:rsidRPr="00663F27">
        <w:rPr>
          <w:rFonts w:eastAsia="Times New Roman" w:cs="Times New Roman"/>
          <w:szCs w:val="24"/>
        </w:rPr>
        <w:t xml:space="preserve"> по линия както на промишлеността, така и на строителството, поради което динамиката на номиналните РТЕП в сектора остана близка до тази от предходната година. В преработващата промишленост, която е и пряко изложена на конкурентен натиск на външните пазари, номиналните РТЕП отбелязаха намаление, което също бе в подкрепа на запазването на разходната конку</w:t>
      </w:r>
      <w:r w:rsidR="009212CB">
        <w:rPr>
          <w:rFonts w:eastAsia="Times New Roman" w:cs="Times New Roman"/>
          <w:szCs w:val="24"/>
        </w:rPr>
        <w:t>рентоспособност на икономиката.</w:t>
      </w:r>
    </w:p>
    <w:p w:rsidR="00083361" w:rsidRPr="00D8768E" w:rsidRDefault="00083361" w:rsidP="00676AFF">
      <w:pPr>
        <w:pStyle w:val="Heading3"/>
        <w:ind w:left="0"/>
        <w:rPr>
          <w:w w:val="90"/>
          <w:lang w:val="ru-RU" w:eastAsia="zh-CN"/>
        </w:rPr>
      </w:pPr>
      <w:r w:rsidRPr="00676AFF">
        <w:rPr>
          <w:w w:val="90"/>
          <w:lang w:eastAsia="zh-CN"/>
        </w:rPr>
        <w:t>ИНФЛАЦИЯ</w:t>
      </w:r>
      <w:bookmarkEnd w:id="119"/>
      <w:bookmarkEnd w:id="120"/>
      <w:bookmarkEnd w:id="121"/>
      <w:bookmarkEnd w:id="122"/>
      <w:bookmarkEnd w:id="123"/>
      <w:bookmarkEnd w:id="124"/>
      <w:bookmarkEnd w:id="125"/>
      <w:bookmarkEnd w:id="126"/>
      <w:bookmarkEnd w:id="127"/>
      <w:bookmarkEnd w:id="128"/>
      <w:bookmarkEnd w:id="129"/>
      <w:bookmarkEnd w:id="130"/>
      <w:bookmarkEnd w:id="131"/>
    </w:p>
    <w:p w:rsidR="001934CC" w:rsidRPr="001934CC" w:rsidRDefault="001934CC" w:rsidP="001934CC">
      <w:pPr>
        <w:spacing w:after="120"/>
        <w:rPr>
          <w:rFonts w:eastAsia="Times New Roman" w:cs="Times New Roman"/>
        </w:rPr>
      </w:pPr>
      <w:bookmarkStart w:id="132" w:name="_Toc464225415"/>
      <w:bookmarkStart w:id="133" w:name="_Toc464458961"/>
      <w:bookmarkStart w:id="134" w:name="_Toc464459707"/>
      <w:bookmarkStart w:id="135" w:name="_Toc464460662"/>
      <w:bookmarkStart w:id="136" w:name="_Toc464463061"/>
      <w:bookmarkStart w:id="137" w:name="_Toc464464888"/>
      <w:bookmarkStart w:id="138" w:name="_Toc464465394"/>
      <w:bookmarkStart w:id="139" w:name="_Toc464465582"/>
      <w:bookmarkStart w:id="140" w:name="_Toc464466407"/>
      <w:bookmarkStart w:id="141" w:name="_Toc464466651"/>
      <w:bookmarkStart w:id="142" w:name="_Toc464644953"/>
      <w:bookmarkStart w:id="143" w:name="_Toc465070444"/>
      <w:bookmarkStart w:id="144" w:name="_Toc465205494"/>
      <w:r w:rsidRPr="001934CC">
        <w:rPr>
          <w:rFonts w:eastAsia="Calibri" w:cs="Times New Roman"/>
          <w:bCs/>
          <w:szCs w:val="24"/>
        </w:rPr>
        <w:t>За първите осем месеца на 2019 г. инфлацията беше по-висока от прогнозираната.</w:t>
      </w:r>
      <w:r w:rsidRPr="007D6981">
        <w:rPr>
          <w:rFonts w:eastAsia="Calibri" w:cs="Times New Roman"/>
          <w:bCs/>
          <w:szCs w:val="24"/>
          <w:lang w:val="ru-RU"/>
        </w:rPr>
        <w:t xml:space="preserve"> </w:t>
      </w:r>
      <w:r w:rsidRPr="001934CC">
        <w:rPr>
          <w:rFonts w:eastAsia="Times New Roman" w:cs="Times New Roman"/>
        </w:rPr>
        <w:t>До месец април инфлацията по месеци на годишна база се ускоряваше и достиг</w:t>
      </w:r>
      <w:r>
        <w:rPr>
          <w:rFonts w:eastAsia="Times New Roman" w:cs="Times New Roman"/>
        </w:rPr>
        <w:t>на 3,</w:t>
      </w:r>
      <w:r w:rsidRPr="001934CC">
        <w:rPr>
          <w:rFonts w:eastAsia="Times New Roman" w:cs="Times New Roman"/>
        </w:rPr>
        <w:t>1%, след което започна да се забавя, което се дължеше на по-ниските темпове при енергийните стоки и услугите.</w:t>
      </w:r>
      <w:r w:rsidRPr="007D6981">
        <w:rPr>
          <w:rFonts w:eastAsia="Times New Roman" w:cs="Times New Roman"/>
          <w:lang w:val="ru-RU"/>
        </w:rPr>
        <w:t xml:space="preserve"> </w:t>
      </w:r>
      <w:r w:rsidRPr="001934CC">
        <w:rPr>
          <w:rFonts w:eastAsia="Times New Roman" w:cs="Times New Roman"/>
        </w:rPr>
        <w:t xml:space="preserve">За август инфлацията беше </w:t>
      </w:r>
      <w:r>
        <w:rPr>
          <w:rFonts w:eastAsia="Times New Roman" w:cs="Times New Roman"/>
        </w:rPr>
        <w:t>2,</w:t>
      </w:r>
      <w:r w:rsidRPr="001934CC">
        <w:rPr>
          <w:rFonts w:eastAsia="Times New Roman" w:cs="Times New Roman"/>
        </w:rPr>
        <w:t>5% спрямо съответния месец на предходната година.</w:t>
      </w:r>
    </w:p>
    <w:p w:rsidR="001934CC" w:rsidRPr="001934CC" w:rsidRDefault="001934CC" w:rsidP="001934CC">
      <w:pPr>
        <w:spacing w:after="120"/>
        <w:rPr>
          <w:rFonts w:eastAsia="Calibri" w:cs="Times New Roman"/>
          <w:bCs/>
          <w:szCs w:val="24"/>
        </w:rPr>
      </w:pPr>
      <w:r w:rsidRPr="001934CC">
        <w:rPr>
          <w:rFonts w:eastAsia="Calibri" w:cs="Times New Roman"/>
          <w:bCs/>
          <w:szCs w:val="24"/>
        </w:rPr>
        <w:t>Като цяло очертаващата се по-висока от прогнозираната инфлация в най-голяма степен  се дължеше на поскъпването при храните и услугите, като при последните влиянието на повишените цени се отрази и на цените на услугите в общественото хранене. От началото на 2018 г. при храните се наблюдава тренд на ускорение, като по</w:t>
      </w:r>
      <w:r>
        <w:rPr>
          <w:rFonts w:eastAsia="Calibri" w:cs="Times New Roman"/>
          <w:bCs/>
          <w:szCs w:val="24"/>
        </w:rPr>
        <w:t>скъпването за август достигна 5,</w:t>
      </w:r>
      <w:r w:rsidRPr="001934CC">
        <w:rPr>
          <w:rFonts w:eastAsia="Calibri" w:cs="Times New Roman"/>
          <w:bCs/>
          <w:szCs w:val="24"/>
        </w:rPr>
        <w:t xml:space="preserve">1% спрямо съответния месец на предходната година. Тук влияние оказаха няколко фактора – по-слабото предлагане в страната, изразено в спад на БДС и на продукцията за сектор селско стопанство през 2018 г., нарастването на международните цени при зърнените храни, повишените разходи за труд на единица продукция, както и някои </w:t>
      </w:r>
      <w:r w:rsidR="00C11319">
        <w:rPr>
          <w:rFonts w:eastAsia="Calibri" w:cs="Times New Roman"/>
          <w:bCs/>
          <w:szCs w:val="24"/>
        </w:rPr>
        <w:t>„</w:t>
      </w:r>
      <w:r w:rsidRPr="001934CC">
        <w:rPr>
          <w:rFonts w:eastAsia="Calibri" w:cs="Times New Roman"/>
          <w:bCs/>
          <w:szCs w:val="24"/>
        </w:rPr>
        <w:t>шокове</w:t>
      </w:r>
      <w:r w:rsidR="00C11319">
        <w:rPr>
          <w:rFonts w:eastAsia="Calibri" w:cs="Times New Roman"/>
          <w:bCs/>
          <w:szCs w:val="24"/>
        </w:rPr>
        <w:t>“</w:t>
      </w:r>
      <w:r w:rsidRPr="001934CC">
        <w:rPr>
          <w:rFonts w:eastAsia="Calibri" w:cs="Times New Roman"/>
          <w:bCs/>
          <w:szCs w:val="24"/>
        </w:rPr>
        <w:t xml:space="preserve"> в предлагането в световен мащаб, например кризата с африканската чума по свинете, която доведе до повишение на световните цени на свинското месо, включително и на цените в ЕС.</w:t>
      </w:r>
    </w:p>
    <w:p w:rsidR="001934CC" w:rsidRPr="009212CB" w:rsidRDefault="001934CC" w:rsidP="009212CB">
      <w:pPr>
        <w:spacing w:after="120"/>
        <w:rPr>
          <w:rFonts w:eastAsia="Calibri" w:cs="Times New Roman"/>
          <w:bCs/>
          <w:szCs w:val="24"/>
        </w:rPr>
      </w:pPr>
      <w:r w:rsidRPr="001934CC">
        <w:rPr>
          <w:rFonts w:eastAsia="Calibri" w:cs="Times New Roman"/>
          <w:bCs/>
          <w:szCs w:val="24"/>
        </w:rPr>
        <w:t>Базисната</w:t>
      </w:r>
      <w:r w:rsidR="00520971">
        <w:rPr>
          <w:rStyle w:val="FootnoteReference"/>
          <w:rFonts w:eastAsia="Calibri"/>
          <w:bCs/>
          <w:szCs w:val="24"/>
        </w:rPr>
        <w:footnoteReference w:id="5"/>
      </w:r>
      <w:r w:rsidRPr="001934CC">
        <w:rPr>
          <w:rFonts w:eastAsia="Calibri" w:cs="Times New Roman"/>
          <w:bCs/>
          <w:szCs w:val="24"/>
        </w:rPr>
        <w:t xml:space="preserve"> инфлация беше 2</w:t>
      </w:r>
      <w:r>
        <w:rPr>
          <w:rFonts w:eastAsia="Calibri" w:cs="Times New Roman"/>
          <w:bCs/>
          <w:szCs w:val="24"/>
        </w:rPr>
        <w:t>,</w:t>
      </w:r>
      <w:r w:rsidRPr="001934CC">
        <w:rPr>
          <w:rFonts w:eastAsia="Calibri" w:cs="Times New Roman"/>
          <w:bCs/>
          <w:szCs w:val="24"/>
        </w:rPr>
        <w:t xml:space="preserve">1% през </w:t>
      </w:r>
      <w:r w:rsidR="00A937A1">
        <w:rPr>
          <w:rFonts w:eastAsia="Calibri" w:cs="Times New Roman"/>
          <w:bCs/>
          <w:szCs w:val="24"/>
        </w:rPr>
        <w:t xml:space="preserve">м. </w:t>
      </w:r>
      <w:r w:rsidRPr="001934CC">
        <w:rPr>
          <w:rFonts w:eastAsia="Calibri" w:cs="Times New Roman"/>
          <w:bCs/>
          <w:szCs w:val="24"/>
        </w:rPr>
        <w:t xml:space="preserve">август, като цените на услугите се увеличиха с </w:t>
      </w:r>
      <w:r>
        <w:rPr>
          <w:rFonts w:eastAsia="Calibri" w:cs="Times New Roman"/>
          <w:bCs/>
          <w:szCs w:val="24"/>
        </w:rPr>
        <w:t>3,</w:t>
      </w:r>
      <w:r w:rsidRPr="001934CC">
        <w:rPr>
          <w:rFonts w:eastAsia="Calibri" w:cs="Times New Roman"/>
          <w:bCs/>
          <w:szCs w:val="24"/>
        </w:rPr>
        <w:t>6%, а неенерги</w:t>
      </w:r>
      <w:r>
        <w:rPr>
          <w:rFonts w:eastAsia="Calibri" w:cs="Times New Roman"/>
          <w:bCs/>
          <w:szCs w:val="24"/>
        </w:rPr>
        <w:t>йните промишлени стоки само с 0,</w:t>
      </w:r>
      <w:r w:rsidR="009212CB">
        <w:rPr>
          <w:rFonts w:eastAsia="Calibri" w:cs="Times New Roman"/>
          <w:bCs/>
          <w:szCs w:val="24"/>
        </w:rPr>
        <w:t>2% на годишна база.</w:t>
      </w:r>
    </w:p>
    <w:p w:rsidR="00083361" w:rsidRPr="00D8768E" w:rsidRDefault="00083361" w:rsidP="00676AFF">
      <w:pPr>
        <w:pStyle w:val="Heading3"/>
        <w:ind w:left="0"/>
        <w:rPr>
          <w:w w:val="90"/>
          <w:lang w:val="ru-RU" w:eastAsia="zh-CN"/>
        </w:rPr>
      </w:pPr>
      <w:r w:rsidRPr="00676AFF">
        <w:rPr>
          <w:w w:val="90"/>
          <w:lang w:eastAsia="zh-CN"/>
        </w:rPr>
        <w:t>ПЛАТЕЖЕН</w:t>
      </w:r>
      <w:r w:rsidRPr="00D8768E">
        <w:rPr>
          <w:w w:val="90"/>
          <w:lang w:val="ru-RU" w:eastAsia="zh-CN"/>
        </w:rPr>
        <w:t xml:space="preserve"> БАЛАНС</w:t>
      </w:r>
      <w:bookmarkEnd w:id="132"/>
      <w:bookmarkEnd w:id="133"/>
      <w:bookmarkEnd w:id="134"/>
      <w:bookmarkEnd w:id="135"/>
      <w:bookmarkEnd w:id="136"/>
      <w:bookmarkEnd w:id="137"/>
      <w:bookmarkEnd w:id="138"/>
      <w:bookmarkEnd w:id="139"/>
      <w:bookmarkEnd w:id="140"/>
      <w:bookmarkEnd w:id="141"/>
      <w:bookmarkEnd w:id="142"/>
      <w:bookmarkEnd w:id="143"/>
      <w:bookmarkEnd w:id="144"/>
    </w:p>
    <w:p w:rsidR="001934CC" w:rsidRPr="001934CC" w:rsidRDefault="001934CC" w:rsidP="001934CC">
      <w:pPr>
        <w:suppressAutoHyphens/>
        <w:autoSpaceDE w:val="0"/>
        <w:autoSpaceDN w:val="0"/>
        <w:adjustRightInd w:val="0"/>
        <w:spacing w:after="120"/>
        <w:rPr>
          <w:rFonts w:eastAsia="Batang" w:cs="Times New Roman"/>
          <w:szCs w:val="24"/>
        </w:rPr>
      </w:pPr>
      <w:bookmarkStart w:id="145" w:name="_Toc464225416"/>
      <w:bookmarkStart w:id="146" w:name="_Toc464458962"/>
      <w:bookmarkStart w:id="147" w:name="_Toc464459708"/>
      <w:bookmarkStart w:id="148" w:name="_Toc464460663"/>
      <w:bookmarkStart w:id="149" w:name="_Toc464463062"/>
      <w:bookmarkStart w:id="150" w:name="_Toc464464889"/>
      <w:bookmarkStart w:id="151" w:name="_Toc464465395"/>
      <w:bookmarkStart w:id="152" w:name="_Toc464465583"/>
      <w:bookmarkStart w:id="153" w:name="_Toc464466408"/>
      <w:bookmarkStart w:id="154" w:name="_Toc464466652"/>
      <w:bookmarkStart w:id="155" w:name="_Toc464644954"/>
      <w:bookmarkStart w:id="156" w:name="_Toc465070445"/>
      <w:bookmarkStart w:id="157" w:name="_Toc465205495"/>
      <w:r w:rsidRPr="001934CC">
        <w:rPr>
          <w:rFonts w:eastAsia="Batang" w:cs="Times New Roman"/>
          <w:szCs w:val="24"/>
        </w:rPr>
        <w:t>През първите седем месеца на 2019 г. се наблюдаваше изпреварващо нарастване на износа на стоки спрямо вноса, което се отрази в подобрение на търговското салдо с 1</w:t>
      </w:r>
      <w:r w:rsidR="00D9335E">
        <w:rPr>
          <w:rFonts w:eastAsia="Batang" w:cs="Times New Roman"/>
          <w:szCs w:val="24"/>
        </w:rPr>
        <w:t>,</w:t>
      </w:r>
      <w:r w:rsidRPr="007D6981">
        <w:rPr>
          <w:rFonts w:eastAsia="Batang" w:cs="Times New Roman"/>
          <w:szCs w:val="24"/>
          <w:lang w:val="ru-RU"/>
        </w:rPr>
        <w:t>2</w:t>
      </w:r>
      <w:r w:rsidRPr="001934CC">
        <w:rPr>
          <w:rFonts w:eastAsia="Batang" w:cs="Times New Roman"/>
          <w:szCs w:val="24"/>
        </w:rPr>
        <w:t> пр.п. спрямо същия пе</w:t>
      </w:r>
      <w:r w:rsidR="00D9335E">
        <w:rPr>
          <w:rFonts w:eastAsia="Batang" w:cs="Times New Roman"/>
          <w:szCs w:val="24"/>
        </w:rPr>
        <w:t>риод на 2018 г. до дефицит от 0,</w:t>
      </w:r>
      <w:r w:rsidRPr="001934CC">
        <w:rPr>
          <w:rFonts w:eastAsia="Batang" w:cs="Times New Roman"/>
          <w:szCs w:val="24"/>
        </w:rPr>
        <w:t>9% от прогнозния БВП.  Динамиката бе в основна степен продиктувана от възстановяването на износа на петролни продукти, който отчете спад през същия период на миналата година. Вносът на с</w:t>
      </w:r>
      <w:r w:rsidR="00D9335E">
        <w:rPr>
          <w:rFonts w:eastAsia="Batang" w:cs="Times New Roman"/>
          <w:szCs w:val="24"/>
        </w:rPr>
        <w:t>токи нарасна номинално с едва 1,</w:t>
      </w:r>
      <w:r w:rsidRPr="001934CC">
        <w:rPr>
          <w:rFonts w:eastAsia="Batang" w:cs="Times New Roman"/>
          <w:szCs w:val="24"/>
        </w:rPr>
        <w:t xml:space="preserve">1% като причина за сравнително ниския растеж бяха, както търгуваните количества, така и низходящата динамика на цените на някои суровини. За нарастването на износа водеща бе търговията с енергийни ресурси (вкл. петролни продукти и други), суровини за производство на храни и електрически машини, докато ниският растеж на вноса се дължеше на спад на нефт, метални руди и метални отпадъци. </w:t>
      </w:r>
    </w:p>
    <w:p w:rsidR="001934CC" w:rsidRPr="001934CC" w:rsidRDefault="001934CC" w:rsidP="001934CC">
      <w:pPr>
        <w:suppressAutoHyphens/>
        <w:autoSpaceDE w:val="0"/>
        <w:autoSpaceDN w:val="0"/>
        <w:adjustRightInd w:val="0"/>
        <w:spacing w:after="120"/>
        <w:rPr>
          <w:rFonts w:eastAsia="Batang" w:cs="Times New Roman"/>
          <w:szCs w:val="24"/>
        </w:rPr>
      </w:pPr>
      <w:r w:rsidRPr="001934CC">
        <w:rPr>
          <w:rFonts w:eastAsia="Batang" w:cs="Times New Roman"/>
          <w:szCs w:val="24"/>
        </w:rPr>
        <w:t>По отношение на регионалната структура на търговията за първите седем месеца на годината, по данни на НСИ, покачването на износа се дължеше в по-голяма степен на износ към страни от ЕС, докато растеж</w:t>
      </w:r>
      <w:r w:rsidR="00D52D59">
        <w:rPr>
          <w:rFonts w:eastAsia="Batang" w:cs="Times New Roman"/>
          <w:szCs w:val="24"/>
        </w:rPr>
        <w:t>ът</w:t>
      </w:r>
      <w:r w:rsidRPr="001934CC">
        <w:rPr>
          <w:rFonts w:eastAsia="Batang" w:cs="Times New Roman"/>
          <w:szCs w:val="24"/>
        </w:rPr>
        <w:t xml:space="preserve"> на търговията с трети страни бе по-осезаем през първото тримесечие. При вноса активизирането на търговията с държави от ЕС бе водещо, а внос</w:t>
      </w:r>
      <w:r w:rsidR="00D52D59">
        <w:rPr>
          <w:rFonts w:eastAsia="Batang" w:cs="Times New Roman"/>
          <w:szCs w:val="24"/>
        </w:rPr>
        <w:t>ът</w:t>
      </w:r>
      <w:r w:rsidRPr="001934CC">
        <w:rPr>
          <w:rFonts w:eastAsia="Batang" w:cs="Times New Roman"/>
          <w:szCs w:val="24"/>
        </w:rPr>
        <w:t xml:space="preserve"> от трети страни отбеляза спад. Причината бе намаление на вноса на нефт и нефтопродукти от Русия. Вносът и износът от ЕС нараснаха</w:t>
      </w:r>
      <w:r w:rsidR="00D9335E">
        <w:rPr>
          <w:rFonts w:eastAsia="Batang" w:cs="Times New Roman"/>
          <w:szCs w:val="24"/>
        </w:rPr>
        <w:t xml:space="preserve"> на годишна база, съответно с 2,1% и 4,</w:t>
      </w:r>
      <w:r w:rsidRPr="001934CC">
        <w:rPr>
          <w:rFonts w:eastAsia="Batang" w:cs="Times New Roman"/>
          <w:szCs w:val="24"/>
        </w:rPr>
        <w:t>8% за периода януари-юли на 2019 г.</w:t>
      </w:r>
    </w:p>
    <w:p w:rsidR="001934CC" w:rsidRPr="001934CC" w:rsidRDefault="001934CC" w:rsidP="001934CC">
      <w:pPr>
        <w:suppressAutoHyphens/>
        <w:autoSpaceDE w:val="0"/>
        <w:autoSpaceDN w:val="0"/>
        <w:adjustRightInd w:val="0"/>
        <w:spacing w:after="120"/>
        <w:rPr>
          <w:rFonts w:eastAsia="Batang" w:cs="Times New Roman"/>
          <w:szCs w:val="24"/>
        </w:rPr>
      </w:pPr>
      <w:r w:rsidRPr="001934CC">
        <w:rPr>
          <w:rFonts w:eastAsia="Batang" w:cs="Times New Roman"/>
          <w:szCs w:val="24"/>
        </w:rPr>
        <w:t xml:space="preserve">Излишъкът по статия </w:t>
      </w:r>
      <w:r w:rsidRPr="001934CC">
        <w:rPr>
          <w:rFonts w:eastAsia="Batang" w:cs="Times New Roman"/>
          <w:i/>
          <w:szCs w:val="24"/>
        </w:rPr>
        <w:t>Услуги</w:t>
      </w:r>
      <w:r w:rsidRPr="001934CC">
        <w:rPr>
          <w:rFonts w:eastAsia="Batang" w:cs="Times New Roman"/>
          <w:szCs w:val="24"/>
        </w:rPr>
        <w:t xml:space="preserve"> се повиши през първит</w:t>
      </w:r>
      <w:r w:rsidR="00D9335E">
        <w:rPr>
          <w:rFonts w:eastAsia="Batang" w:cs="Times New Roman"/>
          <w:szCs w:val="24"/>
        </w:rPr>
        <w:t>е седем месеца на годината до 3,</w:t>
      </w:r>
      <w:r w:rsidRPr="001934CC">
        <w:rPr>
          <w:rFonts w:eastAsia="Batang" w:cs="Times New Roman"/>
          <w:szCs w:val="24"/>
        </w:rPr>
        <w:t xml:space="preserve">5% от прогнозния БВП в резултат на по-високия износ на транспортни и други бизнес услуги, докато вносът на транспортни и застрахователни услуги </w:t>
      </w:r>
      <w:r w:rsidR="00D9335E">
        <w:rPr>
          <w:rFonts w:eastAsia="Batang" w:cs="Times New Roman"/>
          <w:szCs w:val="24"/>
        </w:rPr>
        <w:t>се понижи. Минимален спад от 0,</w:t>
      </w:r>
      <w:r w:rsidRPr="001934CC">
        <w:rPr>
          <w:rFonts w:eastAsia="Batang" w:cs="Times New Roman"/>
          <w:szCs w:val="24"/>
        </w:rPr>
        <w:t>6% отчете износът на туристически услуги. Общото салдо по доходните ст</w:t>
      </w:r>
      <w:r w:rsidR="00D9335E">
        <w:rPr>
          <w:rFonts w:eastAsia="Batang" w:cs="Times New Roman"/>
          <w:szCs w:val="24"/>
        </w:rPr>
        <w:t>атии се подобри до излишък от 2,3% от прогнозния БВП спрямо 1,</w:t>
      </w:r>
      <w:r w:rsidRPr="001934CC">
        <w:rPr>
          <w:rFonts w:eastAsia="Batang" w:cs="Times New Roman"/>
          <w:szCs w:val="24"/>
        </w:rPr>
        <w:t>5% през същия период на предходната година. В периода януари-юли 2019 г. излишъкът по текущат</w:t>
      </w:r>
      <w:r w:rsidR="00D9335E">
        <w:rPr>
          <w:rFonts w:eastAsia="Batang" w:cs="Times New Roman"/>
          <w:szCs w:val="24"/>
        </w:rPr>
        <w:t>а сметка нарасна с 1,6 млрд. евро, достигайки 4,</w:t>
      </w:r>
      <w:r w:rsidRPr="001934CC">
        <w:rPr>
          <w:rFonts w:eastAsia="Batang" w:cs="Times New Roman"/>
          <w:szCs w:val="24"/>
        </w:rPr>
        <w:t>9% от п</w:t>
      </w:r>
      <w:r w:rsidR="00D9335E">
        <w:rPr>
          <w:rFonts w:eastAsia="Batang" w:cs="Times New Roman"/>
          <w:szCs w:val="24"/>
        </w:rPr>
        <w:t>рогнозния БВП, при излишък от 1,4 млрд. евро (2,</w:t>
      </w:r>
      <w:r w:rsidRPr="001934CC">
        <w:rPr>
          <w:rFonts w:eastAsia="Batang" w:cs="Times New Roman"/>
          <w:szCs w:val="24"/>
        </w:rPr>
        <w:t>5% от БВП) за същия период на предходната година.</w:t>
      </w:r>
    </w:p>
    <w:p w:rsidR="001934CC" w:rsidRPr="00AB7066" w:rsidRDefault="001934CC" w:rsidP="00856DCE">
      <w:pPr>
        <w:spacing w:after="120"/>
        <w:rPr>
          <w:rFonts w:eastAsia="Times New Roman" w:cs="Times New Roman"/>
        </w:rPr>
      </w:pPr>
      <w:r w:rsidRPr="001934CC">
        <w:rPr>
          <w:rFonts w:eastAsia="Batang" w:cs="Times New Roman"/>
          <w:szCs w:val="24"/>
        </w:rPr>
        <w:t>Капиталовата сметка удвои излишъкът си в отношение спрямо БВП до 1</w:t>
      </w:r>
      <w:r w:rsidR="00D9335E">
        <w:rPr>
          <w:rFonts w:eastAsia="Batang" w:cs="Times New Roman"/>
          <w:szCs w:val="24"/>
        </w:rPr>
        <w:t>,0</w:t>
      </w:r>
      <w:r w:rsidRPr="001934CC">
        <w:rPr>
          <w:rFonts w:eastAsia="Batang" w:cs="Times New Roman"/>
          <w:szCs w:val="24"/>
        </w:rPr>
        <w:t>% за периода януари-юли 2019 г. По финансовата сметка бе отчетено превишаване на изходящите финансови потоци</w:t>
      </w:r>
      <w:r w:rsidR="00D9335E">
        <w:rPr>
          <w:rFonts w:eastAsia="Batang" w:cs="Times New Roman"/>
          <w:szCs w:val="24"/>
        </w:rPr>
        <w:t xml:space="preserve"> над привлечените в размер на 1,</w:t>
      </w:r>
      <w:r w:rsidRPr="001934CC">
        <w:rPr>
          <w:rFonts w:eastAsia="Batang" w:cs="Times New Roman"/>
          <w:szCs w:val="24"/>
        </w:rPr>
        <w:t>6 млрд. евро. Основните привлечени средства бяха от п</w:t>
      </w:r>
      <w:r w:rsidR="00D9335E">
        <w:rPr>
          <w:rFonts w:eastAsia="Batang" w:cs="Times New Roman"/>
          <w:szCs w:val="24"/>
        </w:rPr>
        <w:t>реки чуждестранни инвестиции (0,</w:t>
      </w:r>
      <w:r w:rsidRPr="001934CC">
        <w:rPr>
          <w:rFonts w:eastAsia="Batang" w:cs="Times New Roman"/>
          <w:szCs w:val="24"/>
        </w:rPr>
        <w:t>8% от БВП), а изплатените - под форма на валута и депозити в чуждестранни институции и инвестиции в чуждестранни дългови ценни книжа.</w:t>
      </w:r>
    </w:p>
    <w:p w:rsidR="00083361" w:rsidRPr="003C27E4" w:rsidRDefault="00083361" w:rsidP="00676AFF">
      <w:pPr>
        <w:pStyle w:val="Heading3"/>
        <w:ind w:left="0"/>
        <w:rPr>
          <w:w w:val="90"/>
          <w:lang w:eastAsia="zh-CN"/>
        </w:rPr>
      </w:pPr>
      <w:r w:rsidRPr="003C27E4">
        <w:rPr>
          <w:w w:val="90"/>
          <w:lang w:eastAsia="zh-CN"/>
        </w:rPr>
        <w:t>ПАРИЧЕН СЕКТОР</w:t>
      </w:r>
      <w:bookmarkEnd w:id="145"/>
      <w:bookmarkEnd w:id="146"/>
      <w:bookmarkEnd w:id="147"/>
      <w:bookmarkEnd w:id="148"/>
      <w:bookmarkEnd w:id="149"/>
      <w:bookmarkEnd w:id="150"/>
      <w:bookmarkEnd w:id="151"/>
      <w:bookmarkEnd w:id="152"/>
      <w:bookmarkEnd w:id="153"/>
      <w:bookmarkEnd w:id="154"/>
      <w:bookmarkEnd w:id="155"/>
      <w:bookmarkEnd w:id="156"/>
      <w:bookmarkEnd w:id="157"/>
    </w:p>
    <w:p w:rsidR="00AB7066" w:rsidRPr="00AB7066" w:rsidRDefault="00AB7066" w:rsidP="00AB7066">
      <w:pPr>
        <w:spacing w:after="120"/>
        <w:rPr>
          <w:rFonts w:eastAsia="Times New Roman" w:cs="Times New Roman"/>
        </w:rPr>
      </w:pPr>
      <w:bookmarkStart w:id="158" w:name="_Toc464225417"/>
      <w:bookmarkStart w:id="159" w:name="_Toc464458963"/>
      <w:bookmarkStart w:id="160" w:name="_Toc464459709"/>
      <w:bookmarkStart w:id="161" w:name="_Toc464460664"/>
      <w:bookmarkStart w:id="162" w:name="_Toc464463063"/>
      <w:bookmarkStart w:id="163" w:name="_Toc464464890"/>
      <w:bookmarkStart w:id="164" w:name="_Toc464465396"/>
      <w:bookmarkStart w:id="165" w:name="_Toc464465584"/>
      <w:bookmarkStart w:id="166" w:name="_Toc464466409"/>
      <w:bookmarkStart w:id="167" w:name="_Toc464466653"/>
      <w:bookmarkStart w:id="168" w:name="_Toc464644955"/>
      <w:bookmarkStart w:id="169" w:name="_Toc465205496"/>
      <w:r w:rsidRPr="00AB7066">
        <w:rPr>
          <w:rFonts w:eastAsia="Times New Roman" w:cs="Times New Roman"/>
          <w:bCs/>
          <w:color w:val="000000"/>
          <w:szCs w:val="23"/>
        </w:rPr>
        <w:t xml:space="preserve">Брутните международни валутни резерви на страната продължиха да осигуряват стабилното функциониране на </w:t>
      </w:r>
      <w:r w:rsidR="00B05E74">
        <w:rPr>
          <w:rFonts w:eastAsia="Times New Roman" w:cs="Times New Roman"/>
          <w:bCs/>
          <w:color w:val="000000"/>
          <w:szCs w:val="23"/>
        </w:rPr>
        <w:t>п</w:t>
      </w:r>
      <w:r w:rsidRPr="00AB7066">
        <w:rPr>
          <w:rFonts w:eastAsia="Times New Roman" w:cs="Times New Roman"/>
          <w:bCs/>
          <w:color w:val="000000"/>
          <w:szCs w:val="23"/>
        </w:rPr>
        <w:t xml:space="preserve">аричния </w:t>
      </w:r>
      <w:r w:rsidR="00E420F8">
        <w:rPr>
          <w:rFonts w:eastAsia="Times New Roman" w:cs="Times New Roman"/>
          <w:bCs/>
          <w:color w:val="000000"/>
          <w:szCs w:val="23"/>
        </w:rPr>
        <w:t xml:space="preserve">съвет. Пазарната им стойност </w:t>
      </w:r>
      <w:r w:rsidRPr="00AB7066">
        <w:rPr>
          <w:rFonts w:eastAsia="Times New Roman" w:cs="Times New Roman"/>
          <w:bCs/>
          <w:color w:val="000000"/>
          <w:szCs w:val="23"/>
        </w:rPr>
        <w:t>към края на септември 2019 г. възлезе на 25,3 млрд. евро., и</w:t>
      </w:r>
      <w:r w:rsidR="00E420F8">
        <w:rPr>
          <w:rFonts w:eastAsia="Times New Roman" w:cs="Times New Roman"/>
          <w:bCs/>
          <w:color w:val="000000"/>
          <w:szCs w:val="23"/>
        </w:rPr>
        <w:t>ли с</w:t>
      </w:r>
      <w:r w:rsidRPr="00AB7066">
        <w:rPr>
          <w:rFonts w:eastAsia="Times New Roman" w:cs="Times New Roman"/>
          <w:bCs/>
          <w:color w:val="000000"/>
          <w:szCs w:val="23"/>
        </w:rPr>
        <w:t xml:space="preserve"> 2,9% повече спрямо година по-рано</w:t>
      </w:r>
      <w:r w:rsidRPr="00AB7066">
        <w:rPr>
          <w:rFonts w:eastAsia="Times New Roman" w:cs="Times New Roman"/>
          <w:color w:val="000000"/>
          <w:position w:val="2"/>
          <w:sz w:val="18"/>
          <w:szCs w:val="23"/>
          <w:vertAlign w:val="superscript"/>
          <w:lang w:eastAsia="en-US"/>
        </w:rPr>
        <w:footnoteReference w:id="6"/>
      </w:r>
      <w:r w:rsidRPr="00AB7066">
        <w:rPr>
          <w:rFonts w:eastAsia="Times New Roman" w:cs="Times New Roman"/>
          <w:bCs/>
          <w:color w:val="000000"/>
          <w:szCs w:val="23"/>
        </w:rPr>
        <w:t xml:space="preserve">, след като през </w:t>
      </w:r>
      <w:r w:rsidR="00A937A1">
        <w:rPr>
          <w:rFonts w:eastAsia="Times New Roman" w:cs="Times New Roman"/>
          <w:bCs/>
          <w:color w:val="000000"/>
          <w:szCs w:val="23"/>
        </w:rPr>
        <w:t>месец август</w:t>
      </w:r>
      <w:r w:rsidRPr="00AB7066">
        <w:rPr>
          <w:rFonts w:eastAsia="Times New Roman" w:cs="Times New Roman"/>
          <w:bCs/>
          <w:color w:val="000000"/>
          <w:szCs w:val="23"/>
        </w:rPr>
        <w:t xml:space="preserve"> бе осъществено плащането по договора с правителството на САЩ за придобиване на нови бойни самолети от депозита на правителството в централната банка. </w:t>
      </w:r>
    </w:p>
    <w:p w:rsidR="00AB7066" w:rsidRPr="00AB7066" w:rsidRDefault="00AB7066" w:rsidP="00AB7066">
      <w:pPr>
        <w:spacing w:after="120"/>
        <w:rPr>
          <w:rFonts w:eastAsia="Times New Roman" w:cs="Times New Roman"/>
          <w:bCs/>
          <w:color w:val="000000"/>
          <w:szCs w:val="23"/>
        </w:rPr>
      </w:pPr>
      <w:r w:rsidRPr="00AB7066">
        <w:rPr>
          <w:rFonts w:eastAsia="Times New Roman" w:cs="Times New Roman"/>
          <w:bCs/>
          <w:color w:val="000000"/>
          <w:szCs w:val="23"/>
        </w:rPr>
        <w:t>Банковата система в България остана стабилна и продължи да поддържа високи равнища на капиталова адекватност и ликвидност. Коефициентът на обща ка</w:t>
      </w:r>
      <w:r w:rsidR="00B225AF">
        <w:rPr>
          <w:rFonts w:eastAsia="Times New Roman" w:cs="Times New Roman"/>
          <w:bCs/>
          <w:color w:val="000000"/>
          <w:szCs w:val="23"/>
        </w:rPr>
        <w:t>питалова адекватност беше 20,54</w:t>
      </w:r>
      <w:r w:rsidRPr="00AB7066">
        <w:rPr>
          <w:rFonts w:eastAsia="Times New Roman" w:cs="Times New Roman"/>
          <w:bCs/>
          <w:color w:val="000000"/>
          <w:szCs w:val="23"/>
        </w:rPr>
        <w:t>% в края на полугодието, а отношен</w:t>
      </w:r>
      <w:r w:rsidR="00B225AF">
        <w:rPr>
          <w:rFonts w:eastAsia="Times New Roman" w:cs="Times New Roman"/>
          <w:bCs/>
          <w:color w:val="000000"/>
          <w:szCs w:val="23"/>
        </w:rPr>
        <w:t>ието на ликвидно покритие 262,9</w:t>
      </w:r>
      <w:r w:rsidRPr="00AB7066">
        <w:rPr>
          <w:rFonts w:eastAsia="Times New Roman" w:cs="Times New Roman"/>
          <w:bCs/>
          <w:color w:val="000000"/>
          <w:szCs w:val="23"/>
        </w:rPr>
        <w:t>%</w:t>
      </w:r>
      <w:r w:rsidRPr="00AB7066">
        <w:rPr>
          <w:rFonts w:eastAsia="Times New Roman" w:cs="Times New Roman"/>
          <w:color w:val="000000"/>
          <w:position w:val="2"/>
          <w:sz w:val="18"/>
          <w:szCs w:val="23"/>
          <w:vertAlign w:val="superscript"/>
          <w:lang w:eastAsia="en-US"/>
        </w:rPr>
        <w:footnoteReference w:id="7"/>
      </w:r>
      <w:r w:rsidRPr="00AB7066">
        <w:rPr>
          <w:rFonts w:eastAsia="Times New Roman" w:cs="Times New Roman"/>
          <w:bCs/>
          <w:color w:val="000000"/>
          <w:szCs w:val="23"/>
        </w:rPr>
        <w:t xml:space="preserve"> към края на август 2019 г.</w:t>
      </w:r>
    </w:p>
    <w:p w:rsidR="00AB7066" w:rsidRPr="009212CB" w:rsidRDefault="00AB7066" w:rsidP="00A04FFF">
      <w:pPr>
        <w:spacing w:after="120"/>
        <w:rPr>
          <w:rFonts w:eastAsia="Times New Roman" w:cs="Times New Roman"/>
          <w:bCs/>
          <w:color w:val="000000"/>
          <w:szCs w:val="23"/>
        </w:rPr>
      </w:pPr>
      <w:r w:rsidRPr="00AB7066">
        <w:rPr>
          <w:rFonts w:eastAsia="Times New Roman" w:cs="Times New Roman"/>
          <w:bCs/>
          <w:color w:val="000000"/>
          <w:szCs w:val="23"/>
        </w:rPr>
        <w:t>Развитието на кредитите в частния сектор беше положи</w:t>
      </w:r>
      <w:r>
        <w:rPr>
          <w:rFonts w:eastAsia="Times New Roman" w:cs="Times New Roman"/>
          <w:bCs/>
          <w:color w:val="000000"/>
          <w:szCs w:val="23"/>
        </w:rPr>
        <w:t>телно от началото на 2019 г.</w:t>
      </w:r>
      <w:r w:rsidRPr="00AB7066">
        <w:rPr>
          <w:rFonts w:eastAsia="Times New Roman" w:cs="Times New Roman"/>
          <w:bCs/>
          <w:color w:val="000000"/>
          <w:szCs w:val="23"/>
        </w:rPr>
        <w:t xml:space="preserve"> при ускорен спад на лошите и преструктурирани кредити във всички сегменти на кредитния пазар и подобряване на качеството на балансите на банките. В края на август 2019 г. годишният растеж на вземанията от частния сектор се забави до 6,0%. Търсенето на потребителски кредити и заеми за покупка на жилища остана високо в условия на ниски лихвени проценти. Годишното нарастване на кредитите за покупка на жилища се ускори до 12,4% в края на август, докато при кредитите за корпоративния сектор намалението на лошите и преструктурирани кредити беше по-голямо и доведе до забавяне в общия им темп на нарастване до 3,3%. Кредитите за потребление нарастваха с двуцифрен растеж от началото на годината </w:t>
      </w:r>
      <w:r w:rsidRPr="007D6981">
        <w:rPr>
          <w:rFonts w:eastAsia="Times New Roman" w:cs="Times New Roman"/>
          <w:bCs/>
          <w:color w:val="000000"/>
          <w:szCs w:val="23"/>
          <w:lang w:val="ru-RU"/>
        </w:rPr>
        <w:t xml:space="preserve">и </w:t>
      </w:r>
      <w:r w:rsidRPr="00AB7066">
        <w:rPr>
          <w:rFonts w:eastAsia="Times New Roman" w:cs="Times New Roman"/>
          <w:bCs/>
          <w:color w:val="000000"/>
          <w:szCs w:val="23"/>
        </w:rPr>
        <w:t>след изчерпване на ефекта от включването на нова отчетна единица</w:t>
      </w:r>
      <w:r w:rsidRPr="00AB7066">
        <w:rPr>
          <w:rFonts w:eastAsia="Times New Roman" w:cs="Times New Roman"/>
          <w:color w:val="000000"/>
          <w:position w:val="2"/>
          <w:sz w:val="18"/>
          <w:szCs w:val="23"/>
          <w:vertAlign w:val="superscript"/>
          <w:lang w:eastAsia="en-US"/>
        </w:rPr>
        <w:footnoteReference w:id="8"/>
      </w:r>
      <w:r w:rsidRPr="00AB7066">
        <w:rPr>
          <w:rFonts w:eastAsia="Times New Roman" w:cs="Times New Roman"/>
          <w:bCs/>
          <w:color w:val="000000"/>
          <w:szCs w:val="23"/>
        </w:rPr>
        <w:t>, като в края на август год</w:t>
      </w:r>
      <w:r w:rsidR="009212CB">
        <w:rPr>
          <w:rFonts w:eastAsia="Times New Roman" w:cs="Times New Roman"/>
          <w:bCs/>
          <w:color w:val="000000"/>
          <w:szCs w:val="23"/>
        </w:rPr>
        <w:t>ишният растеж възлезе на 11,2%.</w:t>
      </w:r>
    </w:p>
    <w:p w:rsidR="00083361" w:rsidRPr="00A52E2F" w:rsidRDefault="00083361" w:rsidP="00DE2BDB">
      <w:pPr>
        <w:pStyle w:val="Heading2"/>
      </w:pPr>
      <w:bookmarkStart w:id="170" w:name="_Toc23337469"/>
      <w:r w:rsidRPr="00A52E2F">
        <w:t>МАКРОИКОНОМИЧЕСКА ПРОГНОЗА ЗА ПЕРИОДА 201</w:t>
      </w:r>
      <w:r w:rsidR="002A37C0">
        <w:t>9</w:t>
      </w:r>
      <w:r w:rsidRPr="00A52E2F">
        <w:t>-20</w:t>
      </w:r>
      <w:r w:rsidR="002A37C0">
        <w:t>22</w:t>
      </w:r>
      <w:r w:rsidR="00AA3035">
        <w:t> г.</w:t>
      </w:r>
      <w:bookmarkEnd w:id="158"/>
      <w:bookmarkEnd w:id="159"/>
      <w:bookmarkEnd w:id="160"/>
      <w:bookmarkEnd w:id="161"/>
      <w:bookmarkEnd w:id="162"/>
      <w:bookmarkEnd w:id="163"/>
      <w:bookmarkEnd w:id="164"/>
      <w:bookmarkEnd w:id="165"/>
      <w:bookmarkEnd w:id="166"/>
      <w:bookmarkEnd w:id="167"/>
      <w:bookmarkEnd w:id="168"/>
      <w:bookmarkEnd w:id="169"/>
      <w:bookmarkEnd w:id="170"/>
    </w:p>
    <w:p w:rsidR="00083361" w:rsidRPr="00616C7A" w:rsidRDefault="00F27608" w:rsidP="00F27608">
      <w:pPr>
        <w:pStyle w:val="Caption"/>
        <w:rPr>
          <w:lang w:eastAsia="zh-CN"/>
        </w:rPr>
      </w:pPr>
      <w:bookmarkStart w:id="171" w:name="_Toc464644956"/>
      <w:bookmarkStart w:id="172" w:name="_Toc464646349"/>
      <w:bookmarkStart w:id="173" w:name="_Toc464737630"/>
      <w:bookmarkStart w:id="174" w:name="_Toc23337512"/>
      <w:r>
        <w:t xml:space="preserve">Табл. </w:t>
      </w:r>
      <w:fldSimple w:instr=" STYLEREF 1 \s ">
        <w:r w:rsidR="0034195B">
          <w:rPr>
            <w:noProof/>
          </w:rPr>
          <w:t>I</w:t>
        </w:r>
      </w:fldSimple>
      <w:r w:rsidR="00927CD5">
        <w:noBreakHyphen/>
      </w:r>
      <w:fldSimple w:instr=" SEQ Табл. \* ARABIC \s 1 ">
        <w:r w:rsidR="0034195B">
          <w:rPr>
            <w:noProof/>
          </w:rPr>
          <w:t>2</w:t>
        </w:r>
      </w:fldSimple>
      <w:r w:rsidR="00D14E8A">
        <w:t>:</w:t>
      </w:r>
      <w:r w:rsidR="001977D8">
        <w:tab/>
      </w:r>
      <w:r w:rsidR="00083361" w:rsidRPr="00616C7A">
        <w:rPr>
          <w:lang w:eastAsia="zh-CN"/>
        </w:rPr>
        <w:t>Основни макроикономически показатели</w:t>
      </w:r>
      <w:bookmarkEnd w:id="171"/>
      <w:bookmarkEnd w:id="172"/>
      <w:bookmarkEnd w:id="173"/>
      <w:bookmarkEnd w:id="174"/>
    </w:p>
    <w:p w:rsidR="0002415A" w:rsidRDefault="0002415A" w:rsidP="00D55B7F">
      <w:pPr>
        <w:pStyle w:val="Source0"/>
        <w:rPr>
          <w:sz w:val="16"/>
          <w:szCs w:val="16"/>
        </w:rPr>
      </w:pPr>
    </w:p>
    <w:tbl>
      <w:tblPr>
        <w:tblW w:w="5000" w:type="pct"/>
        <w:jc w:val="center"/>
        <w:tblBorders>
          <w:top w:val="single" w:sz="6" w:space="0" w:color="838383"/>
          <w:bottom w:val="single" w:sz="6" w:space="0" w:color="838383"/>
        </w:tblBorders>
        <w:tblLayout w:type="fixed"/>
        <w:tblLook w:val="06A0" w:firstRow="1" w:lastRow="0" w:firstColumn="1" w:lastColumn="0" w:noHBand="1" w:noVBand="1"/>
      </w:tblPr>
      <w:tblGrid>
        <w:gridCol w:w="3147"/>
        <w:gridCol w:w="964"/>
        <w:gridCol w:w="962"/>
        <w:gridCol w:w="885"/>
        <w:gridCol w:w="903"/>
        <w:gridCol w:w="1247"/>
        <w:gridCol w:w="962"/>
      </w:tblGrid>
      <w:tr w:rsidR="0002415A" w:rsidRPr="0002415A" w:rsidTr="00167302">
        <w:trPr>
          <w:trHeight w:val="20"/>
          <w:tblHeader/>
          <w:jc w:val="center"/>
        </w:trPr>
        <w:tc>
          <w:tcPr>
            <w:tcW w:w="3147" w:type="dxa"/>
            <w:vMerge w:val="restart"/>
            <w:tcBorders>
              <w:top w:val="single" w:sz="6" w:space="0" w:color="auto"/>
            </w:tcBorders>
            <w:shd w:val="clear" w:color="auto" w:fill="auto"/>
            <w:hideMark/>
          </w:tcPr>
          <w:p w:rsidR="0002415A" w:rsidRPr="0002415A" w:rsidRDefault="0002415A" w:rsidP="0002415A">
            <w:pPr>
              <w:spacing w:before="40" w:after="40"/>
              <w:jc w:val="center"/>
              <w:rPr>
                <w:rFonts w:eastAsia="Times New Roman" w:cs="Times New Roman"/>
                <w:b/>
                <w:bCs/>
                <w:sz w:val="20"/>
                <w:szCs w:val="20"/>
                <w:lang w:eastAsia="en-GB"/>
              </w:rPr>
            </w:pPr>
            <w:r w:rsidRPr="0002415A">
              <w:rPr>
                <w:rFonts w:eastAsia="Times New Roman" w:cs="Times New Roman"/>
                <w:b/>
                <w:bCs/>
                <w:sz w:val="20"/>
                <w:szCs w:val="20"/>
                <w:lang w:eastAsia="en-GB"/>
              </w:rPr>
              <w:t>Основни макроикономически показатели</w:t>
            </w:r>
          </w:p>
        </w:tc>
        <w:tc>
          <w:tcPr>
            <w:tcW w:w="1926" w:type="dxa"/>
            <w:gridSpan w:val="2"/>
            <w:tcBorders>
              <w:top w:val="single" w:sz="6" w:space="0" w:color="auto"/>
              <w:bottom w:val="single" w:sz="6" w:space="0" w:color="auto"/>
            </w:tcBorders>
            <w:shd w:val="clear" w:color="auto" w:fill="auto"/>
            <w:noWrap/>
            <w:vAlign w:val="center"/>
            <w:hideMark/>
          </w:tcPr>
          <w:p w:rsidR="0002415A" w:rsidRPr="0002415A" w:rsidRDefault="0002415A" w:rsidP="0002415A">
            <w:pPr>
              <w:spacing w:before="40" w:after="40"/>
              <w:jc w:val="center"/>
              <w:rPr>
                <w:rFonts w:eastAsia="Times New Roman" w:cs="Times New Roman"/>
                <w:b/>
                <w:bCs/>
                <w:sz w:val="20"/>
                <w:szCs w:val="20"/>
                <w:lang w:eastAsia="en-GB"/>
              </w:rPr>
            </w:pPr>
            <w:r w:rsidRPr="0002415A">
              <w:rPr>
                <w:rFonts w:eastAsia="Times New Roman" w:cs="Times New Roman"/>
                <w:b/>
                <w:bCs/>
                <w:sz w:val="20"/>
                <w:szCs w:val="20"/>
                <w:lang w:eastAsia="en-GB"/>
              </w:rPr>
              <w:t>Отчетни данни</w:t>
            </w:r>
          </w:p>
        </w:tc>
        <w:tc>
          <w:tcPr>
            <w:tcW w:w="3997" w:type="dxa"/>
            <w:gridSpan w:val="4"/>
            <w:tcBorders>
              <w:top w:val="single" w:sz="6" w:space="0" w:color="auto"/>
              <w:bottom w:val="single" w:sz="6" w:space="0" w:color="auto"/>
            </w:tcBorders>
            <w:shd w:val="clear" w:color="auto" w:fill="F2F2F2"/>
            <w:noWrap/>
            <w:vAlign w:val="center"/>
            <w:hideMark/>
          </w:tcPr>
          <w:p w:rsidR="0002415A" w:rsidRPr="0002415A" w:rsidRDefault="0002415A" w:rsidP="0002415A">
            <w:pPr>
              <w:spacing w:before="40" w:after="40"/>
              <w:jc w:val="center"/>
              <w:rPr>
                <w:rFonts w:eastAsia="Times New Roman" w:cs="Times New Roman"/>
                <w:b/>
                <w:bCs/>
                <w:sz w:val="20"/>
                <w:szCs w:val="20"/>
                <w:lang w:eastAsia="en-GB"/>
              </w:rPr>
            </w:pPr>
            <w:r w:rsidRPr="0002415A">
              <w:rPr>
                <w:rFonts w:eastAsia="Times New Roman" w:cs="Times New Roman"/>
                <w:b/>
                <w:bCs/>
                <w:sz w:val="20"/>
                <w:szCs w:val="20"/>
                <w:lang w:eastAsia="en-GB"/>
              </w:rPr>
              <w:t>Прогноза</w:t>
            </w:r>
          </w:p>
        </w:tc>
      </w:tr>
      <w:tr w:rsidR="0002415A" w:rsidRPr="0002415A" w:rsidTr="0074503B">
        <w:trPr>
          <w:trHeight w:val="20"/>
          <w:tblHeader/>
          <w:jc w:val="center"/>
        </w:trPr>
        <w:tc>
          <w:tcPr>
            <w:tcW w:w="3147" w:type="dxa"/>
            <w:vMerge/>
            <w:tcBorders>
              <w:bottom w:val="single" w:sz="4" w:space="0" w:color="auto"/>
            </w:tcBorders>
            <w:shd w:val="clear" w:color="auto" w:fill="auto"/>
            <w:noWrap/>
          </w:tcPr>
          <w:p w:rsidR="0002415A" w:rsidRPr="0002415A" w:rsidRDefault="0002415A" w:rsidP="0002415A">
            <w:pPr>
              <w:spacing w:before="40" w:after="40"/>
              <w:jc w:val="left"/>
              <w:rPr>
                <w:rFonts w:eastAsia="Times New Roman" w:cs="Times New Roman"/>
                <w:b/>
                <w:bCs/>
                <w:sz w:val="20"/>
                <w:szCs w:val="20"/>
                <w:lang w:eastAsia="en-GB"/>
              </w:rPr>
            </w:pPr>
          </w:p>
        </w:tc>
        <w:tc>
          <w:tcPr>
            <w:tcW w:w="964" w:type="dxa"/>
            <w:tcBorders>
              <w:top w:val="single" w:sz="6" w:space="0" w:color="auto"/>
              <w:bottom w:val="single" w:sz="4" w:space="0" w:color="auto"/>
            </w:tcBorders>
            <w:shd w:val="clear" w:color="auto" w:fill="auto"/>
            <w:noWrap/>
            <w:vAlign w:val="center"/>
          </w:tcPr>
          <w:p w:rsidR="0002415A" w:rsidRPr="0002415A" w:rsidRDefault="0002415A" w:rsidP="0002415A">
            <w:pPr>
              <w:spacing w:before="40" w:after="40"/>
              <w:jc w:val="center"/>
              <w:rPr>
                <w:rFonts w:eastAsia="Times New Roman" w:cs="Times New Roman"/>
                <w:b/>
                <w:bCs/>
                <w:sz w:val="20"/>
                <w:szCs w:val="20"/>
                <w:lang w:eastAsia="en-GB"/>
              </w:rPr>
            </w:pPr>
            <w:r w:rsidRPr="0002415A">
              <w:rPr>
                <w:rFonts w:eastAsia="Times New Roman" w:cs="Times New Roman"/>
                <w:b/>
                <w:bCs/>
                <w:sz w:val="20"/>
                <w:szCs w:val="20"/>
                <w:lang w:eastAsia="en-GB"/>
              </w:rPr>
              <w:t>2017</w:t>
            </w:r>
          </w:p>
        </w:tc>
        <w:tc>
          <w:tcPr>
            <w:tcW w:w="962" w:type="dxa"/>
            <w:tcBorders>
              <w:top w:val="single" w:sz="6" w:space="0" w:color="auto"/>
              <w:bottom w:val="single" w:sz="4" w:space="0" w:color="auto"/>
            </w:tcBorders>
            <w:shd w:val="clear" w:color="auto" w:fill="auto"/>
            <w:noWrap/>
            <w:vAlign w:val="center"/>
          </w:tcPr>
          <w:p w:rsidR="0002415A" w:rsidRPr="0002415A" w:rsidRDefault="0002415A" w:rsidP="0002415A">
            <w:pPr>
              <w:spacing w:before="40" w:after="40"/>
              <w:jc w:val="center"/>
              <w:rPr>
                <w:rFonts w:eastAsia="Times New Roman" w:cs="Times New Roman"/>
                <w:b/>
                <w:bCs/>
                <w:sz w:val="20"/>
                <w:szCs w:val="20"/>
                <w:lang w:eastAsia="en-GB"/>
              </w:rPr>
            </w:pPr>
            <w:r w:rsidRPr="0002415A">
              <w:rPr>
                <w:rFonts w:eastAsia="Times New Roman" w:cs="Times New Roman"/>
                <w:b/>
                <w:bCs/>
                <w:sz w:val="20"/>
                <w:szCs w:val="20"/>
                <w:lang w:eastAsia="en-GB"/>
              </w:rPr>
              <w:t>2018</w:t>
            </w:r>
          </w:p>
        </w:tc>
        <w:tc>
          <w:tcPr>
            <w:tcW w:w="885" w:type="dxa"/>
            <w:tcBorders>
              <w:top w:val="single" w:sz="6" w:space="0" w:color="auto"/>
              <w:bottom w:val="single" w:sz="4" w:space="0" w:color="auto"/>
            </w:tcBorders>
            <w:shd w:val="clear" w:color="auto" w:fill="F2F2F2"/>
            <w:noWrap/>
            <w:vAlign w:val="center"/>
          </w:tcPr>
          <w:p w:rsidR="0002415A" w:rsidRPr="0002415A" w:rsidRDefault="0002415A" w:rsidP="0002415A">
            <w:pPr>
              <w:spacing w:before="40" w:after="40"/>
              <w:jc w:val="center"/>
              <w:rPr>
                <w:rFonts w:eastAsia="Times New Roman" w:cs="Times New Roman"/>
                <w:b/>
                <w:bCs/>
                <w:sz w:val="20"/>
                <w:szCs w:val="20"/>
                <w:lang w:val="en-US" w:eastAsia="en-GB"/>
              </w:rPr>
            </w:pPr>
            <w:r w:rsidRPr="0002415A">
              <w:rPr>
                <w:rFonts w:eastAsia="Times New Roman" w:cs="Times New Roman"/>
                <w:b/>
                <w:bCs/>
                <w:sz w:val="20"/>
                <w:szCs w:val="20"/>
                <w:lang w:eastAsia="en-GB"/>
              </w:rPr>
              <w:t>2019</w:t>
            </w:r>
          </w:p>
        </w:tc>
        <w:tc>
          <w:tcPr>
            <w:tcW w:w="903" w:type="dxa"/>
            <w:tcBorders>
              <w:top w:val="single" w:sz="6" w:space="0" w:color="auto"/>
              <w:bottom w:val="single" w:sz="4" w:space="0" w:color="auto"/>
            </w:tcBorders>
            <w:shd w:val="clear" w:color="auto" w:fill="F2F2F2"/>
            <w:noWrap/>
            <w:vAlign w:val="center"/>
          </w:tcPr>
          <w:p w:rsidR="0002415A" w:rsidRPr="0002415A" w:rsidRDefault="0002415A" w:rsidP="0002415A">
            <w:pPr>
              <w:spacing w:before="40" w:after="40"/>
              <w:jc w:val="center"/>
              <w:rPr>
                <w:rFonts w:eastAsia="Times New Roman" w:cs="Times New Roman"/>
                <w:b/>
                <w:bCs/>
                <w:sz w:val="20"/>
                <w:szCs w:val="20"/>
                <w:lang w:val="en-US" w:eastAsia="en-GB"/>
              </w:rPr>
            </w:pPr>
            <w:r w:rsidRPr="0002415A">
              <w:rPr>
                <w:rFonts w:eastAsia="Times New Roman" w:cs="Times New Roman"/>
                <w:b/>
                <w:bCs/>
                <w:sz w:val="20"/>
                <w:szCs w:val="20"/>
                <w:lang w:eastAsia="en-GB"/>
              </w:rPr>
              <w:t>2020</w:t>
            </w:r>
          </w:p>
        </w:tc>
        <w:tc>
          <w:tcPr>
            <w:tcW w:w="1247" w:type="dxa"/>
            <w:tcBorders>
              <w:top w:val="single" w:sz="6" w:space="0" w:color="auto"/>
              <w:bottom w:val="single" w:sz="4" w:space="0" w:color="auto"/>
            </w:tcBorders>
            <w:shd w:val="clear" w:color="auto" w:fill="F2F2F2"/>
            <w:noWrap/>
            <w:vAlign w:val="center"/>
          </w:tcPr>
          <w:p w:rsidR="0002415A" w:rsidRPr="0002415A" w:rsidRDefault="0002415A" w:rsidP="0002415A">
            <w:pPr>
              <w:spacing w:before="40" w:after="40"/>
              <w:jc w:val="center"/>
              <w:rPr>
                <w:rFonts w:eastAsia="Times New Roman" w:cs="Times New Roman"/>
                <w:b/>
                <w:bCs/>
                <w:sz w:val="20"/>
                <w:szCs w:val="20"/>
                <w:lang w:val="en-US" w:eastAsia="en-GB"/>
              </w:rPr>
            </w:pPr>
            <w:r w:rsidRPr="0002415A">
              <w:rPr>
                <w:rFonts w:eastAsia="Times New Roman" w:cs="Times New Roman"/>
                <w:b/>
                <w:bCs/>
                <w:sz w:val="20"/>
                <w:szCs w:val="20"/>
                <w:lang w:eastAsia="en-GB"/>
              </w:rPr>
              <w:t>2021</w:t>
            </w:r>
          </w:p>
        </w:tc>
        <w:tc>
          <w:tcPr>
            <w:tcW w:w="962" w:type="dxa"/>
            <w:tcBorders>
              <w:top w:val="single" w:sz="6" w:space="0" w:color="auto"/>
              <w:bottom w:val="single" w:sz="4" w:space="0" w:color="auto"/>
            </w:tcBorders>
            <w:shd w:val="clear" w:color="auto" w:fill="F2F2F2"/>
            <w:noWrap/>
            <w:vAlign w:val="center"/>
          </w:tcPr>
          <w:p w:rsidR="0002415A" w:rsidRPr="0002415A" w:rsidRDefault="0002415A" w:rsidP="0002415A">
            <w:pPr>
              <w:spacing w:before="40" w:after="40"/>
              <w:jc w:val="center"/>
              <w:rPr>
                <w:rFonts w:eastAsia="Times New Roman" w:cs="Times New Roman"/>
                <w:b/>
                <w:bCs/>
                <w:sz w:val="20"/>
                <w:szCs w:val="20"/>
                <w:lang w:val="en-US" w:eastAsia="en-GB"/>
              </w:rPr>
            </w:pPr>
            <w:r w:rsidRPr="0002415A">
              <w:rPr>
                <w:rFonts w:eastAsia="Times New Roman" w:cs="Times New Roman"/>
                <w:b/>
                <w:bCs/>
                <w:sz w:val="20"/>
                <w:szCs w:val="20"/>
                <w:lang w:eastAsia="en-GB"/>
              </w:rPr>
              <w:t>2022</w:t>
            </w:r>
          </w:p>
        </w:tc>
      </w:tr>
      <w:tr w:rsidR="0002415A" w:rsidRPr="0002415A" w:rsidTr="0074503B">
        <w:trPr>
          <w:trHeight w:val="20"/>
          <w:jc w:val="center"/>
        </w:trPr>
        <w:tc>
          <w:tcPr>
            <w:tcW w:w="9070" w:type="dxa"/>
            <w:gridSpan w:val="7"/>
            <w:tcBorders>
              <w:top w:val="single" w:sz="4" w:space="0" w:color="auto"/>
              <w:bottom w:val="nil"/>
            </w:tcBorders>
            <w:shd w:val="clear" w:color="auto" w:fill="auto"/>
            <w:vAlign w:val="center"/>
            <w:hideMark/>
          </w:tcPr>
          <w:p w:rsidR="0002415A" w:rsidRPr="0002415A" w:rsidRDefault="0002415A" w:rsidP="0002415A">
            <w:pPr>
              <w:spacing w:before="40" w:after="40"/>
              <w:jc w:val="left"/>
              <w:rPr>
                <w:rFonts w:eastAsia="Times New Roman" w:cs="Times New Roman"/>
                <w:b/>
                <w:bCs/>
                <w:color w:val="373737"/>
                <w:sz w:val="20"/>
                <w:szCs w:val="20"/>
                <w:lang w:eastAsia="en-GB"/>
              </w:rPr>
            </w:pPr>
            <w:r w:rsidRPr="0002415A">
              <w:rPr>
                <w:rFonts w:eastAsia="Times New Roman" w:cs="Times New Roman"/>
                <w:b/>
                <w:bCs/>
                <w:color w:val="373737"/>
                <w:sz w:val="20"/>
                <w:szCs w:val="20"/>
                <w:lang w:eastAsia="en-GB"/>
              </w:rPr>
              <w:t xml:space="preserve">Брутен вътрешен продукт               </w:t>
            </w:r>
          </w:p>
        </w:tc>
      </w:tr>
      <w:tr w:rsidR="0002415A" w:rsidRPr="0002415A" w:rsidTr="00167302">
        <w:trPr>
          <w:trHeight w:val="20"/>
          <w:jc w:val="center"/>
        </w:trPr>
        <w:tc>
          <w:tcPr>
            <w:tcW w:w="3147" w:type="dxa"/>
            <w:tcBorders>
              <w:top w:val="nil"/>
            </w:tcBorders>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eastAsia="en-GB"/>
              </w:rPr>
            </w:pPr>
            <w:r w:rsidRPr="0002415A">
              <w:rPr>
                <w:rFonts w:eastAsia="Times New Roman" w:cs="Times New Roman"/>
                <w:bCs/>
                <w:color w:val="373737"/>
                <w:sz w:val="20"/>
                <w:szCs w:val="20"/>
                <w:lang w:eastAsia="en-GB"/>
              </w:rPr>
              <w:t xml:space="preserve">БВП (млн. лв.)                                                    </w:t>
            </w:r>
          </w:p>
        </w:tc>
        <w:tc>
          <w:tcPr>
            <w:tcW w:w="964" w:type="dxa"/>
            <w:tcBorders>
              <w:top w:val="nil"/>
            </w:tcBorders>
            <w:shd w:val="clear" w:color="auto" w:fill="auto"/>
            <w:noWrap/>
            <w:vAlign w:val="center"/>
          </w:tcPr>
          <w:p w:rsidR="0002415A" w:rsidRPr="0002415A" w:rsidRDefault="0002415A" w:rsidP="00520971">
            <w:pPr>
              <w:spacing w:before="100" w:beforeAutospacing="1" w:after="100" w:afterAutospacing="1"/>
              <w:jc w:val="right"/>
              <w:rPr>
                <w:rFonts w:eastAsia="Times New Roman" w:cs="Calibri"/>
                <w:color w:val="852010"/>
                <w:spacing w:val="5"/>
                <w:kern w:val="28"/>
                <w:sz w:val="20"/>
                <w:szCs w:val="20"/>
                <w:lang w:eastAsia="en-GB"/>
              </w:rPr>
            </w:pPr>
            <w:r w:rsidRPr="0002415A">
              <w:rPr>
                <w:rFonts w:eastAsia="Times New Roman" w:cs="Calibri"/>
                <w:sz w:val="20"/>
                <w:szCs w:val="20"/>
                <w:lang w:val="en-US" w:eastAsia="en-GB"/>
              </w:rPr>
              <w:t xml:space="preserve">  </w:t>
            </w:r>
            <w:r w:rsidRPr="0002415A">
              <w:rPr>
                <w:rFonts w:eastAsia="Times New Roman" w:cs="Calibri"/>
                <w:sz w:val="20"/>
                <w:szCs w:val="20"/>
                <w:lang w:eastAsia="en-GB"/>
              </w:rPr>
              <w:t xml:space="preserve">102 308        </w:t>
            </w:r>
          </w:p>
        </w:tc>
        <w:tc>
          <w:tcPr>
            <w:tcW w:w="962" w:type="dxa"/>
            <w:tcBorders>
              <w:top w:val="nil"/>
            </w:tcBorders>
            <w:shd w:val="clear" w:color="auto" w:fill="auto"/>
            <w:noWrap/>
            <w:vAlign w:val="center"/>
          </w:tcPr>
          <w:p w:rsidR="0002415A" w:rsidRPr="0002415A" w:rsidRDefault="0002415A" w:rsidP="00520971">
            <w:pPr>
              <w:spacing w:before="100" w:beforeAutospacing="1" w:after="100" w:afterAutospacing="1"/>
              <w:jc w:val="right"/>
              <w:rPr>
                <w:rFonts w:eastAsia="Times New Roman" w:cs="Calibri"/>
                <w:color w:val="852010"/>
                <w:spacing w:val="5"/>
                <w:kern w:val="28"/>
                <w:sz w:val="20"/>
                <w:szCs w:val="20"/>
                <w:lang w:eastAsia="en-GB"/>
              </w:rPr>
            </w:pPr>
            <w:r w:rsidRPr="0002415A">
              <w:rPr>
                <w:rFonts w:eastAsia="Times New Roman" w:cs="Calibri"/>
                <w:sz w:val="20"/>
                <w:szCs w:val="20"/>
                <w:lang w:val="en-US" w:eastAsia="en-GB"/>
              </w:rPr>
              <w:t xml:space="preserve">  </w:t>
            </w:r>
            <w:r w:rsidRPr="0002415A">
              <w:rPr>
                <w:rFonts w:eastAsia="Times New Roman" w:cs="Calibri"/>
                <w:sz w:val="20"/>
                <w:szCs w:val="20"/>
                <w:lang w:eastAsia="en-GB"/>
              </w:rPr>
              <w:t xml:space="preserve">109 695     </w:t>
            </w:r>
          </w:p>
        </w:tc>
        <w:tc>
          <w:tcPr>
            <w:tcW w:w="885" w:type="dxa"/>
            <w:tcBorders>
              <w:top w:val="nil"/>
            </w:tcBorders>
            <w:shd w:val="clear" w:color="auto" w:fill="F2F2F2"/>
            <w:noWrap/>
            <w:vAlign w:val="center"/>
          </w:tcPr>
          <w:p w:rsidR="0002415A" w:rsidRPr="0002415A" w:rsidRDefault="0002415A" w:rsidP="00520971">
            <w:pPr>
              <w:spacing w:before="100" w:beforeAutospacing="1" w:after="100" w:afterAutospacing="1"/>
              <w:ind w:leftChars="-160" w:left="-384"/>
              <w:jc w:val="right"/>
              <w:rPr>
                <w:rFonts w:eastAsia="Times New Roman" w:cs="Calibri"/>
                <w:color w:val="852010"/>
                <w:spacing w:val="5"/>
                <w:kern w:val="28"/>
                <w:sz w:val="20"/>
                <w:szCs w:val="20"/>
                <w:lang w:eastAsia="en-GB"/>
              </w:rPr>
            </w:pPr>
            <w:r w:rsidRPr="0002415A">
              <w:rPr>
                <w:rFonts w:eastAsia="Times New Roman" w:cs="Calibri"/>
                <w:sz w:val="20"/>
                <w:szCs w:val="20"/>
                <w:lang w:eastAsia="en-GB"/>
              </w:rPr>
              <w:t xml:space="preserve">      </w:t>
            </w:r>
            <w:r w:rsidRPr="0002415A">
              <w:rPr>
                <w:rFonts w:eastAsia="Times New Roman" w:cs="Calibri"/>
                <w:sz w:val="20"/>
                <w:szCs w:val="20"/>
                <w:lang w:val="en-US" w:eastAsia="en-GB"/>
              </w:rPr>
              <w:t xml:space="preserve">  </w:t>
            </w:r>
            <w:r w:rsidRPr="0002415A">
              <w:rPr>
                <w:rFonts w:eastAsia="Times New Roman" w:cs="Calibri"/>
                <w:sz w:val="20"/>
                <w:szCs w:val="20"/>
                <w:lang w:eastAsia="en-GB"/>
              </w:rPr>
              <w:t>118 625</w:t>
            </w:r>
          </w:p>
        </w:tc>
        <w:tc>
          <w:tcPr>
            <w:tcW w:w="903" w:type="dxa"/>
            <w:tcBorders>
              <w:top w:val="nil"/>
            </w:tcBorders>
            <w:shd w:val="clear" w:color="auto" w:fill="F2F2F2"/>
            <w:noWrap/>
            <w:vAlign w:val="center"/>
          </w:tcPr>
          <w:p w:rsidR="0002415A" w:rsidRPr="0002415A" w:rsidRDefault="0002415A" w:rsidP="00520971">
            <w:pPr>
              <w:spacing w:before="100" w:beforeAutospacing="1" w:after="100" w:afterAutospacing="1"/>
              <w:ind w:leftChars="-160" w:left="-384"/>
              <w:jc w:val="right"/>
              <w:rPr>
                <w:rFonts w:eastAsia="Times New Roman" w:cs="Calibri"/>
                <w:color w:val="852010"/>
                <w:spacing w:val="5"/>
                <w:kern w:val="28"/>
                <w:sz w:val="20"/>
                <w:szCs w:val="20"/>
                <w:lang w:eastAsia="en-GB"/>
              </w:rPr>
            </w:pPr>
            <w:r w:rsidRPr="0002415A">
              <w:rPr>
                <w:rFonts w:eastAsia="Times New Roman" w:cs="Calibri"/>
                <w:sz w:val="20"/>
                <w:szCs w:val="20"/>
                <w:lang w:eastAsia="en-GB"/>
              </w:rPr>
              <w:t xml:space="preserve">  </w:t>
            </w:r>
            <w:r w:rsidRPr="0002415A">
              <w:rPr>
                <w:rFonts w:eastAsia="Times New Roman" w:cs="Calibri"/>
                <w:sz w:val="20"/>
                <w:szCs w:val="20"/>
                <w:lang w:val="en-US" w:eastAsia="en-GB"/>
              </w:rPr>
              <w:t xml:space="preserve">      </w:t>
            </w:r>
            <w:r w:rsidRPr="0002415A">
              <w:rPr>
                <w:rFonts w:eastAsia="Times New Roman" w:cs="Calibri"/>
                <w:sz w:val="20"/>
                <w:szCs w:val="20"/>
                <w:lang w:eastAsia="en-GB"/>
              </w:rPr>
              <w:t>126 769</w:t>
            </w:r>
          </w:p>
        </w:tc>
        <w:tc>
          <w:tcPr>
            <w:tcW w:w="1247" w:type="dxa"/>
            <w:tcBorders>
              <w:top w:val="nil"/>
            </w:tcBorders>
            <w:shd w:val="clear" w:color="auto" w:fill="F2F2F2"/>
            <w:noWrap/>
            <w:vAlign w:val="center"/>
          </w:tcPr>
          <w:p w:rsidR="0002415A" w:rsidRPr="0002415A" w:rsidRDefault="0002415A" w:rsidP="00520971">
            <w:pPr>
              <w:spacing w:before="100" w:beforeAutospacing="1" w:after="100" w:afterAutospacing="1"/>
              <w:ind w:leftChars="-160" w:left="-384"/>
              <w:jc w:val="right"/>
              <w:rPr>
                <w:rFonts w:eastAsia="Times New Roman" w:cs="Calibri"/>
                <w:color w:val="852010"/>
                <w:spacing w:val="5"/>
                <w:kern w:val="28"/>
                <w:sz w:val="20"/>
                <w:szCs w:val="20"/>
                <w:lang w:eastAsia="en-GB"/>
              </w:rPr>
            </w:pPr>
            <w:r w:rsidRPr="0002415A">
              <w:rPr>
                <w:rFonts w:eastAsia="Times New Roman" w:cs="Calibri"/>
                <w:sz w:val="20"/>
                <w:szCs w:val="20"/>
                <w:lang w:eastAsia="en-GB"/>
              </w:rPr>
              <w:t xml:space="preserve">   </w:t>
            </w:r>
            <w:r w:rsidRPr="0002415A">
              <w:rPr>
                <w:rFonts w:eastAsia="Times New Roman" w:cs="Calibri"/>
                <w:sz w:val="20"/>
                <w:szCs w:val="20"/>
                <w:lang w:val="en-US" w:eastAsia="en-GB"/>
              </w:rPr>
              <w:t xml:space="preserve">       </w:t>
            </w:r>
            <w:r w:rsidRPr="0002415A">
              <w:rPr>
                <w:rFonts w:eastAsia="Times New Roman" w:cs="Calibri"/>
                <w:sz w:val="20"/>
                <w:szCs w:val="20"/>
                <w:lang w:eastAsia="en-GB"/>
              </w:rPr>
              <w:t>134 915</w:t>
            </w:r>
          </w:p>
        </w:tc>
        <w:tc>
          <w:tcPr>
            <w:tcW w:w="962" w:type="dxa"/>
            <w:tcBorders>
              <w:top w:val="nil"/>
            </w:tcBorders>
            <w:shd w:val="clear" w:color="auto" w:fill="F2F2F2"/>
            <w:noWrap/>
            <w:vAlign w:val="center"/>
          </w:tcPr>
          <w:p w:rsidR="0002415A" w:rsidRPr="0002415A" w:rsidRDefault="0002415A" w:rsidP="00520971">
            <w:pPr>
              <w:spacing w:before="100" w:beforeAutospacing="1" w:after="100" w:afterAutospacing="1"/>
              <w:jc w:val="right"/>
              <w:rPr>
                <w:rFonts w:eastAsia="Times New Roman" w:cs="Calibri"/>
                <w:color w:val="852010"/>
                <w:spacing w:val="5"/>
                <w:kern w:val="28"/>
                <w:sz w:val="20"/>
                <w:szCs w:val="20"/>
                <w:lang w:eastAsia="en-GB"/>
              </w:rPr>
            </w:pPr>
            <w:r w:rsidRPr="0002415A">
              <w:rPr>
                <w:rFonts w:eastAsia="Times New Roman" w:cs="Calibri"/>
                <w:sz w:val="20"/>
                <w:szCs w:val="20"/>
                <w:lang w:val="en-US" w:eastAsia="en-GB"/>
              </w:rPr>
              <w:t xml:space="preserve">  </w:t>
            </w:r>
            <w:r w:rsidRPr="0002415A">
              <w:rPr>
                <w:rFonts w:eastAsia="Times New Roman" w:cs="Calibri"/>
                <w:sz w:val="20"/>
                <w:szCs w:val="20"/>
                <w:lang w:eastAsia="en-GB"/>
              </w:rPr>
              <w:t>143 355</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val="en-US" w:eastAsia="en-GB"/>
              </w:rPr>
            </w:pPr>
            <w:r w:rsidRPr="0002415A">
              <w:rPr>
                <w:rFonts w:eastAsia="Times New Roman" w:cs="Times New Roman"/>
                <w:bCs/>
                <w:color w:val="373737"/>
                <w:sz w:val="20"/>
                <w:szCs w:val="20"/>
                <w:lang w:eastAsia="en-GB"/>
              </w:rPr>
              <w:t>БВП (реален растеж, %)</w:t>
            </w:r>
            <w:r w:rsidRPr="0002415A">
              <w:rPr>
                <w:rFonts w:eastAsia="Times New Roman" w:cs="Times New Roman"/>
                <w:bCs/>
                <w:color w:val="373737"/>
                <w:sz w:val="20"/>
                <w:szCs w:val="20"/>
                <w:lang w:val="en-US" w:eastAsia="en-GB"/>
              </w:rPr>
              <w:t xml:space="preserve">                       </w:t>
            </w:r>
          </w:p>
        </w:tc>
        <w:tc>
          <w:tcPr>
            <w:tcW w:w="964"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Calibri" w:cs="Calibri"/>
                <w:sz w:val="20"/>
                <w:lang w:val="en-US"/>
              </w:rPr>
              <w:t xml:space="preserve">     </w:t>
            </w:r>
            <w:r>
              <w:rPr>
                <w:rFonts w:eastAsia="Times New Roman" w:cs="Calibri"/>
                <w:sz w:val="20"/>
                <w:szCs w:val="20"/>
                <w:lang w:eastAsia="en-GB"/>
              </w:rPr>
              <w:t>3,</w:t>
            </w:r>
            <w:r w:rsidRPr="0002415A">
              <w:rPr>
                <w:rFonts w:eastAsia="Times New Roman" w:cs="Calibri"/>
                <w:sz w:val="20"/>
                <w:szCs w:val="20"/>
                <w:lang w:eastAsia="en-GB"/>
              </w:rPr>
              <w:t>5</w:t>
            </w:r>
            <w:r w:rsidRPr="0002415A">
              <w:rPr>
                <w:rFonts w:eastAsia="Calibri" w:cs="Calibri"/>
                <w:sz w:val="20"/>
                <w:lang w:val="en-US"/>
              </w:rPr>
              <w:t xml:space="preserve">             </w:t>
            </w:r>
          </w:p>
        </w:tc>
        <w:tc>
          <w:tcPr>
            <w:tcW w:w="962"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Calibri" w:cs="Calibri"/>
                <w:sz w:val="20"/>
                <w:lang w:val="en-US"/>
              </w:rPr>
              <w:t xml:space="preserve">     </w:t>
            </w:r>
            <w:r>
              <w:rPr>
                <w:rFonts w:eastAsia="Times New Roman" w:cs="Calibri"/>
                <w:sz w:val="20"/>
                <w:szCs w:val="20"/>
                <w:lang w:eastAsia="en-GB"/>
              </w:rPr>
              <w:t>3,</w:t>
            </w:r>
            <w:r w:rsidRPr="0002415A">
              <w:rPr>
                <w:rFonts w:eastAsia="Times New Roman" w:cs="Calibri"/>
                <w:sz w:val="20"/>
                <w:szCs w:val="20"/>
                <w:lang w:eastAsia="en-GB"/>
              </w:rPr>
              <w:t>1</w:t>
            </w:r>
            <w:r w:rsidRPr="0002415A">
              <w:rPr>
                <w:rFonts w:eastAsia="Calibri" w:cs="Calibri"/>
                <w:sz w:val="20"/>
                <w:lang w:val="en-US"/>
              </w:rPr>
              <w:t xml:space="preserve">          </w:t>
            </w:r>
          </w:p>
        </w:tc>
        <w:tc>
          <w:tcPr>
            <w:tcW w:w="885"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val="en-US" w:eastAsia="en-GB"/>
              </w:rPr>
            </w:pPr>
            <w:r w:rsidRPr="0002415A">
              <w:rPr>
                <w:rFonts w:eastAsia="Times New Roman" w:cs="Calibri"/>
                <w:sz w:val="20"/>
                <w:szCs w:val="20"/>
                <w:lang w:eastAsia="en-GB"/>
              </w:rPr>
              <w:t xml:space="preserve">   </w:t>
            </w:r>
            <w:r>
              <w:rPr>
                <w:rFonts w:eastAsia="Times New Roman" w:cs="Calibri"/>
                <w:sz w:val="20"/>
                <w:szCs w:val="20"/>
                <w:lang w:eastAsia="en-GB"/>
              </w:rPr>
              <w:t>3,</w:t>
            </w:r>
            <w:r w:rsidRPr="0002415A">
              <w:rPr>
                <w:rFonts w:eastAsia="Times New Roman" w:cs="Calibri"/>
                <w:sz w:val="20"/>
                <w:szCs w:val="20"/>
                <w:lang w:eastAsia="en-GB"/>
              </w:rPr>
              <w:t>4</w:t>
            </w:r>
            <w:r w:rsidRPr="0002415A">
              <w:rPr>
                <w:rFonts w:eastAsia="Times New Roman" w:cs="Calibri"/>
                <w:sz w:val="20"/>
                <w:szCs w:val="20"/>
                <w:lang w:val="en-US" w:eastAsia="en-GB"/>
              </w:rPr>
              <w:t xml:space="preserve">             </w:t>
            </w:r>
          </w:p>
        </w:tc>
        <w:tc>
          <w:tcPr>
            <w:tcW w:w="903"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Pr>
                <w:rFonts w:eastAsia="Calibri" w:cs="Calibri"/>
                <w:sz w:val="20"/>
              </w:rPr>
              <w:t>3,</w:t>
            </w:r>
            <w:r w:rsidRPr="0002415A">
              <w:rPr>
                <w:rFonts w:eastAsia="Calibri" w:cs="Calibri"/>
                <w:sz w:val="20"/>
              </w:rPr>
              <w:t>3</w:t>
            </w:r>
            <w:r w:rsidRPr="0002415A">
              <w:rPr>
                <w:rFonts w:eastAsia="Calibri" w:cs="Calibri"/>
                <w:sz w:val="20"/>
                <w:lang w:val="en-US"/>
              </w:rPr>
              <w:t xml:space="preserve">           </w:t>
            </w:r>
          </w:p>
        </w:tc>
        <w:tc>
          <w:tcPr>
            <w:tcW w:w="1247"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val="en-US" w:eastAsia="en-GB"/>
              </w:rPr>
            </w:pPr>
            <w:r w:rsidRPr="0002415A">
              <w:rPr>
                <w:rFonts w:eastAsia="Times New Roman" w:cs="Calibri"/>
                <w:sz w:val="20"/>
                <w:szCs w:val="20"/>
                <w:lang w:eastAsia="en-GB"/>
              </w:rPr>
              <w:t xml:space="preserve">  </w:t>
            </w:r>
            <w:r>
              <w:rPr>
                <w:rFonts w:eastAsia="Times New Roman" w:cs="Calibri"/>
                <w:sz w:val="20"/>
                <w:szCs w:val="20"/>
                <w:lang w:eastAsia="en-GB"/>
              </w:rPr>
              <w:t>3,</w:t>
            </w:r>
            <w:r w:rsidRPr="0002415A">
              <w:rPr>
                <w:rFonts w:eastAsia="Times New Roman" w:cs="Calibri"/>
                <w:sz w:val="20"/>
                <w:szCs w:val="20"/>
                <w:lang w:eastAsia="en-GB"/>
              </w:rPr>
              <w:t>3</w:t>
            </w:r>
            <w:r w:rsidRPr="0002415A">
              <w:rPr>
                <w:rFonts w:eastAsia="Times New Roman" w:cs="Calibri"/>
                <w:sz w:val="20"/>
                <w:szCs w:val="20"/>
                <w:lang w:val="en-US" w:eastAsia="en-GB"/>
              </w:rPr>
              <w:t xml:space="preserve">                  </w:t>
            </w:r>
          </w:p>
        </w:tc>
        <w:tc>
          <w:tcPr>
            <w:tcW w:w="962"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3,</w:t>
            </w:r>
            <w:r w:rsidRPr="0002415A">
              <w:rPr>
                <w:rFonts w:eastAsia="Times New Roman" w:cs="Calibri"/>
                <w:sz w:val="20"/>
                <w:szCs w:val="20"/>
                <w:lang w:eastAsia="en-GB"/>
              </w:rPr>
              <w:t>3</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eastAsia="en-GB"/>
              </w:rPr>
            </w:pPr>
            <w:r w:rsidRPr="0002415A">
              <w:rPr>
                <w:rFonts w:eastAsia="Times New Roman" w:cs="Times New Roman"/>
                <w:bCs/>
                <w:color w:val="373737"/>
                <w:sz w:val="20"/>
                <w:szCs w:val="20"/>
                <w:lang w:eastAsia="en-GB"/>
              </w:rPr>
              <w:t>Потребление</w:t>
            </w:r>
          </w:p>
        </w:tc>
        <w:tc>
          <w:tcPr>
            <w:tcW w:w="964"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3,</w:t>
            </w:r>
            <w:r w:rsidRPr="0002415A">
              <w:rPr>
                <w:rFonts w:eastAsia="Times New Roman" w:cs="Calibri"/>
                <w:sz w:val="20"/>
                <w:szCs w:val="20"/>
                <w:lang w:eastAsia="en-GB"/>
              </w:rPr>
              <w:t xml:space="preserve">9                    </w:t>
            </w:r>
          </w:p>
        </w:tc>
        <w:tc>
          <w:tcPr>
            <w:tcW w:w="962"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4,</w:t>
            </w:r>
            <w:r w:rsidRPr="0002415A">
              <w:rPr>
                <w:rFonts w:eastAsia="Times New Roman" w:cs="Calibri"/>
                <w:sz w:val="20"/>
                <w:szCs w:val="20"/>
                <w:lang w:eastAsia="en-GB"/>
              </w:rPr>
              <w:t xml:space="preserve">6         </w:t>
            </w:r>
          </w:p>
        </w:tc>
        <w:tc>
          <w:tcPr>
            <w:tcW w:w="885"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Times New Roman" w:cs="Calibri"/>
                <w:sz w:val="20"/>
                <w:szCs w:val="20"/>
                <w:lang w:eastAsia="en-GB"/>
              </w:rPr>
              <w:t xml:space="preserve">   </w:t>
            </w:r>
            <w:r>
              <w:rPr>
                <w:rFonts w:eastAsia="Times New Roman" w:cs="Calibri"/>
                <w:sz w:val="20"/>
                <w:szCs w:val="20"/>
                <w:lang w:eastAsia="en-GB"/>
              </w:rPr>
              <w:t>5,</w:t>
            </w:r>
            <w:r w:rsidRPr="0002415A">
              <w:rPr>
                <w:rFonts w:eastAsia="Times New Roman" w:cs="Calibri"/>
                <w:sz w:val="20"/>
                <w:szCs w:val="20"/>
                <w:lang w:eastAsia="en-GB"/>
              </w:rPr>
              <w:t>7</w:t>
            </w:r>
            <w:r w:rsidRPr="0002415A">
              <w:rPr>
                <w:rFonts w:eastAsia="Calibri" w:cs="Calibri"/>
                <w:sz w:val="20"/>
                <w:lang w:val="en-US"/>
              </w:rPr>
              <w:t xml:space="preserve">          </w:t>
            </w:r>
          </w:p>
        </w:tc>
        <w:tc>
          <w:tcPr>
            <w:tcW w:w="903"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Pr>
                <w:rFonts w:eastAsia="Times New Roman" w:cs="Calibri"/>
                <w:sz w:val="20"/>
                <w:szCs w:val="20"/>
                <w:lang w:eastAsia="en-GB"/>
              </w:rPr>
              <w:t>5,</w:t>
            </w:r>
            <w:r w:rsidRPr="0002415A">
              <w:rPr>
                <w:rFonts w:eastAsia="Times New Roman" w:cs="Calibri"/>
                <w:sz w:val="20"/>
                <w:szCs w:val="20"/>
                <w:lang w:eastAsia="en-GB"/>
              </w:rPr>
              <w:t>2</w:t>
            </w:r>
            <w:r w:rsidRPr="0002415A">
              <w:rPr>
                <w:rFonts w:eastAsia="Calibri" w:cs="Calibri"/>
                <w:sz w:val="20"/>
                <w:lang w:val="en-US"/>
              </w:rPr>
              <w:t xml:space="preserve">           </w:t>
            </w:r>
          </w:p>
        </w:tc>
        <w:tc>
          <w:tcPr>
            <w:tcW w:w="1247"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Times New Roman" w:cs="Calibri"/>
                <w:sz w:val="20"/>
                <w:szCs w:val="20"/>
                <w:lang w:eastAsia="en-GB"/>
              </w:rPr>
              <w:t xml:space="preserve">  </w:t>
            </w:r>
            <w:r>
              <w:rPr>
                <w:rFonts w:eastAsia="Times New Roman" w:cs="Calibri"/>
                <w:sz w:val="20"/>
                <w:szCs w:val="20"/>
                <w:lang w:eastAsia="en-GB"/>
              </w:rPr>
              <w:t>4,</w:t>
            </w:r>
            <w:r w:rsidRPr="0002415A">
              <w:rPr>
                <w:rFonts w:eastAsia="Times New Roman" w:cs="Calibri"/>
                <w:sz w:val="20"/>
                <w:szCs w:val="20"/>
                <w:lang w:eastAsia="en-GB"/>
              </w:rPr>
              <w:t>5</w:t>
            </w:r>
            <w:r w:rsidRPr="0002415A">
              <w:rPr>
                <w:rFonts w:eastAsia="Calibri" w:cs="Calibri"/>
                <w:sz w:val="20"/>
                <w:lang w:val="en-US"/>
              </w:rPr>
              <w:t xml:space="preserve">            </w:t>
            </w:r>
          </w:p>
        </w:tc>
        <w:tc>
          <w:tcPr>
            <w:tcW w:w="962"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val="en-US" w:eastAsia="en-GB"/>
              </w:rPr>
              <w:t xml:space="preserve">     </w:t>
            </w:r>
            <w:r>
              <w:rPr>
                <w:rFonts w:eastAsia="Times New Roman" w:cs="Calibri"/>
                <w:sz w:val="20"/>
                <w:szCs w:val="20"/>
                <w:lang w:eastAsia="en-GB"/>
              </w:rPr>
              <w:t>3,</w:t>
            </w:r>
            <w:r w:rsidRPr="0002415A">
              <w:rPr>
                <w:rFonts w:eastAsia="Times New Roman" w:cs="Calibri"/>
                <w:sz w:val="20"/>
                <w:szCs w:val="20"/>
                <w:lang w:eastAsia="en-GB"/>
              </w:rPr>
              <w:t>7</w:t>
            </w:r>
          </w:p>
        </w:tc>
      </w:tr>
      <w:tr w:rsidR="0002415A" w:rsidRPr="0002415A" w:rsidTr="00167302">
        <w:trPr>
          <w:trHeight w:val="20"/>
          <w:jc w:val="center"/>
        </w:trPr>
        <w:tc>
          <w:tcPr>
            <w:tcW w:w="3147" w:type="dxa"/>
            <w:shd w:val="clear" w:color="auto" w:fill="auto"/>
            <w:vAlign w:val="center"/>
            <w:hideMark/>
          </w:tcPr>
          <w:p w:rsidR="0002415A" w:rsidRPr="007D6981" w:rsidRDefault="0002415A" w:rsidP="0002415A">
            <w:pPr>
              <w:spacing w:before="40" w:after="40"/>
              <w:ind w:left="283"/>
              <w:jc w:val="left"/>
              <w:rPr>
                <w:rFonts w:eastAsia="Times New Roman" w:cs="Times New Roman"/>
                <w:bCs/>
                <w:color w:val="373737"/>
                <w:sz w:val="20"/>
                <w:szCs w:val="20"/>
                <w:lang w:val="ru-RU" w:eastAsia="en-GB"/>
              </w:rPr>
            </w:pPr>
            <w:r w:rsidRPr="0002415A">
              <w:rPr>
                <w:rFonts w:eastAsia="Times New Roman" w:cs="Times New Roman"/>
                <w:bCs/>
                <w:color w:val="373737"/>
                <w:sz w:val="20"/>
                <w:szCs w:val="20"/>
                <w:lang w:eastAsia="en-GB"/>
              </w:rPr>
              <w:t>Бруто-образуване на основен капитал</w:t>
            </w:r>
            <w:r w:rsidRPr="007D6981">
              <w:rPr>
                <w:rFonts w:eastAsia="Times New Roman" w:cs="Times New Roman"/>
                <w:bCs/>
                <w:color w:val="373737"/>
                <w:sz w:val="20"/>
                <w:szCs w:val="20"/>
                <w:lang w:val="ru-RU" w:eastAsia="en-GB"/>
              </w:rPr>
              <w:t xml:space="preserve">                                                                                         </w:t>
            </w:r>
          </w:p>
        </w:tc>
        <w:tc>
          <w:tcPr>
            <w:tcW w:w="964"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3,</w:t>
            </w:r>
            <w:r w:rsidRPr="0002415A">
              <w:rPr>
                <w:rFonts w:eastAsia="Times New Roman" w:cs="Calibri"/>
                <w:sz w:val="20"/>
                <w:szCs w:val="20"/>
                <w:lang w:eastAsia="en-GB"/>
              </w:rPr>
              <w:t xml:space="preserve">2          </w:t>
            </w:r>
          </w:p>
        </w:tc>
        <w:tc>
          <w:tcPr>
            <w:tcW w:w="962"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5,</w:t>
            </w:r>
            <w:r w:rsidRPr="0002415A">
              <w:rPr>
                <w:rFonts w:eastAsia="Times New Roman" w:cs="Calibri"/>
                <w:sz w:val="20"/>
                <w:szCs w:val="20"/>
                <w:lang w:eastAsia="en-GB"/>
              </w:rPr>
              <w:t xml:space="preserve">4            </w:t>
            </w:r>
          </w:p>
        </w:tc>
        <w:tc>
          <w:tcPr>
            <w:tcW w:w="885"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Calibri" w:cs="Calibri"/>
                <w:sz w:val="20"/>
                <w:lang w:val="en-US"/>
              </w:rPr>
              <w:t xml:space="preserve">   </w:t>
            </w:r>
            <w:r>
              <w:rPr>
                <w:rFonts w:eastAsia="Times New Roman" w:cs="Calibri"/>
                <w:sz w:val="20"/>
                <w:szCs w:val="20"/>
                <w:lang w:eastAsia="en-GB"/>
              </w:rPr>
              <w:t>1,</w:t>
            </w:r>
            <w:r w:rsidRPr="0002415A">
              <w:rPr>
                <w:rFonts w:eastAsia="Times New Roman" w:cs="Calibri"/>
                <w:sz w:val="20"/>
                <w:szCs w:val="20"/>
                <w:lang w:eastAsia="en-GB"/>
              </w:rPr>
              <w:t>9</w:t>
            </w:r>
            <w:r w:rsidRPr="0002415A">
              <w:rPr>
                <w:rFonts w:eastAsia="Calibri" w:cs="Calibri"/>
                <w:sz w:val="20"/>
                <w:lang w:val="en-US"/>
              </w:rPr>
              <w:t xml:space="preserve">          </w:t>
            </w:r>
          </w:p>
        </w:tc>
        <w:tc>
          <w:tcPr>
            <w:tcW w:w="903"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Pr>
                <w:rFonts w:eastAsia="Times New Roman" w:cs="Calibri"/>
                <w:sz w:val="20"/>
                <w:szCs w:val="20"/>
                <w:lang w:eastAsia="en-GB"/>
              </w:rPr>
              <w:t>3,</w:t>
            </w:r>
            <w:r w:rsidRPr="0002415A">
              <w:rPr>
                <w:rFonts w:eastAsia="Times New Roman" w:cs="Calibri"/>
                <w:sz w:val="20"/>
                <w:szCs w:val="20"/>
                <w:lang w:eastAsia="en-GB"/>
              </w:rPr>
              <w:t>9</w:t>
            </w:r>
            <w:r w:rsidRPr="0002415A">
              <w:rPr>
                <w:rFonts w:eastAsia="Calibri" w:cs="Calibri"/>
                <w:sz w:val="20"/>
                <w:lang w:val="en-US"/>
              </w:rPr>
              <w:t xml:space="preserve">            </w:t>
            </w:r>
          </w:p>
        </w:tc>
        <w:tc>
          <w:tcPr>
            <w:tcW w:w="1247"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Calibri" w:cs="Calibri"/>
                <w:sz w:val="20"/>
                <w:lang w:val="en-US"/>
              </w:rPr>
              <w:t xml:space="preserve">  </w:t>
            </w:r>
            <w:r>
              <w:rPr>
                <w:rFonts w:eastAsia="Times New Roman" w:cs="Calibri"/>
                <w:sz w:val="20"/>
                <w:szCs w:val="20"/>
                <w:lang w:eastAsia="en-GB"/>
              </w:rPr>
              <w:t>3,</w:t>
            </w:r>
            <w:r w:rsidRPr="0002415A">
              <w:rPr>
                <w:rFonts w:eastAsia="Times New Roman" w:cs="Calibri"/>
                <w:sz w:val="20"/>
                <w:szCs w:val="20"/>
                <w:lang w:eastAsia="en-GB"/>
              </w:rPr>
              <w:t>7</w:t>
            </w:r>
            <w:r w:rsidRPr="0002415A">
              <w:rPr>
                <w:rFonts w:eastAsia="Calibri" w:cs="Calibri"/>
                <w:sz w:val="20"/>
                <w:lang w:val="en-US"/>
              </w:rPr>
              <w:t xml:space="preserve">           </w:t>
            </w:r>
          </w:p>
        </w:tc>
        <w:tc>
          <w:tcPr>
            <w:tcW w:w="962"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5,</w:t>
            </w:r>
            <w:r w:rsidRPr="0002415A">
              <w:rPr>
                <w:rFonts w:eastAsia="Times New Roman" w:cs="Calibri"/>
                <w:sz w:val="20"/>
                <w:szCs w:val="20"/>
                <w:lang w:eastAsia="en-GB"/>
              </w:rPr>
              <w:t>8</w:t>
            </w:r>
          </w:p>
        </w:tc>
      </w:tr>
      <w:tr w:rsidR="0002415A" w:rsidRPr="0002415A" w:rsidTr="00167302">
        <w:trPr>
          <w:trHeight w:val="20"/>
          <w:jc w:val="center"/>
        </w:trPr>
        <w:tc>
          <w:tcPr>
            <w:tcW w:w="3147" w:type="dxa"/>
            <w:shd w:val="clear" w:color="auto" w:fill="auto"/>
            <w:noWrap/>
            <w:vAlign w:val="center"/>
            <w:hideMark/>
          </w:tcPr>
          <w:p w:rsidR="0002415A" w:rsidRPr="007D6981" w:rsidRDefault="0002415A" w:rsidP="0002415A">
            <w:pPr>
              <w:spacing w:before="40" w:after="40"/>
              <w:ind w:left="283"/>
              <w:jc w:val="left"/>
              <w:rPr>
                <w:rFonts w:eastAsia="Times New Roman" w:cs="Times New Roman"/>
                <w:bCs/>
                <w:color w:val="373737"/>
                <w:sz w:val="20"/>
                <w:szCs w:val="20"/>
                <w:lang w:val="ru-RU" w:eastAsia="en-GB"/>
              </w:rPr>
            </w:pPr>
            <w:r w:rsidRPr="0002415A">
              <w:rPr>
                <w:rFonts w:eastAsia="Times New Roman" w:cs="Times New Roman"/>
                <w:bCs/>
                <w:color w:val="373737"/>
                <w:sz w:val="20"/>
                <w:szCs w:val="20"/>
                <w:lang w:eastAsia="en-GB"/>
              </w:rPr>
              <w:t>Износ на стоки и услуги</w:t>
            </w:r>
            <w:r w:rsidRPr="007D6981">
              <w:rPr>
                <w:rFonts w:eastAsia="Times New Roman" w:cs="Times New Roman"/>
                <w:bCs/>
                <w:color w:val="373737"/>
                <w:sz w:val="20"/>
                <w:szCs w:val="20"/>
                <w:lang w:val="ru-RU" w:eastAsia="en-GB"/>
              </w:rPr>
              <w:t xml:space="preserve">                   </w:t>
            </w:r>
          </w:p>
        </w:tc>
        <w:tc>
          <w:tcPr>
            <w:tcW w:w="964"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5,</w:t>
            </w:r>
            <w:r w:rsidRPr="0002415A">
              <w:rPr>
                <w:rFonts w:eastAsia="Times New Roman" w:cs="Calibri"/>
                <w:sz w:val="20"/>
                <w:szCs w:val="20"/>
                <w:lang w:eastAsia="en-GB"/>
              </w:rPr>
              <w:t>8</w:t>
            </w:r>
          </w:p>
        </w:tc>
        <w:tc>
          <w:tcPr>
            <w:tcW w:w="962"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Calibri" w:cs="Calibri"/>
                <w:sz w:val="20"/>
                <w:lang w:val="en-US"/>
              </w:rPr>
              <w:t xml:space="preserve">  </w:t>
            </w:r>
            <w:r>
              <w:rPr>
                <w:rFonts w:eastAsia="Times New Roman" w:cs="Calibri"/>
                <w:sz w:val="20"/>
                <w:szCs w:val="20"/>
                <w:lang w:eastAsia="en-GB"/>
              </w:rPr>
              <w:t>1,</w:t>
            </w:r>
            <w:r w:rsidRPr="0002415A">
              <w:rPr>
                <w:rFonts w:eastAsia="Times New Roman" w:cs="Calibri"/>
                <w:sz w:val="20"/>
                <w:szCs w:val="20"/>
                <w:lang w:eastAsia="en-GB"/>
              </w:rPr>
              <w:t>7</w:t>
            </w:r>
            <w:r w:rsidRPr="0002415A">
              <w:rPr>
                <w:rFonts w:eastAsia="Calibri" w:cs="Calibri"/>
                <w:sz w:val="20"/>
                <w:lang w:val="en-US"/>
              </w:rPr>
              <w:t xml:space="preserve">        </w:t>
            </w:r>
          </w:p>
        </w:tc>
        <w:tc>
          <w:tcPr>
            <w:tcW w:w="885"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 </w:t>
            </w:r>
            <w:r>
              <w:rPr>
                <w:rFonts w:eastAsia="Times New Roman" w:cs="Calibri"/>
                <w:sz w:val="20"/>
                <w:szCs w:val="20"/>
                <w:lang w:eastAsia="en-GB"/>
              </w:rPr>
              <w:t>0,</w:t>
            </w:r>
            <w:r w:rsidRPr="0002415A">
              <w:rPr>
                <w:rFonts w:eastAsia="Times New Roman" w:cs="Calibri"/>
                <w:sz w:val="20"/>
                <w:szCs w:val="20"/>
                <w:lang w:eastAsia="en-GB"/>
              </w:rPr>
              <w:t xml:space="preserve">4           </w:t>
            </w:r>
          </w:p>
        </w:tc>
        <w:tc>
          <w:tcPr>
            <w:tcW w:w="903"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Calibri" w:cs="Calibri"/>
                <w:sz w:val="20"/>
                <w:lang w:val="en-US"/>
              </w:rPr>
              <w:t xml:space="preserve"> </w:t>
            </w:r>
            <w:r>
              <w:rPr>
                <w:rFonts w:eastAsia="Times New Roman" w:cs="Calibri"/>
                <w:sz w:val="20"/>
                <w:szCs w:val="20"/>
                <w:lang w:eastAsia="en-GB"/>
              </w:rPr>
              <w:t>2,</w:t>
            </w:r>
            <w:r w:rsidRPr="0002415A">
              <w:rPr>
                <w:rFonts w:eastAsia="Times New Roman" w:cs="Calibri"/>
                <w:sz w:val="20"/>
                <w:szCs w:val="20"/>
                <w:lang w:eastAsia="en-GB"/>
              </w:rPr>
              <w:t>3</w:t>
            </w:r>
            <w:r w:rsidRPr="0002415A">
              <w:rPr>
                <w:rFonts w:eastAsia="Calibri" w:cs="Calibri"/>
                <w:sz w:val="20"/>
                <w:lang w:val="en-US"/>
              </w:rPr>
              <w:t xml:space="preserve">         </w:t>
            </w:r>
          </w:p>
        </w:tc>
        <w:tc>
          <w:tcPr>
            <w:tcW w:w="1247"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Pr>
                <w:rFonts w:eastAsia="Times New Roman" w:cs="Calibri"/>
                <w:sz w:val="20"/>
                <w:szCs w:val="20"/>
                <w:lang w:eastAsia="en-GB"/>
              </w:rPr>
              <w:t>2,</w:t>
            </w:r>
            <w:r w:rsidRPr="0002415A">
              <w:rPr>
                <w:rFonts w:eastAsia="Times New Roman" w:cs="Calibri"/>
                <w:sz w:val="20"/>
                <w:szCs w:val="20"/>
                <w:lang w:eastAsia="en-GB"/>
              </w:rPr>
              <w:t>5</w:t>
            </w:r>
            <w:r w:rsidRPr="0002415A">
              <w:rPr>
                <w:rFonts w:eastAsia="Calibri" w:cs="Calibri"/>
                <w:sz w:val="20"/>
                <w:lang w:val="en-US"/>
              </w:rPr>
              <w:t xml:space="preserve">          </w:t>
            </w:r>
          </w:p>
        </w:tc>
        <w:tc>
          <w:tcPr>
            <w:tcW w:w="962"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rPr>
            </w:pPr>
            <w:r w:rsidRPr="0002415A">
              <w:rPr>
                <w:rFonts w:eastAsia="Times New Roman" w:cs="Calibri"/>
                <w:sz w:val="20"/>
                <w:szCs w:val="20"/>
                <w:lang w:eastAsia="en-GB"/>
              </w:rPr>
              <w:t xml:space="preserve">   </w:t>
            </w:r>
            <w:r>
              <w:rPr>
                <w:rFonts w:eastAsia="Times New Roman" w:cs="Calibri"/>
                <w:sz w:val="20"/>
                <w:szCs w:val="20"/>
                <w:lang w:eastAsia="en-GB"/>
              </w:rPr>
              <w:t>2,</w:t>
            </w:r>
            <w:r w:rsidRPr="0002415A">
              <w:rPr>
                <w:rFonts w:eastAsia="Times New Roman" w:cs="Calibri"/>
                <w:sz w:val="20"/>
                <w:szCs w:val="20"/>
                <w:lang w:eastAsia="en-GB"/>
              </w:rPr>
              <w:t>5</w:t>
            </w:r>
          </w:p>
        </w:tc>
      </w:tr>
      <w:tr w:rsidR="0002415A" w:rsidRPr="0002415A" w:rsidTr="00167302">
        <w:trPr>
          <w:trHeight w:val="20"/>
          <w:jc w:val="center"/>
        </w:trPr>
        <w:tc>
          <w:tcPr>
            <w:tcW w:w="3147" w:type="dxa"/>
            <w:shd w:val="clear" w:color="auto" w:fill="auto"/>
            <w:noWrap/>
            <w:vAlign w:val="center"/>
            <w:hideMark/>
          </w:tcPr>
          <w:p w:rsidR="0002415A" w:rsidRPr="007D6981" w:rsidRDefault="0002415A" w:rsidP="0002415A">
            <w:pPr>
              <w:spacing w:before="40" w:after="40"/>
              <w:ind w:left="283"/>
              <w:jc w:val="left"/>
              <w:rPr>
                <w:rFonts w:eastAsia="Times New Roman" w:cs="Times New Roman"/>
                <w:bCs/>
                <w:color w:val="373737"/>
                <w:sz w:val="20"/>
                <w:szCs w:val="20"/>
                <w:lang w:val="ru-RU" w:eastAsia="en-GB"/>
              </w:rPr>
            </w:pPr>
            <w:r w:rsidRPr="0002415A">
              <w:rPr>
                <w:rFonts w:eastAsia="Times New Roman" w:cs="Times New Roman"/>
                <w:bCs/>
                <w:color w:val="373737"/>
                <w:sz w:val="20"/>
                <w:szCs w:val="20"/>
                <w:lang w:eastAsia="en-GB"/>
              </w:rPr>
              <w:t>Внос на стоки и услуги</w:t>
            </w:r>
            <w:r w:rsidRPr="007D6981">
              <w:rPr>
                <w:rFonts w:eastAsia="Times New Roman" w:cs="Times New Roman"/>
                <w:bCs/>
                <w:color w:val="373737"/>
                <w:sz w:val="20"/>
                <w:szCs w:val="20"/>
                <w:lang w:val="ru-RU" w:eastAsia="en-GB"/>
              </w:rPr>
              <w:t xml:space="preserve">                         </w:t>
            </w:r>
          </w:p>
        </w:tc>
        <w:tc>
          <w:tcPr>
            <w:tcW w:w="964"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7,</w:t>
            </w:r>
            <w:r w:rsidRPr="0002415A">
              <w:rPr>
                <w:rFonts w:eastAsia="Times New Roman" w:cs="Calibri"/>
                <w:sz w:val="20"/>
                <w:szCs w:val="20"/>
                <w:lang w:eastAsia="en-GB"/>
              </w:rPr>
              <w:t xml:space="preserve">4            </w:t>
            </w:r>
          </w:p>
        </w:tc>
        <w:tc>
          <w:tcPr>
            <w:tcW w:w="962"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Calibri" w:cs="Calibri"/>
                <w:sz w:val="20"/>
                <w:lang w:val="en-US"/>
              </w:rPr>
              <w:t xml:space="preserve"> </w:t>
            </w:r>
            <w:r w:rsidRPr="0002415A">
              <w:rPr>
                <w:rFonts w:eastAsia="Times New Roman" w:cs="Calibri"/>
                <w:sz w:val="20"/>
                <w:szCs w:val="20"/>
                <w:lang w:eastAsia="en-GB"/>
              </w:rPr>
              <w:t>5</w:t>
            </w:r>
            <w:r>
              <w:rPr>
                <w:rFonts w:eastAsia="Times New Roman" w:cs="Calibri"/>
                <w:sz w:val="20"/>
                <w:szCs w:val="20"/>
                <w:lang w:eastAsia="en-GB"/>
              </w:rPr>
              <w:t>,</w:t>
            </w:r>
            <w:r w:rsidRPr="0002415A">
              <w:rPr>
                <w:rFonts w:eastAsia="Times New Roman" w:cs="Calibri"/>
                <w:sz w:val="20"/>
                <w:szCs w:val="20"/>
                <w:lang w:eastAsia="en-GB"/>
              </w:rPr>
              <w:t>7</w:t>
            </w:r>
            <w:r w:rsidRPr="0002415A">
              <w:rPr>
                <w:rFonts w:eastAsia="Calibri" w:cs="Calibri"/>
                <w:sz w:val="20"/>
                <w:lang w:val="en-US"/>
              </w:rPr>
              <w:t xml:space="preserve">        </w:t>
            </w:r>
          </w:p>
        </w:tc>
        <w:tc>
          <w:tcPr>
            <w:tcW w:w="885"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Pr>
                <w:rFonts w:eastAsia="Times New Roman" w:cs="Calibri"/>
                <w:sz w:val="20"/>
                <w:szCs w:val="20"/>
                <w:lang w:eastAsia="en-GB"/>
              </w:rPr>
              <w:t>0,</w:t>
            </w:r>
            <w:r w:rsidRPr="0002415A">
              <w:rPr>
                <w:rFonts w:eastAsia="Times New Roman" w:cs="Calibri"/>
                <w:sz w:val="20"/>
                <w:szCs w:val="20"/>
                <w:lang w:eastAsia="en-GB"/>
              </w:rPr>
              <w:t>2</w:t>
            </w:r>
            <w:r w:rsidRPr="0002415A">
              <w:rPr>
                <w:rFonts w:eastAsia="Calibri" w:cs="Calibri"/>
                <w:sz w:val="20"/>
                <w:lang w:val="en-US"/>
              </w:rPr>
              <w:t xml:space="preserve">          </w:t>
            </w:r>
          </w:p>
        </w:tc>
        <w:tc>
          <w:tcPr>
            <w:tcW w:w="903"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Times New Roman" w:cs="Calibri"/>
                <w:sz w:val="20"/>
                <w:szCs w:val="20"/>
                <w:lang w:eastAsia="en-GB"/>
              </w:rPr>
              <w:t xml:space="preserve"> </w:t>
            </w:r>
            <w:r>
              <w:rPr>
                <w:rFonts w:eastAsia="Times New Roman" w:cs="Calibri"/>
                <w:sz w:val="20"/>
                <w:szCs w:val="20"/>
                <w:lang w:eastAsia="en-GB"/>
              </w:rPr>
              <w:t>4,</w:t>
            </w:r>
            <w:r w:rsidRPr="0002415A">
              <w:rPr>
                <w:rFonts w:eastAsia="Times New Roman" w:cs="Calibri"/>
                <w:sz w:val="20"/>
                <w:szCs w:val="20"/>
                <w:lang w:eastAsia="en-GB"/>
              </w:rPr>
              <w:t>9</w:t>
            </w:r>
            <w:r w:rsidRPr="0002415A">
              <w:rPr>
                <w:rFonts w:eastAsia="Calibri" w:cs="Calibri"/>
                <w:sz w:val="20"/>
                <w:lang w:val="en-US"/>
              </w:rPr>
              <w:t xml:space="preserve">           </w:t>
            </w:r>
          </w:p>
        </w:tc>
        <w:tc>
          <w:tcPr>
            <w:tcW w:w="1247"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Pr>
                <w:rFonts w:eastAsia="Times New Roman" w:cs="Calibri"/>
                <w:sz w:val="20"/>
                <w:szCs w:val="20"/>
                <w:lang w:eastAsia="en-GB"/>
              </w:rPr>
              <w:t>4,</w:t>
            </w:r>
            <w:r w:rsidRPr="0002415A">
              <w:rPr>
                <w:rFonts w:eastAsia="Times New Roman" w:cs="Calibri"/>
                <w:sz w:val="20"/>
                <w:szCs w:val="20"/>
                <w:lang w:eastAsia="en-GB"/>
              </w:rPr>
              <w:t>2</w:t>
            </w:r>
            <w:r w:rsidRPr="0002415A">
              <w:rPr>
                <w:rFonts w:eastAsia="Calibri" w:cs="Calibri"/>
                <w:sz w:val="20"/>
                <w:lang w:val="en-US"/>
              </w:rPr>
              <w:t xml:space="preserve">        </w:t>
            </w:r>
          </w:p>
        </w:tc>
        <w:tc>
          <w:tcPr>
            <w:tcW w:w="962"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sidRPr="0002415A">
              <w:rPr>
                <w:rFonts w:eastAsia="Times New Roman" w:cs="Calibri"/>
                <w:sz w:val="20"/>
                <w:szCs w:val="20"/>
                <w:lang w:eastAsia="en-GB"/>
              </w:rPr>
              <w:t xml:space="preserve">   </w:t>
            </w:r>
            <w:r>
              <w:rPr>
                <w:rFonts w:eastAsia="Times New Roman" w:cs="Calibri"/>
                <w:sz w:val="20"/>
                <w:szCs w:val="20"/>
                <w:lang w:eastAsia="en-GB"/>
              </w:rPr>
              <w:t>3,</w:t>
            </w:r>
            <w:r w:rsidRPr="0002415A">
              <w:rPr>
                <w:rFonts w:eastAsia="Times New Roman" w:cs="Calibri"/>
                <w:sz w:val="20"/>
                <w:szCs w:val="20"/>
                <w:lang w:eastAsia="en-GB"/>
              </w:rPr>
              <w:t>8</w:t>
            </w:r>
          </w:p>
        </w:tc>
      </w:tr>
      <w:tr w:rsidR="0002415A" w:rsidRPr="0002415A" w:rsidTr="00167302">
        <w:trPr>
          <w:trHeight w:val="20"/>
          <w:jc w:val="center"/>
        </w:trPr>
        <w:tc>
          <w:tcPr>
            <w:tcW w:w="9070" w:type="dxa"/>
            <w:gridSpan w:val="7"/>
            <w:shd w:val="clear" w:color="auto" w:fill="auto"/>
            <w:noWrap/>
            <w:vAlign w:val="center"/>
            <w:hideMark/>
          </w:tcPr>
          <w:p w:rsidR="0002415A" w:rsidRPr="0002415A" w:rsidRDefault="0002415A" w:rsidP="0002415A">
            <w:pPr>
              <w:spacing w:before="40" w:after="40"/>
              <w:jc w:val="left"/>
              <w:rPr>
                <w:rFonts w:eastAsia="Times New Roman" w:cs="Times New Roman"/>
                <w:b/>
                <w:bCs/>
                <w:color w:val="373737"/>
                <w:sz w:val="20"/>
                <w:szCs w:val="20"/>
                <w:lang w:eastAsia="en-GB"/>
              </w:rPr>
            </w:pPr>
            <w:r w:rsidRPr="0002415A">
              <w:rPr>
                <w:rFonts w:eastAsia="Times New Roman" w:cs="Times New Roman"/>
                <w:b/>
                <w:bCs/>
                <w:color w:val="373737"/>
                <w:sz w:val="20"/>
                <w:szCs w:val="20"/>
                <w:lang w:eastAsia="en-GB"/>
              </w:rPr>
              <w:t>Пазар на труда и цени</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val="en-US" w:eastAsia="en-GB"/>
              </w:rPr>
            </w:pPr>
            <w:r w:rsidRPr="0002415A">
              <w:rPr>
                <w:rFonts w:eastAsia="Times New Roman" w:cs="Times New Roman"/>
                <w:bCs/>
                <w:color w:val="373737"/>
                <w:sz w:val="20"/>
                <w:szCs w:val="20"/>
                <w:lang w:eastAsia="en-GB"/>
              </w:rPr>
              <w:t>Заетост (СНС) (%)</w:t>
            </w:r>
            <w:r w:rsidRPr="0002415A">
              <w:rPr>
                <w:rFonts w:eastAsia="Times New Roman" w:cs="Times New Roman"/>
                <w:bCs/>
                <w:color w:val="373737"/>
                <w:sz w:val="20"/>
                <w:szCs w:val="20"/>
                <w:lang w:val="en-US" w:eastAsia="en-GB"/>
              </w:rPr>
              <w:t xml:space="preserve">                                 </w:t>
            </w:r>
          </w:p>
        </w:tc>
        <w:tc>
          <w:tcPr>
            <w:tcW w:w="964"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val="en-US" w:eastAsia="en-GB"/>
              </w:rPr>
            </w:pPr>
            <w:r w:rsidRPr="0002415A">
              <w:rPr>
                <w:rFonts w:eastAsia="Times New Roman" w:cs="Calibri"/>
                <w:sz w:val="20"/>
                <w:szCs w:val="20"/>
                <w:lang w:val="en-US" w:eastAsia="en-GB"/>
              </w:rPr>
              <w:t xml:space="preserve"> </w:t>
            </w:r>
            <w:r>
              <w:rPr>
                <w:rFonts w:eastAsia="Times New Roman" w:cs="Calibri"/>
                <w:sz w:val="20"/>
                <w:szCs w:val="20"/>
                <w:lang w:eastAsia="en-GB"/>
              </w:rPr>
              <w:t>1,</w:t>
            </w:r>
            <w:r w:rsidRPr="0002415A">
              <w:rPr>
                <w:rFonts w:eastAsia="Times New Roman" w:cs="Calibri"/>
                <w:sz w:val="20"/>
                <w:szCs w:val="20"/>
                <w:lang w:eastAsia="en-GB"/>
              </w:rPr>
              <w:t>8</w:t>
            </w:r>
            <w:r w:rsidRPr="0002415A">
              <w:rPr>
                <w:rFonts w:eastAsia="Times New Roman" w:cs="Calibri"/>
                <w:sz w:val="20"/>
                <w:szCs w:val="20"/>
                <w:lang w:val="en-US" w:eastAsia="en-GB"/>
              </w:rPr>
              <w:t xml:space="preserve">                  </w:t>
            </w:r>
          </w:p>
        </w:tc>
        <w:tc>
          <w:tcPr>
            <w:tcW w:w="962" w:type="dxa"/>
            <w:shd w:val="clear" w:color="auto" w:fill="auto"/>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val="en-US" w:eastAsia="en-GB"/>
              </w:rPr>
            </w:pPr>
            <w:r>
              <w:rPr>
                <w:rFonts w:eastAsia="Times New Roman" w:cs="Calibri"/>
                <w:sz w:val="20"/>
                <w:szCs w:val="20"/>
                <w:lang w:eastAsia="en-GB"/>
              </w:rPr>
              <w:t>-0,</w:t>
            </w:r>
            <w:r w:rsidRPr="0002415A">
              <w:rPr>
                <w:rFonts w:eastAsia="Times New Roman" w:cs="Calibri"/>
                <w:sz w:val="20"/>
                <w:szCs w:val="20"/>
                <w:lang w:eastAsia="en-GB"/>
              </w:rPr>
              <w:t xml:space="preserve">1   </w:t>
            </w:r>
            <w:r w:rsidRPr="0002415A">
              <w:rPr>
                <w:rFonts w:eastAsia="Times New Roman" w:cs="Calibri"/>
                <w:sz w:val="20"/>
                <w:szCs w:val="20"/>
                <w:lang w:val="en-US" w:eastAsia="en-GB"/>
              </w:rPr>
              <w:t xml:space="preserve">    </w:t>
            </w:r>
          </w:p>
        </w:tc>
        <w:tc>
          <w:tcPr>
            <w:tcW w:w="885"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0,</w:t>
            </w:r>
            <w:r w:rsidRPr="0002415A">
              <w:rPr>
                <w:rFonts w:eastAsia="Times New Roman" w:cs="Calibri"/>
                <w:sz w:val="20"/>
                <w:szCs w:val="20"/>
                <w:lang w:eastAsia="en-GB"/>
              </w:rPr>
              <w:t xml:space="preserve">4        </w:t>
            </w:r>
          </w:p>
        </w:tc>
        <w:tc>
          <w:tcPr>
            <w:tcW w:w="903"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Times New Roman" w:cs="Calibri"/>
                <w:sz w:val="20"/>
                <w:szCs w:val="20"/>
                <w:lang w:eastAsia="en-GB"/>
              </w:rPr>
              <w:t xml:space="preserve"> </w:t>
            </w:r>
            <w:r>
              <w:rPr>
                <w:rFonts w:eastAsia="Times New Roman" w:cs="Calibri"/>
                <w:sz w:val="20"/>
                <w:szCs w:val="20"/>
                <w:lang w:eastAsia="en-GB"/>
              </w:rPr>
              <w:t>0,</w:t>
            </w:r>
            <w:r w:rsidRPr="0002415A">
              <w:rPr>
                <w:rFonts w:eastAsia="Times New Roman" w:cs="Calibri"/>
                <w:sz w:val="20"/>
                <w:szCs w:val="20"/>
                <w:lang w:eastAsia="en-GB"/>
              </w:rPr>
              <w:t>2</w:t>
            </w:r>
            <w:r w:rsidRPr="0002415A">
              <w:rPr>
                <w:rFonts w:eastAsia="Calibri" w:cs="Calibri"/>
                <w:sz w:val="20"/>
                <w:lang w:val="en-US"/>
              </w:rPr>
              <w:t xml:space="preserve">        </w:t>
            </w:r>
          </w:p>
        </w:tc>
        <w:tc>
          <w:tcPr>
            <w:tcW w:w="1247"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lang w:val="en-US"/>
              </w:rPr>
            </w:pPr>
            <w:r w:rsidRPr="0002415A">
              <w:rPr>
                <w:rFonts w:eastAsia="Times New Roman" w:cs="Calibri"/>
                <w:sz w:val="20"/>
                <w:szCs w:val="20"/>
                <w:lang w:eastAsia="en-GB"/>
              </w:rPr>
              <w:t xml:space="preserve">  </w:t>
            </w:r>
            <w:r>
              <w:rPr>
                <w:rFonts w:eastAsia="Times New Roman" w:cs="Calibri"/>
                <w:sz w:val="20"/>
                <w:szCs w:val="20"/>
                <w:lang w:eastAsia="en-GB"/>
              </w:rPr>
              <w:t>-0,</w:t>
            </w:r>
            <w:r w:rsidRPr="0002415A">
              <w:rPr>
                <w:rFonts w:eastAsia="Times New Roman" w:cs="Calibri"/>
                <w:sz w:val="20"/>
                <w:szCs w:val="20"/>
                <w:lang w:eastAsia="en-GB"/>
              </w:rPr>
              <w:t>1</w:t>
            </w:r>
            <w:r w:rsidRPr="0002415A">
              <w:rPr>
                <w:rFonts w:eastAsia="Calibri" w:cs="Calibri"/>
                <w:sz w:val="20"/>
                <w:lang w:val="en-US"/>
              </w:rPr>
              <w:t xml:space="preserve">        </w:t>
            </w:r>
          </w:p>
        </w:tc>
        <w:tc>
          <w:tcPr>
            <w:tcW w:w="962"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Calibri" w:cs="Calibri"/>
                <w:sz w:val="20"/>
              </w:rPr>
            </w:pPr>
            <w:r>
              <w:rPr>
                <w:rFonts w:eastAsia="Times New Roman" w:cs="Calibri"/>
                <w:sz w:val="20"/>
                <w:szCs w:val="20"/>
                <w:lang w:eastAsia="en-GB"/>
              </w:rPr>
              <w:t>-0,</w:t>
            </w:r>
            <w:r w:rsidRPr="0002415A">
              <w:rPr>
                <w:rFonts w:eastAsia="Times New Roman" w:cs="Calibri"/>
                <w:sz w:val="20"/>
                <w:szCs w:val="20"/>
                <w:lang w:eastAsia="en-GB"/>
              </w:rPr>
              <w:t>3</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val="en-US" w:eastAsia="en-GB"/>
              </w:rPr>
            </w:pPr>
            <w:r w:rsidRPr="0002415A">
              <w:rPr>
                <w:rFonts w:eastAsia="Times New Roman" w:cs="Times New Roman"/>
                <w:bCs/>
                <w:color w:val="373737"/>
                <w:sz w:val="20"/>
                <w:szCs w:val="20"/>
                <w:lang w:eastAsia="en-GB"/>
              </w:rPr>
              <w:t>Коефициент на безработица (НРС) (%)</w:t>
            </w:r>
            <w:r w:rsidRPr="0002415A">
              <w:rPr>
                <w:rFonts w:eastAsia="Times New Roman" w:cs="Times New Roman"/>
                <w:bCs/>
                <w:color w:val="373737"/>
                <w:sz w:val="20"/>
                <w:szCs w:val="20"/>
                <w:lang w:val="en-US" w:eastAsia="en-GB"/>
              </w:rPr>
              <w:t xml:space="preserve">                                               </w:t>
            </w:r>
          </w:p>
        </w:tc>
        <w:tc>
          <w:tcPr>
            <w:tcW w:w="964"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val="en-US" w:eastAsia="en-GB"/>
              </w:rPr>
            </w:pPr>
            <w:r>
              <w:rPr>
                <w:rFonts w:eastAsia="Times New Roman" w:cs="Calibri"/>
                <w:sz w:val="20"/>
                <w:szCs w:val="20"/>
                <w:lang w:val="en-US" w:eastAsia="en-GB"/>
              </w:rPr>
              <w:t>6</w:t>
            </w:r>
            <w:r>
              <w:rPr>
                <w:rFonts w:eastAsia="Times New Roman" w:cs="Calibri"/>
                <w:sz w:val="20"/>
                <w:szCs w:val="20"/>
                <w:lang w:eastAsia="en-GB"/>
              </w:rPr>
              <w:t>,</w:t>
            </w:r>
            <w:r w:rsidR="0002415A" w:rsidRPr="0002415A">
              <w:rPr>
                <w:rFonts w:eastAsia="Times New Roman" w:cs="Calibri"/>
                <w:sz w:val="20"/>
                <w:szCs w:val="20"/>
                <w:lang w:val="en-US" w:eastAsia="en-GB"/>
              </w:rPr>
              <w:t xml:space="preserve">2      </w:t>
            </w:r>
          </w:p>
        </w:tc>
        <w:tc>
          <w:tcPr>
            <w:tcW w:w="962"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5,</w:t>
            </w:r>
            <w:r w:rsidR="0002415A" w:rsidRPr="0002415A">
              <w:rPr>
                <w:rFonts w:eastAsia="Times New Roman" w:cs="Calibri"/>
                <w:sz w:val="20"/>
                <w:szCs w:val="20"/>
                <w:lang w:eastAsia="en-GB"/>
              </w:rPr>
              <w:t xml:space="preserve">2      </w:t>
            </w:r>
          </w:p>
        </w:tc>
        <w:tc>
          <w:tcPr>
            <w:tcW w:w="885"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val="en-US" w:eastAsia="en-GB"/>
              </w:rPr>
            </w:pPr>
            <w:r>
              <w:rPr>
                <w:rFonts w:eastAsia="Times New Roman" w:cs="Calibri"/>
                <w:sz w:val="20"/>
                <w:szCs w:val="20"/>
                <w:lang w:eastAsia="en-GB"/>
              </w:rPr>
              <w:t>4,</w:t>
            </w:r>
            <w:r w:rsidR="0002415A" w:rsidRPr="0002415A">
              <w:rPr>
                <w:rFonts w:eastAsia="Times New Roman" w:cs="Calibri"/>
                <w:sz w:val="20"/>
                <w:szCs w:val="20"/>
                <w:lang w:eastAsia="en-GB"/>
              </w:rPr>
              <w:t>4</w:t>
            </w:r>
            <w:r w:rsidR="0002415A" w:rsidRPr="0002415A">
              <w:rPr>
                <w:rFonts w:eastAsia="Times New Roman" w:cs="Calibri"/>
                <w:sz w:val="20"/>
                <w:szCs w:val="20"/>
                <w:lang w:val="en-US" w:eastAsia="en-GB"/>
              </w:rPr>
              <w:t xml:space="preserve">        </w:t>
            </w:r>
          </w:p>
        </w:tc>
        <w:tc>
          <w:tcPr>
            <w:tcW w:w="903" w:type="dxa"/>
            <w:shd w:val="clear" w:color="auto" w:fill="F2F2F2"/>
            <w:noWrap/>
            <w:vAlign w:val="center"/>
          </w:tcPr>
          <w:p w:rsidR="0002415A" w:rsidRPr="0002415A" w:rsidRDefault="0002415A" w:rsidP="0002415A">
            <w:pPr>
              <w:spacing w:before="100" w:beforeAutospacing="1" w:after="100" w:afterAutospacing="1"/>
              <w:ind w:firstLineChars="100" w:firstLine="200"/>
              <w:jc w:val="right"/>
              <w:rPr>
                <w:rFonts w:eastAsia="Times New Roman" w:cs="Calibri"/>
                <w:sz w:val="20"/>
                <w:szCs w:val="20"/>
                <w:lang w:val="en-US" w:eastAsia="en-GB"/>
              </w:rPr>
            </w:pPr>
            <w:r w:rsidRPr="0002415A">
              <w:rPr>
                <w:rFonts w:eastAsia="Times New Roman" w:cs="Calibri"/>
                <w:sz w:val="20"/>
                <w:szCs w:val="20"/>
                <w:lang w:val="en-US" w:eastAsia="en-GB"/>
              </w:rPr>
              <w:t xml:space="preserve"> </w:t>
            </w:r>
            <w:r w:rsidR="0043739D">
              <w:rPr>
                <w:rFonts w:eastAsia="Times New Roman" w:cs="Calibri"/>
                <w:sz w:val="20"/>
                <w:szCs w:val="20"/>
                <w:lang w:eastAsia="en-GB"/>
              </w:rPr>
              <w:t>4,</w:t>
            </w:r>
            <w:r w:rsidRPr="0002415A">
              <w:rPr>
                <w:rFonts w:eastAsia="Times New Roman" w:cs="Calibri"/>
                <w:sz w:val="20"/>
                <w:szCs w:val="20"/>
                <w:lang w:eastAsia="en-GB"/>
              </w:rPr>
              <w:t>1</w:t>
            </w:r>
            <w:r w:rsidRPr="0002415A">
              <w:rPr>
                <w:rFonts w:eastAsia="Times New Roman" w:cs="Calibri"/>
                <w:sz w:val="20"/>
                <w:szCs w:val="20"/>
                <w:lang w:val="en-US" w:eastAsia="en-GB"/>
              </w:rPr>
              <w:t xml:space="preserve">         </w:t>
            </w:r>
          </w:p>
        </w:tc>
        <w:tc>
          <w:tcPr>
            <w:tcW w:w="1247"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4,</w:t>
            </w:r>
            <w:r w:rsidR="0002415A" w:rsidRPr="0002415A">
              <w:rPr>
                <w:rFonts w:eastAsia="Times New Roman" w:cs="Calibri"/>
                <w:sz w:val="20"/>
                <w:szCs w:val="20"/>
                <w:lang w:eastAsia="en-GB"/>
              </w:rPr>
              <w:t xml:space="preserve">0        </w:t>
            </w:r>
          </w:p>
        </w:tc>
        <w:tc>
          <w:tcPr>
            <w:tcW w:w="962"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4,</w:t>
            </w:r>
            <w:r w:rsidR="0002415A" w:rsidRPr="0002415A">
              <w:rPr>
                <w:rFonts w:eastAsia="Times New Roman" w:cs="Calibri"/>
                <w:sz w:val="20"/>
                <w:szCs w:val="20"/>
                <w:lang w:eastAsia="en-GB"/>
              </w:rPr>
              <w:t>0</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val="en-US" w:eastAsia="en-GB"/>
              </w:rPr>
            </w:pPr>
            <w:r w:rsidRPr="0002415A">
              <w:rPr>
                <w:rFonts w:eastAsia="Times New Roman" w:cs="Times New Roman"/>
                <w:bCs/>
                <w:color w:val="373737"/>
                <w:sz w:val="20"/>
                <w:szCs w:val="20"/>
                <w:lang w:eastAsia="en-GB"/>
              </w:rPr>
              <w:t>Компенсации на един нает (%)</w:t>
            </w:r>
            <w:r w:rsidRPr="0002415A">
              <w:rPr>
                <w:rFonts w:eastAsia="Times New Roman" w:cs="Times New Roman"/>
                <w:bCs/>
                <w:color w:val="373737"/>
                <w:sz w:val="20"/>
                <w:szCs w:val="20"/>
                <w:lang w:val="en-US" w:eastAsia="en-GB"/>
              </w:rPr>
              <w:t xml:space="preserve">        </w:t>
            </w:r>
          </w:p>
        </w:tc>
        <w:tc>
          <w:tcPr>
            <w:tcW w:w="964"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val="en-US" w:eastAsia="en-GB"/>
              </w:rPr>
              <w:t>10</w:t>
            </w:r>
            <w:r>
              <w:rPr>
                <w:rFonts w:eastAsia="Times New Roman" w:cs="Calibri"/>
                <w:sz w:val="20"/>
                <w:szCs w:val="20"/>
                <w:lang w:eastAsia="en-GB"/>
              </w:rPr>
              <w:t>,</w:t>
            </w:r>
            <w:r w:rsidR="0002415A" w:rsidRPr="0002415A">
              <w:rPr>
                <w:rFonts w:eastAsia="Times New Roman" w:cs="Calibri"/>
                <w:sz w:val="20"/>
                <w:szCs w:val="20"/>
                <w:lang w:val="en-US" w:eastAsia="en-GB"/>
              </w:rPr>
              <w:t>5</w:t>
            </w:r>
          </w:p>
        </w:tc>
        <w:tc>
          <w:tcPr>
            <w:tcW w:w="962"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9,</w:t>
            </w:r>
            <w:r w:rsidR="0002415A" w:rsidRPr="0002415A">
              <w:rPr>
                <w:rFonts w:eastAsia="Times New Roman" w:cs="Calibri"/>
                <w:sz w:val="20"/>
                <w:szCs w:val="20"/>
                <w:lang w:eastAsia="en-GB"/>
              </w:rPr>
              <w:t>7</w:t>
            </w:r>
          </w:p>
        </w:tc>
        <w:tc>
          <w:tcPr>
            <w:tcW w:w="885"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8,</w:t>
            </w:r>
            <w:r w:rsidR="0002415A" w:rsidRPr="0002415A">
              <w:rPr>
                <w:rFonts w:eastAsia="Times New Roman" w:cs="Calibri"/>
                <w:sz w:val="20"/>
                <w:szCs w:val="20"/>
                <w:lang w:eastAsia="en-GB"/>
              </w:rPr>
              <w:t>0</w:t>
            </w:r>
          </w:p>
        </w:tc>
        <w:tc>
          <w:tcPr>
            <w:tcW w:w="903"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7,</w:t>
            </w:r>
            <w:r w:rsidR="0002415A" w:rsidRPr="0002415A">
              <w:rPr>
                <w:rFonts w:eastAsia="Times New Roman" w:cs="Calibri"/>
                <w:sz w:val="20"/>
                <w:szCs w:val="20"/>
                <w:lang w:eastAsia="en-GB"/>
              </w:rPr>
              <w:t>4</w:t>
            </w:r>
          </w:p>
        </w:tc>
        <w:tc>
          <w:tcPr>
            <w:tcW w:w="1247"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6,</w:t>
            </w:r>
            <w:r w:rsidR="0002415A" w:rsidRPr="0002415A">
              <w:rPr>
                <w:rFonts w:eastAsia="Times New Roman" w:cs="Calibri"/>
                <w:sz w:val="20"/>
                <w:szCs w:val="20"/>
                <w:lang w:eastAsia="en-GB"/>
              </w:rPr>
              <w:t>9</w:t>
            </w:r>
          </w:p>
        </w:tc>
        <w:tc>
          <w:tcPr>
            <w:tcW w:w="962"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6,</w:t>
            </w:r>
            <w:r w:rsidR="0002415A" w:rsidRPr="0002415A">
              <w:rPr>
                <w:rFonts w:eastAsia="Times New Roman" w:cs="Calibri"/>
                <w:sz w:val="20"/>
                <w:szCs w:val="20"/>
                <w:lang w:eastAsia="en-GB"/>
              </w:rPr>
              <w:t>7</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eastAsia="en-GB"/>
              </w:rPr>
            </w:pPr>
            <w:r w:rsidRPr="0002415A">
              <w:rPr>
                <w:rFonts w:eastAsia="Times New Roman" w:cs="Times New Roman"/>
                <w:bCs/>
                <w:color w:val="373737"/>
                <w:sz w:val="20"/>
                <w:szCs w:val="20"/>
                <w:lang w:eastAsia="en-GB"/>
              </w:rPr>
              <w:t>Дефлатор на БВП (%)</w:t>
            </w:r>
          </w:p>
        </w:tc>
        <w:tc>
          <w:tcPr>
            <w:tcW w:w="964"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 xml:space="preserve">    3,</w:t>
            </w:r>
            <w:r w:rsidR="0002415A" w:rsidRPr="0002415A">
              <w:rPr>
                <w:rFonts w:eastAsia="Times New Roman" w:cs="Calibri"/>
                <w:sz w:val="20"/>
                <w:szCs w:val="20"/>
                <w:lang w:eastAsia="en-GB"/>
              </w:rPr>
              <w:t>9</w:t>
            </w:r>
          </w:p>
        </w:tc>
        <w:tc>
          <w:tcPr>
            <w:tcW w:w="962"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4,</w:t>
            </w:r>
            <w:r w:rsidR="0002415A" w:rsidRPr="0002415A">
              <w:rPr>
                <w:rFonts w:eastAsia="Calibri" w:cs="Calibri"/>
                <w:sz w:val="20"/>
              </w:rPr>
              <w:t>0</w:t>
            </w:r>
          </w:p>
        </w:tc>
        <w:tc>
          <w:tcPr>
            <w:tcW w:w="885"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4,</w:t>
            </w:r>
            <w:r w:rsidR="0002415A" w:rsidRPr="0002415A">
              <w:rPr>
                <w:rFonts w:eastAsia="Calibri" w:cs="Calibri"/>
                <w:sz w:val="20"/>
              </w:rPr>
              <w:t>6</w:t>
            </w:r>
          </w:p>
        </w:tc>
        <w:tc>
          <w:tcPr>
            <w:tcW w:w="903"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3,</w:t>
            </w:r>
            <w:r w:rsidR="0002415A" w:rsidRPr="0002415A">
              <w:rPr>
                <w:rFonts w:eastAsia="Calibri" w:cs="Calibri"/>
                <w:sz w:val="20"/>
              </w:rPr>
              <w:t>5</w:t>
            </w:r>
          </w:p>
        </w:tc>
        <w:tc>
          <w:tcPr>
            <w:tcW w:w="1247"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3,</w:t>
            </w:r>
            <w:r w:rsidR="0002415A" w:rsidRPr="0002415A">
              <w:rPr>
                <w:rFonts w:eastAsia="Calibri" w:cs="Calibri"/>
                <w:sz w:val="20"/>
              </w:rPr>
              <w:t>0</w:t>
            </w:r>
          </w:p>
        </w:tc>
        <w:tc>
          <w:tcPr>
            <w:tcW w:w="962"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2,</w:t>
            </w:r>
            <w:r w:rsidR="0002415A" w:rsidRPr="0002415A">
              <w:rPr>
                <w:rFonts w:eastAsia="Calibri" w:cs="Calibri"/>
                <w:sz w:val="20"/>
              </w:rPr>
              <w:t>9</w:t>
            </w:r>
          </w:p>
        </w:tc>
      </w:tr>
      <w:tr w:rsidR="0002415A" w:rsidRPr="0002415A" w:rsidTr="00167302">
        <w:trPr>
          <w:trHeight w:val="20"/>
          <w:jc w:val="center"/>
        </w:trPr>
        <w:tc>
          <w:tcPr>
            <w:tcW w:w="3147" w:type="dxa"/>
            <w:shd w:val="clear" w:color="auto" w:fill="auto"/>
            <w:vAlign w:val="center"/>
            <w:hideMark/>
          </w:tcPr>
          <w:p w:rsidR="0002415A" w:rsidRPr="0002415A" w:rsidRDefault="0002415A" w:rsidP="0002415A">
            <w:pPr>
              <w:spacing w:before="40" w:after="40"/>
              <w:ind w:left="283"/>
              <w:jc w:val="left"/>
              <w:rPr>
                <w:rFonts w:eastAsia="Times New Roman" w:cs="Times New Roman"/>
                <w:bCs/>
                <w:color w:val="373737"/>
                <w:sz w:val="20"/>
                <w:szCs w:val="20"/>
                <w:lang w:val="en-US" w:eastAsia="en-GB"/>
              </w:rPr>
            </w:pPr>
            <w:r w:rsidRPr="0002415A">
              <w:rPr>
                <w:rFonts w:eastAsia="Times New Roman" w:cs="Times New Roman"/>
                <w:bCs/>
                <w:color w:val="373737"/>
                <w:sz w:val="20"/>
                <w:szCs w:val="20"/>
                <w:lang w:eastAsia="en-GB"/>
              </w:rPr>
              <w:t>Средногодишна инфлация (ХИПЦ) (%)</w:t>
            </w:r>
            <w:r w:rsidRPr="0002415A">
              <w:rPr>
                <w:rFonts w:eastAsia="Times New Roman" w:cs="Times New Roman"/>
                <w:bCs/>
                <w:color w:val="373737"/>
                <w:sz w:val="20"/>
                <w:szCs w:val="20"/>
                <w:lang w:val="en-US" w:eastAsia="en-GB"/>
              </w:rPr>
              <w:t xml:space="preserve">             </w:t>
            </w:r>
          </w:p>
        </w:tc>
        <w:tc>
          <w:tcPr>
            <w:tcW w:w="964"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1,</w:t>
            </w:r>
            <w:r w:rsidR="0002415A" w:rsidRPr="0002415A">
              <w:rPr>
                <w:rFonts w:eastAsia="Times New Roman" w:cs="Calibri"/>
                <w:sz w:val="20"/>
                <w:szCs w:val="20"/>
                <w:lang w:eastAsia="en-GB"/>
              </w:rPr>
              <w:t>2</w:t>
            </w:r>
          </w:p>
        </w:tc>
        <w:tc>
          <w:tcPr>
            <w:tcW w:w="962"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2,</w:t>
            </w:r>
            <w:r w:rsidR="0002415A" w:rsidRPr="0002415A">
              <w:rPr>
                <w:rFonts w:eastAsia="Times New Roman" w:cs="Calibri"/>
                <w:sz w:val="20"/>
                <w:szCs w:val="20"/>
                <w:lang w:eastAsia="en-GB"/>
              </w:rPr>
              <w:t>6</w:t>
            </w:r>
          </w:p>
        </w:tc>
        <w:tc>
          <w:tcPr>
            <w:tcW w:w="885"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2,</w:t>
            </w:r>
            <w:r w:rsidR="0002415A" w:rsidRPr="0002415A">
              <w:rPr>
                <w:rFonts w:eastAsia="Calibri" w:cs="Calibri"/>
                <w:sz w:val="20"/>
              </w:rPr>
              <w:t>5</w:t>
            </w:r>
          </w:p>
        </w:tc>
        <w:tc>
          <w:tcPr>
            <w:tcW w:w="903"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2,</w:t>
            </w:r>
            <w:r w:rsidR="0002415A" w:rsidRPr="0002415A">
              <w:rPr>
                <w:rFonts w:eastAsia="Calibri" w:cs="Calibri"/>
                <w:sz w:val="20"/>
              </w:rPr>
              <w:t>1</w:t>
            </w:r>
          </w:p>
        </w:tc>
        <w:tc>
          <w:tcPr>
            <w:tcW w:w="1247"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2,</w:t>
            </w:r>
            <w:r w:rsidR="0002415A" w:rsidRPr="0002415A">
              <w:rPr>
                <w:rFonts w:eastAsia="Times New Roman" w:cs="Calibri"/>
                <w:sz w:val="20"/>
                <w:szCs w:val="20"/>
                <w:lang w:eastAsia="en-GB"/>
              </w:rPr>
              <w:t>2</w:t>
            </w:r>
          </w:p>
        </w:tc>
        <w:tc>
          <w:tcPr>
            <w:tcW w:w="962"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2,</w:t>
            </w:r>
            <w:r w:rsidR="0002415A" w:rsidRPr="0002415A">
              <w:rPr>
                <w:rFonts w:eastAsia="Times New Roman" w:cs="Calibri"/>
                <w:sz w:val="20"/>
                <w:szCs w:val="20"/>
                <w:lang w:eastAsia="en-GB"/>
              </w:rPr>
              <w:t>1</w:t>
            </w:r>
          </w:p>
        </w:tc>
      </w:tr>
      <w:tr w:rsidR="0002415A" w:rsidRPr="0002415A" w:rsidTr="00167302">
        <w:trPr>
          <w:trHeight w:val="20"/>
          <w:jc w:val="center"/>
        </w:trPr>
        <w:tc>
          <w:tcPr>
            <w:tcW w:w="9070" w:type="dxa"/>
            <w:gridSpan w:val="7"/>
            <w:shd w:val="clear" w:color="auto" w:fill="auto"/>
            <w:noWrap/>
            <w:vAlign w:val="center"/>
            <w:hideMark/>
          </w:tcPr>
          <w:p w:rsidR="0002415A" w:rsidRPr="0002415A" w:rsidRDefault="0002415A" w:rsidP="0002415A">
            <w:pPr>
              <w:spacing w:before="40" w:after="40"/>
              <w:jc w:val="left"/>
              <w:rPr>
                <w:rFonts w:eastAsia="Times New Roman" w:cs="Times New Roman"/>
                <w:b/>
                <w:bCs/>
                <w:color w:val="373737"/>
                <w:sz w:val="20"/>
                <w:szCs w:val="20"/>
                <w:lang w:eastAsia="en-GB"/>
              </w:rPr>
            </w:pPr>
            <w:r w:rsidRPr="0002415A">
              <w:rPr>
                <w:rFonts w:eastAsia="Times New Roman" w:cs="Times New Roman"/>
                <w:b/>
                <w:bCs/>
                <w:color w:val="373737"/>
                <w:sz w:val="20"/>
                <w:szCs w:val="20"/>
                <w:lang w:eastAsia="en-GB"/>
              </w:rPr>
              <w:t>Платежен баланс</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val="en-US" w:eastAsia="en-GB"/>
              </w:rPr>
            </w:pPr>
            <w:r w:rsidRPr="0002415A">
              <w:rPr>
                <w:rFonts w:eastAsia="Times New Roman" w:cs="Times New Roman"/>
                <w:bCs/>
                <w:color w:val="373737"/>
                <w:sz w:val="20"/>
                <w:szCs w:val="20"/>
                <w:lang w:eastAsia="en-GB"/>
              </w:rPr>
              <w:t>Текуща сметка (% от БВП)</w:t>
            </w:r>
            <w:r w:rsidRPr="0002415A">
              <w:rPr>
                <w:rFonts w:eastAsia="Times New Roman" w:cs="Times New Roman"/>
                <w:bCs/>
                <w:color w:val="373737"/>
                <w:sz w:val="20"/>
                <w:szCs w:val="20"/>
                <w:lang w:val="en-US" w:eastAsia="en-GB"/>
              </w:rPr>
              <w:t xml:space="preserve">          </w:t>
            </w:r>
          </w:p>
        </w:tc>
        <w:tc>
          <w:tcPr>
            <w:tcW w:w="964"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3,</w:t>
            </w:r>
            <w:r w:rsidR="0002415A" w:rsidRPr="0002415A">
              <w:rPr>
                <w:rFonts w:eastAsia="Calibri" w:cs="Calibri"/>
                <w:sz w:val="20"/>
              </w:rPr>
              <w:t>5</w:t>
            </w:r>
          </w:p>
        </w:tc>
        <w:tc>
          <w:tcPr>
            <w:tcW w:w="962"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5,</w:t>
            </w:r>
            <w:r w:rsidR="0002415A" w:rsidRPr="0002415A">
              <w:rPr>
                <w:rFonts w:eastAsia="Calibri" w:cs="Calibri"/>
                <w:sz w:val="20"/>
              </w:rPr>
              <w:t>4</w:t>
            </w:r>
          </w:p>
        </w:tc>
        <w:tc>
          <w:tcPr>
            <w:tcW w:w="885"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5,</w:t>
            </w:r>
            <w:r w:rsidR="0002415A" w:rsidRPr="0002415A">
              <w:rPr>
                <w:rFonts w:eastAsia="Calibri" w:cs="Calibri"/>
                <w:sz w:val="20"/>
              </w:rPr>
              <w:t>2</w:t>
            </w:r>
          </w:p>
        </w:tc>
        <w:tc>
          <w:tcPr>
            <w:tcW w:w="903"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4,</w:t>
            </w:r>
            <w:r w:rsidR="0002415A" w:rsidRPr="0002415A">
              <w:rPr>
                <w:rFonts w:eastAsia="Calibri" w:cs="Calibri"/>
                <w:sz w:val="20"/>
              </w:rPr>
              <w:t>1</w:t>
            </w:r>
          </w:p>
        </w:tc>
        <w:tc>
          <w:tcPr>
            <w:tcW w:w="1247"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3,</w:t>
            </w:r>
            <w:r w:rsidR="0002415A" w:rsidRPr="0002415A">
              <w:rPr>
                <w:rFonts w:eastAsia="Calibri" w:cs="Calibri"/>
                <w:sz w:val="20"/>
              </w:rPr>
              <w:t>2</w:t>
            </w:r>
          </w:p>
        </w:tc>
        <w:tc>
          <w:tcPr>
            <w:tcW w:w="962"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2,</w:t>
            </w:r>
            <w:r w:rsidR="0002415A" w:rsidRPr="0002415A">
              <w:rPr>
                <w:rFonts w:eastAsia="Calibri" w:cs="Calibri"/>
                <w:sz w:val="20"/>
              </w:rPr>
              <w:t>5</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eastAsia="en-GB"/>
              </w:rPr>
            </w:pPr>
            <w:r w:rsidRPr="0002415A">
              <w:rPr>
                <w:rFonts w:eastAsia="Times New Roman" w:cs="Times New Roman"/>
                <w:bCs/>
                <w:color w:val="373737"/>
                <w:sz w:val="20"/>
                <w:szCs w:val="20"/>
                <w:lang w:eastAsia="en-GB"/>
              </w:rPr>
              <w:t>Търговски баланс (% от БВП)</w:t>
            </w:r>
          </w:p>
        </w:tc>
        <w:tc>
          <w:tcPr>
            <w:tcW w:w="964"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-1,</w:t>
            </w:r>
            <w:r w:rsidR="0002415A" w:rsidRPr="0002415A">
              <w:rPr>
                <w:rFonts w:eastAsia="Calibri" w:cs="Calibri"/>
                <w:sz w:val="20"/>
              </w:rPr>
              <w:t>5</w:t>
            </w:r>
          </w:p>
        </w:tc>
        <w:tc>
          <w:tcPr>
            <w:tcW w:w="962"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-3,</w:t>
            </w:r>
            <w:r w:rsidR="0002415A" w:rsidRPr="0002415A">
              <w:rPr>
                <w:rFonts w:eastAsia="Calibri" w:cs="Calibri"/>
                <w:sz w:val="20"/>
              </w:rPr>
              <w:t>3</w:t>
            </w:r>
          </w:p>
        </w:tc>
        <w:tc>
          <w:tcPr>
            <w:tcW w:w="885"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-2,</w:t>
            </w:r>
            <w:r w:rsidR="0002415A" w:rsidRPr="0002415A">
              <w:rPr>
                <w:rFonts w:eastAsia="Calibri" w:cs="Calibri"/>
                <w:sz w:val="20"/>
              </w:rPr>
              <w:t>7</w:t>
            </w:r>
          </w:p>
        </w:tc>
        <w:tc>
          <w:tcPr>
            <w:tcW w:w="903"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-3,</w:t>
            </w:r>
            <w:r w:rsidR="0002415A" w:rsidRPr="0002415A">
              <w:rPr>
                <w:rFonts w:eastAsia="Calibri" w:cs="Calibri"/>
                <w:sz w:val="20"/>
              </w:rPr>
              <w:t>5</w:t>
            </w:r>
          </w:p>
        </w:tc>
        <w:tc>
          <w:tcPr>
            <w:tcW w:w="1247"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-4,</w:t>
            </w:r>
            <w:r w:rsidR="0002415A" w:rsidRPr="0002415A">
              <w:rPr>
                <w:rFonts w:eastAsia="Calibri" w:cs="Calibri"/>
                <w:sz w:val="20"/>
              </w:rPr>
              <w:t>2</w:t>
            </w:r>
          </w:p>
        </w:tc>
        <w:tc>
          <w:tcPr>
            <w:tcW w:w="962"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-4,</w:t>
            </w:r>
            <w:r w:rsidR="0002415A" w:rsidRPr="0002415A">
              <w:rPr>
                <w:rFonts w:eastAsia="Calibri" w:cs="Calibri"/>
                <w:sz w:val="20"/>
              </w:rPr>
              <w:t>7</w:t>
            </w:r>
          </w:p>
        </w:tc>
      </w:tr>
      <w:tr w:rsidR="0002415A" w:rsidRPr="0002415A" w:rsidTr="00167302">
        <w:trPr>
          <w:trHeight w:val="20"/>
          <w:jc w:val="center"/>
        </w:trPr>
        <w:tc>
          <w:tcPr>
            <w:tcW w:w="3147" w:type="dxa"/>
            <w:shd w:val="clear" w:color="auto" w:fill="auto"/>
            <w:noWrap/>
            <w:vAlign w:val="center"/>
          </w:tcPr>
          <w:p w:rsidR="0002415A" w:rsidRPr="007D6981" w:rsidRDefault="0002415A" w:rsidP="0002415A">
            <w:pPr>
              <w:spacing w:before="40" w:after="40"/>
              <w:ind w:left="283"/>
              <w:jc w:val="left"/>
              <w:rPr>
                <w:rFonts w:eastAsia="Times New Roman" w:cs="Times New Roman"/>
                <w:bCs/>
                <w:color w:val="373737"/>
                <w:sz w:val="20"/>
                <w:szCs w:val="20"/>
                <w:lang w:val="ru-RU" w:eastAsia="en-GB"/>
              </w:rPr>
            </w:pPr>
            <w:r w:rsidRPr="0002415A">
              <w:rPr>
                <w:rFonts w:eastAsia="Times New Roman" w:cs="Times New Roman"/>
                <w:bCs/>
                <w:color w:val="373737"/>
                <w:sz w:val="20"/>
                <w:szCs w:val="20"/>
                <w:lang w:eastAsia="en-GB"/>
              </w:rPr>
              <w:t>Преки чуждестранни инвестиции (% от БВП)</w:t>
            </w:r>
            <w:r w:rsidRPr="007D6981">
              <w:rPr>
                <w:rFonts w:eastAsia="Times New Roman" w:cs="Times New Roman"/>
                <w:bCs/>
                <w:color w:val="373737"/>
                <w:sz w:val="20"/>
                <w:szCs w:val="20"/>
                <w:lang w:val="ru-RU" w:eastAsia="en-GB"/>
              </w:rPr>
              <w:t xml:space="preserve">                 </w:t>
            </w:r>
          </w:p>
        </w:tc>
        <w:tc>
          <w:tcPr>
            <w:tcW w:w="964"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3,</w:t>
            </w:r>
            <w:r w:rsidR="0002415A" w:rsidRPr="0002415A">
              <w:rPr>
                <w:rFonts w:eastAsia="Calibri" w:cs="Calibri"/>
                <w:sz w:val="20"/>
              </w:rPr>
              <w:t>4</w:t>
            </w:r>
          </w:p>
        </w:tc>
        <w:tc>
          <w:tcPr>
            <w:tcW w:w="962"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1,</w:t>
            </w:r>
            <w:r w:rsidR="0002415A" w:rsidRPr="0002415A">
              <w:rPr>
                <w:rFonts w:eastAsia="Calibri" w:cs="Calibri"/>
                <w:sz w:val="20"/>
              </w:rPr>
              <w:t>9</w:t>
            </w:r>
          </w:p>
        </w:tc>
        <w:tc>
          <w:tcPr>
            <w:tcW w:w="885"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2,</w:t>
            </w:r>
            <w:r w:rsidR="0002415A" w:rsidRPr="0002415A">
              <w:rPr>
                <w:rFonts w:eastAsia="Calibri" w:cs="Calibri"/>
                <w:sz w:val="20"/>
              </w:rPr>
              <w:t>4</w:t>
            </w:r>
          </w:p>
        </w:tc>
        <w:tc>
          <w:tcPr>
            <w:tcW w:w="903"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2,</w:t>
            </w:r>
            <w:r w:rsidR="0002415A" w:rsidRPr="0002415A">
              <w:rPr>
                <w:rFonts w:eastAsia="Times New Roman" w:cs="Calibri"/>
                <w:sz w:val="20"/>
                <w:szCs w:val="20"/>
                <w:lang w:eastAsia="en-GB"/>
              </w:rPr>
              <w:t>6</w:t>
            </w:r>
          </w:p>
        </w:tc>
        <w:tc>
          <w:tcPr>
            <w:tcW w:w="1247"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2,</w:t>
            </w:r>
            <w:r w:rsidR="0002415A" w:rsidRPr="0002415A">
              <w:rPr>
                <w:rFonts w:eastAsia="Times New Roman" w:cs="Calibri"/>
                <w:sz w:val="20"/>
                <w:szCs w:val="20"/>
                <w:lang w:eastAsia="en-GB"/>
              </w:rPr>
              <w:t>6</w:t>
            </w:r>
          </w:p>
        </w:tc>
        <w:tc>
          <w:tcPr>
            <w:tcW w:w="962"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2,</w:t>
            </w:r>
            <w:r w:rsidR="0002415A" w:rsidRPr="0002415A">
              <w:rPr>
                <w:rFonts w:eastAsia="Times New Roman" w:cs="Calibri"/>
                <w:sz w:val="20"/>
                <w:szCs w:val="20"/>
                <w:lang w:eastAsia="en-GB"/>
              </w:rPr>
              <w:t>5</w:t>
            </w:r>
          </w:p>
        </w:tc>
      </w:tr>
      <w:tr w:rsidR="0002415A" w:rsidRPr="0002415A" w:rsidTr="00167302">
        <w:trPr>
          <w:trHeight w:val="20"/>
          <w:jc w:val="center"/>
        </w:trPr>
        <w:tc>
          <w:tcPr>
            <w:tcW w:w="9070" w:type="dxa"/>
            <w:gridSpan w:val="7"/>
            <w:shd w:val="clear" w:color="auto" w:fill="auto"/>
            <w:noWrap/>
            <w:vAlign w:val="center"/>
            <w:hideMark/>
          </w:tcPr>
          <w:p w:rsidR="0002415A" w:rsidRPr="0002415A" w:rsidRDefault="0002415A" w:rsidP="0002415A">
            <w:pPr>
              <w:spacing w:before="40" w:after="40"/>
              <w:jc w:val="left"/>
              <w:rPr>
                <w:rFonts w:eastAsia="Times New Roman" w:cs="Times New Roman"/>
                <w:b/>
                <w:bCs/>
                <w:color w:val="373737"/>
                <w:sz w:val="20"/>
                <w:szCs w:val="20"/>
                <w:lang w:eastAsia="en-GB"/>
              </w:rPr>
            </w:pPr>
            <w:r w:rsidRPr="0002415A">
              <w:rPr>
                <w:rFonts w:eastAsia="Times New Roman" w:cs="Times New Roman"/>
                <w:b/>
                <w:bCs/>
                <w:color w:val="373737"/>
                <w:sz w:val="20"/>
                <w:szCs w:val="20"/>
                <w:lang w:eastAsia="en-GB"/>
              </w:rPr>
              <w:t>Паричен сектор</w:t>
            </w:r>
          </w:p>
        </w:tc>
      </w:tr>
      <w:tr w:rsidR="0002415A" w:rsidRPr="0002415A" w:rsidTr="00167302">
        <w:trPr>
          <w:trHeight w:val="20"/>
          <w:jc w:val="center"/>
        </w:trPr>
        <w:tc>
          <w:tcPr>
            <w:tcW w:w="3147" w:type="dxa"/>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eastAsia="en-GB"/>
              </w:rPr>
            </w:pPr>
            <w:r w:rsidRPr="0002415A">
              <w:rPr>
                <w:rFonts w:eastAsia="Times New Roman" w:cs="Times New Roman"/>
                <w:bCs/>
                <w:color w:val="373737"/>
                <w:sz w:val="20"/>
                <w:szCs w:val="20"/>
                <w:lang w:eastAsia="en-GB"/>
              </w:rPr>
              <w:t>М3 (%)</w:t>
            </w:r>
          </w:p>
        </w:tc>
        <w:tc>
          <w:tcPr>
            <w:tcW w:w="964"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7,</w:t>
            </w:r>
            <w:r w:rsidR="0002415A" w:rsidRPr="0002415A">
              <w:rPr>
                <w:rFonts w:eastAsia="Times New Roman" w:cs="Calibri"/>
                <w:sz w:val="20"/>
                <w:szCs w:val="20"/>
                <w:lang w:eastAsia="en-GB"/>
              </w:rPr>
              <w:t>7</w:t>
            </w:r>
          </w:p>
        </w:tc>
        <w:tc>
          <w:tcPr>
            <w:tcW w:w="962" w:type="dxa"/>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8,</w:t>
            </w:r>
            <w:r w:rsidR="0002415A" w:rsidRPr="0002415A">
              <w:rPr>
                <w:rFonts w:eastAsia="Times New Roman" w:cs="Calibri"/>
                <w:sz w:val="20"/>
                <w:szCs w:val="20"/>
                <w:lang w:eastAsia="en-GB"/>
              </w:rPr>
              <w:t>8</w:t>
            </w:r>
          </w:p>
        </w:tc>
        <w:tc>
          <w:tcPr>
            <w:tcW w:w="885"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8,</w:t>
            </w:r>
            <w:r w:rsidR="0002415A" w:rsidRPr="0002415A">
              <w:rPr>
                <w:rFonts w:eastAsia="Calibri" w:cs="Calibri"/>
                <w:sz w:val="20"/>
              </w:rPr>
              <w:t>4</w:t>
            </w:r>
          </w:p>
        </w:tc>
        <w:tc>
          <w:tcPr>
            <w:tcW w:w="903"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8,</w:t>
            </w:r>
            <w:r w:rsidR="0002415A" w:rsidRPr="0002415A">
              <w:rPr>
                <w:rFonts w:eastAsia="Calibri" w:cs="Calibri"/>
                <w:sz w:val="20"/>
              </w:rPr>
              <w:t>2</w:t>
            </w:r>
          </w:p>
        </w:tc>
        <w:tc>
          <w:tcPr>
            <w:tcW w:w="1247"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8,</w:t>
            </w:r>
            <w:r w:rsidR="0002415A" w:rsidRPr="0002415A">
              <w:rPr>
                <w:rFonts w:eastAsia="Times New Roman" w:cs="Calibri"/>
                <w:sz w:val="20"/>
                <w:szCs w:val="20"/>
                <w:lang w:eastAsia="en-GB"/>
              </w:rPr>
              <w:t>3</w:t>
            </w:r>
          </w:p>
        </w:tc>
        <w:tc>
          <w:tcPr>
            <w:tcW w:w="962" w:type="dxa"/>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8,</w:t>
            </w:r>
            <w:r w:rsidR="0002415A" w:rsidRPr="0002415A">
              <w:rPr>
                <w:rFonts w:eastAsia="Calibri" w:cs="Calibri"/>
                <w:sz w:val="20"/>
              </w:rPr>
              <w:t>3</w:t>
            </w:r>
          </w:p>
        </w:tc>
      </w:tr>
      <w:tr w:rsidR="0002415A" w:rsidRPr="0002415A" w:rsidTr="00167302">
        <w:trPr>
          <w:trHeight w:val="20"/>
          <w:jc w:val="center"/>
        </w:trPr>
        <w:tc>
          <w:tcPr>
            <w:tcW w:w="3147" w:type="dxa"/>
            <w:tcBorders>
              <w:bottom w:val="nil"/>
            </w:tcBorders>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eastAsia="en-GB"/>
              </w:rPr>
            </w:pPr>
            <w:r w:rsidRPr="0002415A">
              <w:rPr>
                <w:rFonts w:eastAsia="Times New Roman" w:cs="Times New Roman"/>
                <w:bCs/>
                <w:color w:val="373737"/>
                <w:sz w:val="20"/>
                <w:szCs w:val="20"/>
                <w:lang w:eastAsia="en-GB"/>
              </w:rPr>
              <w:t>Вземания от фирми (%)</w:t>
            </w:r>
          </w:p>
        </w:tc>
        <w:tc>
          <w:tcPr>
            <w:tcW w:w="964" w:type="dxa"/>
            <w:tcBorders>
              <w:bottom w:val="nil"/>
            </w:tcBorders>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3,</w:t>
            </w:r>
            <w:r w:rsidR="0002415A" w:rsidRPr="0002415A">
              <w:rPr>
                <w:rFonts w:eastAsia="Times New Roman" w:cs="Calibri"/>
                <w:sz w:val="20"/>
                <w:szCs w:val="20"/>
                <w:lang w:eastAsia="en-GB"/>
              </w:rPr>
              <w:t>7</w:t>
            </w:r>
          </w:p>
        </w:tc>
        <w:tc>
          <w:tcPr>
            <w:tcW w:w="962" w:type="dxa"/>
            <w:tcBorders>
              <w:bottom w:val="nil"/>
            </w:tcBorders>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7,</w:t>
            </w:r>
            <w:r w:rsidR="0002415A" w:rsidRPr="0002415A">
              <w:rPr>
                <w:rFonts w:eastAsia="Times New Roman" w:cs="Calibri"/>
                <w:sz w:val="20"/>
                <w:szCs w:val="20"/>
                <w:lang w:eastAsia="en-GB"/>
              </w:rPr>
              <w:t>7</w:t>
            </w:r>
          </w:p>
        </w:tc>
        <w:tc>
          <w:tcPr>
            <w:tcW w:w="885" w:type="dxa"/>
            <w:tcBorders>
              <w:bottom w:val="nil"/>
            </w:tcBorders>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5,</w:t>
            </w:r>
            <w:r w:rsidR="0002415A" w:rsidRPr="0002415A">
              <w:rPr>
                <w:rFonts w:eastAsia="Calibri" w:cs="Calibri"/>
                <w:sz w:val="20"/>
              </w:rPr>
              <w:t>9</w:t>
            </w:r>
          </w:p>
        </w:tc>
        <w:tc>
          <w:tcPr>
            <w:tcW w:w="903" w:type="dxa"/>
            <w:tcBorders>
              <w:bottom w:val="nil"/>
            </w:tcBorders>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6,</w:t>
            </w:r>
            <w:r w:rsidR="0002415A" w:rsidRPr="0002415A">
              <w:rPr>
                <w:rFonts w:eastAsia="Calibri" w:cs="Calibri"/>
                <w:sz w:val="20"/>
              </w:rPr>
              <w:t>8</w:t>
            </w:r>
          </w:p>
        </w:tc>
        <w:tc>
          <w:tcPr>
            <w:tcW w:w="1247" w:type="dxa"/>
            <w:tcBorders>
              <w:bottom w:val="nil"/>
            </w:tcBorders>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8,</w:t>
            </w:r>
            <w:r w:rsidR="0002415A" w:rsidRPr="0002415A">
              <w:rPr>
                <w:rFonts w:eastAsia="Calibri" w:cs="Calibri"/>
                <w:sz w:val="20"/>
              </w:rPr>
              <w:t>1</w:t>
            </w:r>
          </w:p>
        </w:tc>
        <w:tc>
          <w:tcPr>
            <w:tcW w:w="962" w:type="dxa"/>
            <w:tcBorders>
              <w:bottom w:val="nil"/>
            </w:tcBorders>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8,</w:t>
            </w:r>
            <w:r w:rsidR="0002415A" w:rsidRPr="0002415A">
              <w:rPr>
                <w:rFonts w:eastAsia="Calibri" w:cs="Calibri"/>
                <w:sz w:val="20"/>
              </w:rPr>
              <w:t>3</w:t>
            </w:r>
          </w:p>
        </w:tc>
      </w:tr>
      <w:tr w:rsidR="0002415A" w:rsidRPr="0002415A" w:rsidTr="00167302">
        <w:trPr>
          <w:trHeight w:val="20"/>
          <w:jc w:val="center"/>
        </w:trPr>
        <w:tc>
          <w:tcPr>
            <w:tcW w:w="3147" w:type="dxa"/>
            <w:tcBorders>
              <w:top w:val="nil"/>
              <w:bottom w:val="single" w:sz="6" w:space="0" w:color="auto"/>
            </w:tcBorders>
            <w:shd w:val="clear" w:color="auto" w:fill="auto"/>
            <w:noWrap/>
            <w:vAlign w:val="center"/>
            <w:hideMark/>
          </w:tcPr>
          <w:p w:rsidR="0002415A" w:rsidRPr="0002415A" w:rsidRDefault="0002415A" w:rsidP="0002415A">
            <w:pPr>
              <w:spacing w:before="40" w:after="40"/>
              <w:ind w:left="283"/>
              <w:jc w:val="left"/>
              <w:rPr>
                <w:rFonts w:eastAsia="Times New Roman" w:cs="Times New Roman"/>
                <w:bCs/>
                <w:color w:val="373737"/>
                <w:sz w:val="20"/>
                <w:szCs w:val="20"/>
                <w:lang w:eastAsia="en-GB"/>
              </w:rPr>
            </w:pPr>
            <w:r w:rsidRPr="0002415A">
              <w:rPr>
                <w:rFonts w:eastAsia="Times New Roman" w:cs="Times New Roman"/>
                <w:bCs/>
                <w:color w:val="373737"/>
                <w:sz w:val="20"/>
                <w:szCs w:val="20"/>
                <w:lang w:eastAsia="en-GB"/>
              </w:rPr>
              <w:t>Вземания от домакинства (%)</w:t>
            </w:r>
          </w:p>
        </w:tc>
        <w:tc>
          <w:tcPr>
            <w:tcW w:w="964" w:type="dxa"/>
            <w:tcBorders>
              <w:top w:val="nil"/>
              <w:bottom w:val="single" w:sz="6" w:space="0" w:color="auto"/>
            </w:tcBorders>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6,</w:t>
            </w:r>
            <w:r w:rsidR="0002415A" w:rsidRPr="0002415A">
              <w:rPr>
                <w:rFonts w:eastAsia="Times New Roman" w:cs="Calibri"/>
                <w:sz w:val="20"/>
                <w:szCs w:val="20"/>
                <w:lang w:eastAsia="en-GB"/>
              </w:rPr>
              <w:t>1</w:t>
            </w:r>
          </w:p>
        </w:tc>
        <w:tc>
          <w:tcPr>
            <w:tcW w:w="962" w:type="dxa"/>
            <w:tcBorders>
              <w:top w:val="nil"/>
              <w:bottom w:val="single" w:sz="6" w:space="0" w:color="auto"/>
            </w:tcBorders>
            <w:shd w:val="clear" w:color="auto" w:fill="auto"/>
            <w:noWrap/>
            <w:vAlign w:val="center"/>
          </w:tcPr>
          <w:p w:rsidR="0002415A" w:rsidRPr="0002415A" w:rsidRDefault="0043739D" w:rsidP="0002415A">
            <w:pPr>
              <w:spacing w:before="100" w:beforeAutospacing="1" w:after="100" w:afterAutospacing="1"/>
              <w:ind w:firstLineChars="100" w:firstLine="200"/>
              <w:jc w:val="right"/>
              <w:rPr>
                <w:rFonts w:eastAsia="Times New Roman" w:cs="Calibri"/>
                <w:sz w:val="20"/>
                <w:szCs w:val="20"/>
                <w:lang w:eastAsia="en-GB"/>
              </w:rPr>
            </w:pPr>
            <w:r>
              <w:rPr>
                <w:rFonts w:eastAsia="Times New Roman" w:cs="Calibri"/>
                <w:sz w:val="20"/>
                <w:szCs w:val="20"/>
                <w:lang w:eastAsia="en-GB"/>
              </w:rPr>
              <w:t>11,</w:t>
            </w:r>
            <w:r w:rsidR="0002415A" w:rsidRPr="0002415A">
              <w:rPr>
                <w:rFonts w:eastAsia="Times New Roman" w:cs="Calibri"/>
                <w:sz w:val="20"/>
                <w:szCs w:val="20"/>
                <w:lang w:eastAsia="en-GB"/>
              </w:rPr>
              <w:t>2</w:t>
            </w:r>
          </w:p>
        </w:tc>
        <w:tc>
          <w:tcPr>
            <w:tcW w:w="885" w:type="dxa"/>
            <w:tcBorders>
              <w:top w:val="nil"/>
              <w:bottom w:val="single" w:sz="6" w:space="0" w:color="auto"/>
            </w:tcBorders>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9,</w:t>
            </w:r>
            <w:r w:rsidR="0002415A" w:rsidRPr="0002415A">
              <w:rPr>
                <w:rFonts w:eastAsia="Calibri" w:cs="Calibri"/>
                <w:sz w:val="20"/>
              </w:rPr>
              <w:t>8</w:t>
            </w:r>
          </w:p>
        </w:tc>
        <w:tc>
          <w:tcPr>
            <w:tcW w:w="903" w:type="dxa"/>
            <w:tcBorders>
              <w:top w:val="nil"/>
              <w:bottom w:val="single" w:sz="6" w:space="0" w:color="auto"/>
            </w:tcBorders>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8,</w:t>
            </w:r>
            <w:r w:rsidR="0002415A" w:rsidRPr="0002415A">
              <w:rPr>
                <w:rFonts w:eastAsia="Calibri" w:cs="Calibri"/>
                <w:sz w:val="20"/>
              </w:rPr>
              <w:t>8</w:t>
            </w:r>
          </w:p>
        </w:tc>
        <w:tc>
          <w:tcPr>
            <w:tcW w:w="1247" w:type="dxa"/>
            <w:tcBorders>
              <w:top w:val="nil"/>
              <w:bottom w:val="single" w:sz="6" w:space="0" w:color="auto"/>
            </w:tcBorders>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8,</w:t>
            </w:r>
            <w:r w:rsidR="0002415A" w:rsidRPr="0002415A">
              <w:rPr>
                <w:rFonts w:eastAsia="Calibri" w:cs="Calibri"/>
                <w:sz w:val="20"/>
              </w:rPr>
              <w:t>4</w:t>
            </w:r>
          </w:p>
        </w:tc>
        <w:tc>
          <w:tcPr>
            <w:tcW w:w="962" w:type="dxa"/>
            <w:tcBorders>
              <w:top w:val="nil"/>
              <w:bottom w:val="single" w:sz="6" w:space="0" w:color="auto"/>
            </w:tcBorders>
            <w:shd w:val="clear" w:color="auto" w:fill="F2F2F2"/>
            <w:noWrap/>
            <w:vAlign w:val="center"/>
          </w:tcPr>
          <w:p w:rsidR="0002415A" w:rsidRPr="0002415A" w:rsidRDefault="0043739D" w:rsidP="0002415A">
            <w:pPr>
              <w:spacing w:before="100" w:beforeAutospacing="1" w:after="100" w:afterAutospacing="1"/>
              <w:ind w:firstLineChars="100" w:firstLine="200"/>
              <w:jc w:val="right"/>
              <w:rPr>
                <w:rFonts w:eastAsia="Calibri" w:cs="Calibri"/>
                <w:sz w:val="20"/>
              </w:rPr>
            </w:pPr>
            <w:r>
              <w:rPr>
                <w:rFonts w:eastAsia="Calibri" w:cs="Calibri"/>
                <w:sz w:val="20"/>
              </w:rPr>
              <w:t>8,</w:t>
            </w:r>
            <w:r w:rsidR="0002415A" w:rsidRPr="0002415A">
              <w:rPr>
                <w:rFonts w:eastAsia="Calibri" w:cs="Calibri"/>
                <w:sz w:val="20"/>
              </w:rPr>
              <w:t>2</w:t>
            </w:r>
          </w:p>
        </w:tc>
      </w:tr>
    </w:tbl>
    <w:p w:rsidR="00083361" w:rsidRPr="00423C1E" w:rsidRDefault="00CF7028" w:rsidP="009212CB">
      <w:pPr>
        <w:pStyle w:val="Source0"/>
        <w:rPr>
          <w:sz w:val="16"/>
          <w:szCs w:val="16"/>
        </w:rPr>
      </w:pPr>
      <w:r w:rsidRPr="00423C1E">
        <w:rPr>
          <w:sz w:val="16"/>
          <w:szCs w:val="16"/>
        </w:rPr>
        <w:t>Източник</w:t>
      </w:r>
      <w:r w:rsidR="0002415A">
        <w:rPr>
          <w:sz w:val="16"/>
          <w:szCs w:val="16"/>
        </w:rPr>
        <w:t xml:space="preserve">: </w:t>
      </w:r>
      <w:r w:rsidR="009212CB">
        <w:rPr>
          <w:sz w:val="16"/>
          <w:szCs w:val="16"/>
        </w:rPr>
        <w:t>МФ, НСИ, БНБ</w:t>
      </w:r>
    </w:p>
    <w:p w:rsidR="00083361" w:rsidRPr="003C27E4" w:rsidRDefault="00083361" w:rsidP="00676AFF">
      <w:pPr>
        <w:pStyle w:val="Heading3"/>
        <w:ind w:left="0"/>
        <w:rPr>
          <w:w w:val="90"/>
          <w:lang w:eastAsia="zh-CN"/>
        </w:rPr>
      </w:pPr>
      <w:bookmarkStart w:id="175" w:name="_Toc464225418"/>
      <w:bookmarkStart w:id="176" w:name="_Toc464458964"/>
      <w:bookmarkStart w:id="177" w:name="_Toc464459710"/>
      <w:bookmarkStart w:id="178" w:name="_Toc464460665"/>
      <w:bookmarkStart w:id="179" w:name="_Toc464463064"/>
      <w:bookmarkStart w:id="180" w:name="_Toc464464891"/>
      <w:bookmarkStart w:id="181" w:name="_Toc464465397"/>
      <w:bookmarkStart w:id="182" w:name="_Toc464465585"/>
      <w:bookmarkStart w:id="183" w:name="_Toc464466410"/>
      <w:bookmarkStart w:id="184" w:name="_Toc464466654"/>
      <w:bookmarkStart w:id="185" w:name="_Toc464644957"/>
      <w:bookmarkStart w:id="186" w:name="_Toc465070447"/>
      <w:bookmarkStart w:id="187" w:name="_Toc465205497"/>
      <w:r w:rsidRPr="003C27E4">
        <w:rPr>
          <w:w w:val="90"/>
          <w:lang w:eastAsia="zh-CN"/>
        </w:rPr>
        <w:t>БРУТЕН ВЪТРЕШЕН ПРОДУКТ</w:t>
      </w:r>
      <w:bookmarkEnd w:id="175"/>
      <w:bookmarkEnd w:id="176"/>
      <w:bookmarkEnd w:id="177"/>
      <w:bookmarkEnd w:id="178"/>
      <w:bookmarkEnd w:id="179"/>
      <w:bookmarkEnd w:id="180"/>
      <w:bookmarkEnd w:id="181"/>
      <w:bookmarkEnd w:id="182"/>
      <w:bookmarkEnd w:id="183"/>
      <w:bookmarkEnd w:id="184"/>
      <w:bookmarkEnd w:id="185"/>
      <w:bookmarkEnd w:id="186"/>
      <w:bookmarkEnd w:id="187"/>
    </w:p>
    <w:p w:rsidR="0002415A" w:rsidRPr="0002415A" w:rsidRDefault="0002415A" w:rsidP="0002415A">
      <w:pPr>
        <w:spacing w:after="120"/>
        <w:rPr>
          <w:rFonts w:eastAsia="Calibri" w:cs="Times New Roman"/>
          <w:bCs/>
          <w:szCs w:val="24"/>
        </w:rPr>
      </w:pPr>
      <w:r>
        <w:rPr>
          <w:rFonts w:eastAsia="Calibri" w:cs="Times New Roman"/>
          <w:bCs/>
          <w:szCs w:val="24"/>
        </w:rPr>
        <w:t>БВП се очаква да нарасне с 3,</w:t>
      </w:r>
      <w:r w:rsidRPr="0002415A">
        <w:rPr>
          <w:rFonts w:eastAsia="Calibri" w:cs="Times New Roman"/>
          <w:bCs/>
          <w:szCs w:val="24"/>
        </w:rPr>
        <w:t>4% през 2019 г., като основен принос за растежа ще има частното потребление. Потреблението на домакинствата отчете силно представяне през първата половина на годината, подкрепено от благоприятната динамика на пазара на труда и кредитите към домакинствата. Очаква се потребителските разходи да останат високи до края на годината, но растежът им леко да се забави през второто полугодие. Публичното потребление също отчете силно представяне през първите шест месеца и ще има положителен принос за растежа на БВП. Растежът на инвестициите в основен капитал ще остане потиснат в резултат на несигурната среда и по-ниските частни инвестиции. Въпреки неблагоприятната динамика при износа през първото полугодие, нетният износ имаше положителен принос за растежа на БВП поради по-голямото понижение при вноса. Очаква се до края на годината вносът слабо да се повиши и да доведе до отрицате</w:t>
      </w:r>
      <w:r>
        <w:rPr>
          <w:rFonts w:eastAsia="Calibri" w:cs="Times New Roman"/>
          <w:bCs/>
          <w:szCs w:val="24"/>
        </w:rPr>
        <w:t>лен принос на нетния износ от 0,</w:t>
      </w:r>
      <w:r w:rsidRPr="0002415A">
        <w:rPr>
          <w:rFonts w:eastAsia="Calibri" w:cs="Times New Roman"/>
          <w:bCs/>
          <w:szCs w:val="24"/>
        </w:rPr>
        <w:t>4 пр.п. за общия растеж.</w:t>
      </w:r>
    </w:p>
    <w:p w:rsidR="0002415A" w:rsidRPr="0002415A" w:rsidRDefault="0002415A" w:rsidP="0002415A">
      <w:pPr>
        <w:spacing w:after="120"/>
        <w:rPr>
          <w:rFonts w:eastAsia="Calibri" w:cs="Times New Roman"/>
          <w:bCs/>
          <w:szCs w:val="24"/>
        </w:rPr>
      </w:pPr>
      <w:r>
        <w:rPr>
          <w:rFonts w:eastAsia="Calibri" w:cs="Times New Roman"/>
          <w:bCs/>
          <w:szCs w:val="24"/>
        </w:rPr>
        <w:t>Растежът на БВП ще достигне 3,</w:t>
      </w:r>
      <w:r w:rsidRPr="0002415A">
        <w:rPr>
          <w:rFonts w:eastAsia="Calibri" w:cs="Times New Roman"/>
          <w:bCs/>
          <w:szCs w:val="24"/>
        </w:rPr>
        <w:t xml:space="preserve">3% през 2020 г., движен от вътрешното търсене. Частните потребителски разходи ще запазят своя сравнително висок темп на растеж, но в сравнение с предходната година темпът леко ще се забави поради по-ограничено нарастване на заетостта. Положително влияние върху потреблението ще има и от увеличените разходи за </w:t>
      </w:r>
      <w:r w:rsidR="007D4D5B">
        <w:rPr>
          <w:rFonts w:eastAsia="Calibri" w:cs="Times New Roman"/>
          <w:bCs/>
          <w:szCs w:val="24"/>
        </w:rPr>
        <w:t>персонал</w:t>
      </w:r>
      <w:r w:rsidRPr="0002415A">
        <w:rPr>
          <w:rFonts w:eastAsia="Calibri" w:cs="Times New Roman"/>
          <w:bCs/>
          <w:szCs w:val="24"/>
        </w:rPr>
        <w:t xml:space="preserve"> в публичния сектор. Инвестициите в основен капитал ще се повишат, подкрепени както от частните, така и от публичните инвестиции. Въпреки очакваното възстановяване на износа, по-високото вътрешно търсене ще се отрази в повишение на вноса и увеличение на отрицателния принос на нетни</w:t>
      </w:r>
      <w:r>
        <w:rPr>
          <w:rFonts w:eastAsia="Calibri" w:cs="Times New Roman"/>
          <w:bCs/>
          <w:szCs w:val="24"/>
        </w:rPr>
        <w:t>я износ до 1,</w:t>
      </w:r>
      <w:r w:rsidRPr="0002415A">
        <w:rPr>
          <w:rFonts w:eastAsia="Calibri" w:cs="Times New Roman"/>
          <w:bCs/>
          <w:szCs w:val="24"/>
        </w:rPr>
        <w:t xml:space="preserve">5 пр.п. </w:t>
      </w:r>
    </w:p>
    <w:p w:rsidR="0002415A" w:rsidRPr="0043739D" w:rsidRDefault="0002415A" w:rsidP="00856DCE">
      <w:pPr>
        <w:spacing w:after="120"/>
        <w:rPr>
          <w:rFonts w:eastAsia="Calibri" w:cs="Times New Roman"/>
          <w:bCs/>
          <w:szCs w:val="24"/>
        </w:rPr>
      </w:pPr>
      <w:r w:rsidRPr="0002415A">
        <w:rPr>
          <w:rFonts w:eastAsia="Calibri" w:cs="Times New Roman"/>
          <w:bCs/>
          <w:szCs w:val="24"/>
        </w:rPr>
        <w:t>Икономическият растеж ще се запази</w:t>
      </w:r>
      <w:r>
        <w:rPr>
          <w:rFonts w:eastAsia="Calibri" w:cs="Times New Roman"/>
          <w:bCs/>
          <w:szCs w:val="24"/>
        </w:rPr>
        <w:t xml:space="preserve"> на ниво от 3,3% в периода 2021</w:t>
      </w:r>
      <w:r w:rsidR="00EB6FDC">
        <w:rPr>
          <w:rFonts w:eastAsia="Calibri" w:cs="Times New Roman"/>
          <w:bCs/>
          <w:szCs w:val="24"/>
        </w:rPr>
        <w:t>-</w:t>
      </w:r>
      <w:r w:rsidRPr="0002415A">
        <w:rPr>
          <w:rFonts w:eastAsia="Calibri" w:cs="Times New Roman"/>
          <w:bCs/>
          <w:szCs w:val="24"/>
        </w:rPr>
        <w:t>2022 г. Вътрешното търсене ще остане водещо за растежа на БВП по линия както на потреблението, така и на инвестициите. Същевременно, растежът на крайното потребление се очаква да се забави в края на прогнозния период, в резултат на по-ниско публично потребление и забавяне на темповете на растеж на частното потребление, в съответствие с изчерпване на възможностите за нарастване на заетостта. От друга страна, повишението на инвестициите ще се ускори, подкрепено най-вече от динамиката на публичните инвестиции. Очаква се негативният ефект върху БВП по линия на</w:t>
      </w:r>
      <w:r>
        <w:rPr>
          <w:rFonts w:eastAsia="Calibri" w:cs="Times New Roman"/>
          <w:bCs/>
          <w:szCs w:val="24"/>
        </w:rPr>
        <w:t xml:space="preserve"> нетния износ да се забави до 0,</w:t>
      </w:r>
      <w:r w:rsidRPr="0002415A">
        <w:rPr>
          <w:rFonts w:eastAsia="Calibri" w:cs="Times New Roman"/>
          <w:bCs/>
          <w:szCs w:val="24"/>
        </w:rPr>
        <w:t>8 пр.</w:t>
      </w:r>
      <w:r w:rsidR="0043739D">
        <w:rPr>
          <w:rFonts w:eastAsia="Calibri" w:cs="Times New Roman"/>
          <w:bCs/>
          <w:szCs w:val="24"/>
        </w:rPr>
        <w:t>п. в края на прогнозния период.</w:t>
      </w:r>
    </w:p>
    <w:p w:rsidR="00083361" w:rsidRPr="00F27608" w:rsidRDefault="00083361" w:rsidP="00676AFF">
      <w:pPr>
        <w:pStyle w:val="Heading3"/>
        <w:ind w:left="0"/>
      </w:pPr>
      <w:bookmarkStart w:id="188" w:name="_Toc464225419"/>
      <w:bookmarkStart w:id="189" w:name="_Toc464458965"/>
      <w:bookmarkStart w:id="190" w:name="_Toc464459711"/>
      <w:bookmarkStart w:id="191" w:name="_Toc464460666"/>
      <w:bookmarkStart w:id="192" w:name="_Toc464463065"/>
      <w:bookmarkStart w:id="193" w:name="_Toc464464892"/>
      <w:bookmarkStart w:id="194" w:name="_Toc464465398"/>
      <w:bookmarkStart w:id="195" w:name="_Toc464465586"/>
      <w:bookmarkStart w:id="196" w:name="_Toc464466411"/>
      <w:bookmarkStart w:id="197" w:name="_Toc464466655"/>
      <w:bookmarkStart w:id="198" w:name="_Toc464644958"/>
      <w:bookmarkStart w:id="199" w:name="_Toc465070448"/>
      <w:bookmarkStart w:id="200" w:name="_Toc465205498"/>
      <w:r w:rsidRPr="00676AFF">
        <w:rPr>
          <w:w w:val="90"/>
          <w:lang w:eastAsia="zh-CN"/>
        </w:rPr>
        <w:t>ПАЗАР</w:t>
      </w:r>
      <w:r w:rsidRPr="00F27608">
        <w:t xml:space="preserve"> НА ТРУДА</w:t>
      </w:r>
      <w:bookmarkEnd w:id="188"/>
      <w:bookmarkEnd w:id="189"/>
      <w:bookmarkEnd w:id="190"/>
      <w:bookmarkEnd w:id="191"/>
      <w:bookmarkEnd w:id="192"/>
      <w:bookmarkEnd w:id="193"/>
      <w:bookmarkEnd w:id="194"/>
      <w:bookmarkEnd w:id="195"/>
      <w:bookmarkEnd w:id="196"/>
      <w:bookmarkEnd w:id="197"/>
      <w:bookmarkEnd w:id="198"/>
      <w:bookmarkEnd w:id="199"/>
      <w:bookmarkEnd w:id="200"/>
    </w:p>
    <w:p w:rsidR="00405CBC" w:rsidRPr="00405CBC" w:rsidRDefault="00405CBC" w:rsidP="00405CBC">
      <w:pPr>
        <w:spacing w:after="120"/>
        <w:rPr>
          <w:rFonts w:eastAsia="Times New Roman" w:cs="Times New Roman"/>
          <w:szCs w:val="24"/>
        </w:rPr>
      </w:pPr>
      <w:r w:rsidRPr="00405CBC">
        <w:rPr>
          <w:rFonts w:eastAsia="Times New Roman" w:cs="Times New Roman"/>
          <w:szCs w:val="24"/>
        </w:rPr>
        <w:t>В условията на високо търсене на труд и повишение на доходите, през първото полугодие на 2019 г. работната сила се увеличи, а нивото на безработица отбеляза исторически минимум. Благоприятните развития на пазара на труда се очаква да продължат и през втората половина на годината, като за цялата 2019 г. трудоспособната работна сила (15-64 г.) се прогнозира да нарасне с 1,3%. Това ще отрази ускореното повишение в коефициента на икономическа активност на населението спрямо 2018 г. до 73,4% (15-64 г.). Очакваното нарастване на заетостта ще бъде подкрепено и от по-нататъшен спад в коефициента на безработица, чиято средногодишна стойност се оценява на 4,4%</w:t>
      </w:r>
      <w:r w:rsidRPr="00405CBC">
        <w:rPr>
          <w:rFonts w:eastAsia="Times New Roman" w:cs="Times New Roman"/>
          <w:position w:val="2"/>
          <w:sz w:val="18"/>
          <w:szCs w:val="24"/>
          <w:vertAlign w:val="superscript"/>
          <w:lang w:eastAsia="en-US"/>
        </w:rPr>
        <w:footnoteReference w:id="9"/>
      </w:r>
      <w:r w:rsidRPr="00405CBC">
        <w:rPr>
          <w:rFonts w:eastAsia="Times New Roman" w:cs="Times New Roman"/>
          <w:szCs w:val="24"/>
        </w:rPr>
        <w:t>. След като през първото полугодие динамиката на заетите (съгласно ЕСС 2010) се подобри до 0,2% в сравнение с отбелязаните спадове през втората половина на 2018 г., до края на 2019 г. растежът се очаква да се ускори и средният темп на нарастване за цялата година се прогнозира да достигне 0,4%.</w:t>
      </w:r>
    </w:p>
    <w:p w:rsidR="00405CBC" w:rsidRPr="00405CBC" w:rsidRDefault="00405CBC" w:rsidP="00405CBC">
      <w:pPr>
        <w:spacing w:after="120"/>
        <w:rPr>
          <w:rFonts w:eastAsia="Times New Roman" w:cs="Times New Roman"/>
          <w:szCs w:val="24"/>
        </w:rPr>
      </w:pPr>
      <w:r w:rsidRPr="00405CBC">
        <w:rPr>
          <w:rFonts w:eastAsia="Times New Roman" w:cs="Times New Roman"/>
          <w:szCs w:val="24"/>
        </w:rPr>
        <w:t>През 2020 г. растежът на заетостта се очаква да отслабне до 0,2% под влияние на ограниченията от страна на предлагането на труд. Последните са обусловени както от устойчивата тенденция на намаление на населението в трудоспособна възраст, така и от бързото изчерпване на свободния трудов ресурс от безработни лица и лица извън работната сила (обезкуражени), които най-бързо биха могли да задоволят търсенето на труд. Коефициентът на безработица се очаква да забави темпа си на намаление и да достигне 4,1% от работната сила.</w:t>
      </w:r>
    </w:p>
    <w:p w:rsidR="00405CBC" w:rsidRPr="00405CBC" w:rsidRDefault="00405CBC" w:rsidP="00405CBC">
      <w:pPr>
        <w:spacing w:after="120"/>
        <w:rPr>
          <w:rFonts w:eastAsia="Times New Roman" w:cs="Times New Roman"/>
          <w:szCs w:val="24"/>
        </w:rPr>
      </w:pPr>
      <w:r w:rsidRPr="00405CBC">
        <w:rPr>
          <w:rFonts w:eastAsia="Times New Roman" w:cs="Times New Roman"/>
          <w:szCs w:val="24"/>
        </w:rPr>
        <w:t>В периода 2021-2022 г. положителната динамика на заетостта се очаква да бъде преустановена, а коефициентът на безработица ще се задържи около 4</w:t>
      </w:r>
      <w:r>
        <w:rPr>
          <w:rFonts w:eastAsia="Times New Roman" w:cs="Times New Roman"/>
          <w:szCs w:val="24"/>
        </w:rPr>
        <w:t>,0</w:t>
      </w:r>
      <w:r w:rsidRPr="00405CBC">
        <w:rPr>
          <w:rFonts w:eastAsia="Times New Roman" w:cs="Times New Roman"/>
          <w:szCs w:val="24"/>
        </w:rPr>
        <w:t>%.</w:t>
      </w:r>
    </w:p>
    <w:p w:rsidR="00405CBC" w:rsidRPr="00405CBC" w:rsidRDefault="00405CBC" w:rsidP="00405CBC">
      <w:pPr>
        <w:spacing w:after="120"/>
        <w:rPr>
          <w:rFonts w:eastAsia="Times New Roman" w:cs="Times New Roman"/>
          <w:szCs w:val="24"/>
        </w:rPr>
      </w:pPr>
      <w:r w:rsidRPr="00405CBC">
        <w:rPr>
          <w:rFonts w:eastAsia="Times New Roman" w:cs="Times New Roman"/>
          <w:szCs w:val="24"/>
        </w:rPr>
        <w:t>С повишения размер на компенсацията на наетите за 2018 г. в резултат от ревизиите на НСИ, динамиката на компенсацията на един нает през първата половина на 2019 г. се забави до 7,5%. В съответствие с очакваното по-бързо увеличение в броя на наетите през втората половина на годината, темпът на нарастване на доходите от труд също се очаква слабо да се ускори. Така средният за 2019 г. растеж на компенсацията на един нает се прогнозира да възлезе на 8</w:t>
      </w:r>
      <w:r>
        <w:rPr>
          <w:rFonts w:eastAsia="Times New Roman" w:cs="Times New Roman"/>
          <w:szCs w:val="24"/>
        </w:rPr>
        <w:t>,0</w:t>
      </w:r>
      <w:r w:rsidRPr="00405CBC">
        <w:rPr>
          <w:rFonts w:eastAsia="Times New Roman" w:cs="Times New Roman"/>
          <w:szCs w:val="24"/>
        </w:rPr>
        <w:t>%.</w:t>
      </w:r>
    </w:p>
    <w:p w:rsidR="00991966" w:rsidRPr="00405CBC" w:rsidRDefault="00405CBC" w:rsidP="00991966">
      <w:pPr>
        <w:spacing w:after="120"/>
        <w:rPr>
          <w:rFonts w:eastAsia="Times New Roman" w:cs="Times New Roman"/>
          <w:szCs w:val="24"/>
        </w:rPr>
      </w:pPr>
      <w:r w:rsidRPr="00405CBC">
        <w:rPr>
          <w:rFonts w:eastAsia="Times New Roman" w:cs="Times New Roman"/>
          <w:szCs w:val="24"/>
        </w:rPr>
        <w:t xml:space="preserve">През 2020 г. нарастването на компенсацията на един нает се очаква да се забави до 7,4% под влияние на отслабването в положителната динамика на пазара на труда. Това ще е характерно преди всичко за частния сектор, където по-бавният темп на увеличение на доходите от труд се обуславя от очакваното забавяне в растежа на броя на наетите лица. </w:t>
      </w:r>
      <w:r w:rsidR="00991966" w:rsidRPr="00405CBC">
        <w:rPr>
          <w:rFonts w:eastAsia="Times New Roman" w:cs="Times New Roman"/>
          <w:szCs w:val="24"/>
        </w:rPr>
        <w:t xml:space="preserve">Същевременно, по-нататъшното увеличение на доходите в сектора на образованието и планираното ново увеличение на </w:t>
      </w:r>
      <w:r w:rsidR="00991966">
        <w:rPr>
          <w:rFonts w:eastAsia="Times New Roman" w:cs="Times New Roman"/>
          <w:szCs w:val="24"/>
        </w:rPr>
        <w:t>разходите за персонал</w:t>
      </w:r>
      <w:r w:rsidR="00991966" w:rsidRPr="00405CBC">
        <w:rPr>
          <w:rFonts w:eastAsia="Times New Roman" w:cs="Times New Roman"/>
          <w:szCs w:val="24"/>
        </w:rPr>
        <w:t xml:space="preserve"> с 10%</w:t>
      </w:r>
      <w:r w:rsidR="00991966">
        <w:rPr>
          <w:rFonts w:eastAsia="Times New Roman" w:cs="Times New Roman"/>
          <w:szCs w:val="24"/>
        </w:rPr>
        <w:t>, което ще се отрази на възнагражденията в бюджетния сектор,</w:t>
      </w:r>
      <w:r w:rsidR="00991966" w:rsidRPr="00405CBC">
        <w:rPr>
          <w:rFonts w:eastAsia="Times New Roman" w:cs="Times New Roman"/>
          <w:szCs w:val="24"/>
        </w:rPr>
        <w:t xml:space="preserve"> ще допринесат за запазване на растежа на компенсациите в публичния сектор близък до този от предходната година.</w:t>
      </w:r>
    </w:p>
    <w:p w:rsidR="00405CBC" w:rsidRPr="00405CBC" w:rsidRDefault="00405CBC" w:rsidP="00405CBC">
      <w:pPr>
        <w:spacing w:after="120"/>
        <w:rPr>
          <w:rFonts w:eastAsia="Times New Roman" w:cs="Times New Roman"/>
          <w:szCs w:val="24"/>
        </w:rPr>
      </w:pPr>
      <w:r w:rsidRPr="00405CBC">
        <w:rPr>
          <w:rFonts w:eastAsia="Times New Roman" w:cs="Times New Roman"/>
          <w:szCs w:val="24"/>
        </w:rPr>
        <w:t>С постепенното преустановяване на нарастването на заетостта, повишението на компенсацията на един нает ще продължи да се забавя, докато достигне около 6,7% в края на прогнозния хоризонт.</w:t>
      </w:r>
    </w:p>
    <w:p w:rsidR="00405CBC" w:rsidRPr="0043739D" w:rsidRDefault="00405CBC" w:rsidP="00856DCE">
      <w:pPr>
        <w:spacing w:after="120"/>
        <w:rPr>
          <w:rFonts w:eastAsia="Times New Roman" w:cs="Times New Roman"/>
          <w:szCs w:val="24"/>
        </w:rPr>
      </w:pPr>
      <w:r w:rsidRPr="00405CBC">
        <w:rPr>
          <w:rFonts w:eastAsia="Times New Roman" w:cs="Times New Roman"/>
          <w:szCs w:val="24"/>
        </w:rPr>
        <w:t>Оценките за динамиката на производителността на труда пок</w:t>
      </w:r>
      <w:r w:rsidR="0043739D">
        <w:rPr>
          <w:rFonts w:eastAsia="Times New Roman" w:cs="Times New Roman"/>
          <w:szCs w:val="24"/>
        </w:rPr>
        <w:t>азват средногодишен растеж от 3,</w:t>
      </w:r>
      <w:r w:rsidRPr="00405CBC">
        <w:rPr>
          <w:rFonts w:eastAsia="Times New Roman" w:cs="Times New Roman"/>
          <w:szCs w:val="24"/>
        </w:rPr>
        <w:t xml:space="preserve">3% през разглеждания период. Като се вземе предвид и очакваното развитие на доходите, номиналните разходи за труд на единица продукция се очаква постепенно да забавят темпа си на повишение през прогнозния хоризонт, като от 4,9% за 2019 г. </w:t>
      </w:r>
      <w:r w:rsidR="0043739D">
        <w:rPr>
          <w:rFonts w:eastAsia="Times New Roman" w:cs="Times New Roman"/>
          <w:szCs w:val="24"/>
        </w:rPr>
        <w:t>достигнат около 3,0% през 2022 г.</w:t>
      </w:r>
    </w:p>
    <w:p w:rsidR="00083361" w:rsidRPr="00D8768E" w:rsidRDefault="00083361" w:rsidP="00676AFF">
      <w:pPr>
        <w:pStyle w:val="Heading3"/>
        <w:ind w:left="0"/>
        <w:rPr>
          <w:lang w:val="ru-RU" w:eastAsia="zh-CN"/>
        </w:rPr>
      </w:pPr>
      <w:bookmarkStart w:id="201" w:name="_Toc464225420"/>
      <w:bookmarkStart w:id="202" w:name="_Toc464458966"/>
      <w:bookmarkStart w:id="203" w:name="_Toc464459712"/>
      <w:bookmarkStart w:id="204" w:name="_Toc464460667"/>
      <w:bookmarkStart w:id="205" w:name="_Toc464463066"/>
      <w:bookmarkStart w:id="206" w:name="_Toc464464893"/>
      <w:bookmarkStart w:id="207" w:name="_Toc464465399"/>
      <w:bookmarkStart w:id="208" w:name="_Toc464465587"/>
      <w:bookmarkStart w:id="209" w:name="_Toc464466412"/>
      <w:bookmarkStart w:id="210" w:name="_Toc464466656"/>
      <w:bookmarkStart w:id="211" w:name="_Toc464644959"/>
      <w:bookmarkStart w:id="212" w:name="_Toc465070449"/>
      <w:bookmarkStart w:id="213" w:name="_Toc465205499"/>
      <w:r w:rsidRPr="00676AFF">
        <w:rPr>
          <w:w w:val="90"/>
          <w:lang w:eastAsia="zh-CN"/>
        </w:rPr>
        <w:t>ИНФЛАЦИЯ</w:t>
      </w:r>
      <w:bookmarkEnd w:id="201"/>
      <w:bookmarkEnd w:id="202"/>
      <w:bookmarkEnd w:id="203"/>
      <w:bookmarkEnd w:id="204"/>
      <w:bookmarkEnd w:id="205"/>
      <w:bookmarkEnd w:id="206"/>
      <w:bookmarkEnd w:id="207"/>
      <w:bookmarkEnd w:id="208"/>
      <w:bookmarkEnd w:id="209"/>
      <w:bookmarkEnd w:id="210"/>
      <w:bookmarkEnd w:id="211"/>
      <w:bookmarkEnd w:id="212"/>
      <w:bookmarkEnd w:id="213"/>
    </w:p>
    <w:p w:rsidR="00405CBC" w:rsidRPr="00405CBC" w:rsidRDefault="00405CBC" w:rsidP="00405CBC">
      <w:pPr>
        <w:spacing w:after="120"/>
        <w:rPr>
          <w:rFonts w:eastAsia="Calibri" w:cs="Times New Roman"/>
          <w:bCs/>
          <w:szCs w:val="24"/>
        </w:rPr>
      </w:pPr>
      <w:r w:rsidRPr="00405CBC">
        <w:rPr>
          <w:rFonts w:eastAsia="Calibri" w:cs="Times New Roman"/>
          <w:bCs/>
          <w:szCs w:val="24"/>
        </w:rPr>
        <w:t xml:space="preserve">Инфлацията в края на </w:t>
      </w:r>
      <w:r>
        <w:rPr>
          <w:rFonts w:eastAsia="Calibri" w:cs="Times New Roman"/>
          <w:bCs/>
          <w:szCs w:val="24"/>
        </w:rPr>
        <w:t>2019 г. се прогнозира да бъде 2,8%</w:t>
      </w:r>
      <w:r w:rsidR="00B05E74">
        <w:rPr>
          <w:rFonts w:eastAsia="Calibri" w:cs="Times New Roman"/>
          <w:bCs/>
          <w:szCs w:val="24"/>
        </w:rPr>
        <w:t xml:space="preserve"> </w:t>
      </w:r>
      <w:r>
        <w:rPr>
          <w:rFonts w:eastAsia="Calibri" w:cs="Times New Roman"/>
          <w:bCs/>
          <w:szCs w:val="24"/>
        </w:rPr>
        <w:t>(с 0,</w:t>
      </w:r>
      <w:r w:rsidRPr="00405CBC">
        <w:rPr>
          <w:rFonts w:eastAsia="Calibri" w:cs="Times New Roman"/>
          <w:bCs/>
          <w:szCs w:val="24"/>
        </w:rPr>
        <w:t>4 пр.п. по-висока от тази в пролетната</w:t>
      </w:r>
      <w:r>
        <w:rPr>
          <w:rFonts w:eastAsia="Calibri" w:cs="Times New Roman"/>
          <w:bCs/>
          <w:szCs w:val="24"/>
        </w:rPr>
        <w:t xml:space="preserve"> прогноза), а средногодишната </w:t>
      </w:r>
      <w:r w:rsidR="00B05E74" w:rsidRPr="00B05E74">
        <w:rPr>
          <w:rFonts w:eastAsia="Calibri" w:cs="Times New Roman"/>
          <w:bCs/>
          <w:szCs w:val="24"/>
        </w:rPr>
        <w:t>–</w:t>
      </w:r>
      <w:r w:rsidR="00B05E74">
        <w:rPr>
          <w:rFonts w:eastAsia="Calibri" w:cs="Times New Roman"/>
          <w:bCs/>
          <w:szCs w:val="24"/>
        </w:rPr>
        <w:t xml:space="preserve"> </w:t>
      </w:r>
      <w:r>
        <w:rPr>
          <w:rFonts w:eastAsia="Calibri" w:cs="Times New Roman"/>
          <w:bCs/>
          <w:szCs w:val="24"/>
        </w:rPr>
        <w:t>2,</w:t>
      </w:r>
      <w:r w:rsidRPr="00405CBC">
        <w:rPr>
          <w:rFonts w:eastAsia="Calibri" w:cs="Times New Roman"/>
          <w:bCs/>
          <w:szCs w:val="24"/>
        </w:rPr>
        <w:t>5%. Базисната</w:t>
      </w:r>
      <w:r w:rsidR="00520971">
        <w:rPr>
          <w:rStyle w:val="FootnoteReference"/>
          <w:rFonts w:eastAsia="Calibri"/>
          <w:bCs/>
          <w:szCs w:val="24"/>
        </w:rPr>
        <w:footnoteReference w:id="10"/>
      </w:r>
      <w:r w:rsidRPr="00405CBC">
        <w:rPr>
          <w:rFonts w:eastAsia="Calibri" w:cs="Times New Roman"/>
          <w:bCs/>
          <w:szCs w:val="24"/>
        </w:rPr>
        <w:t xml:space="preserve"> инфлация в края на годин</w:t>
      </w:r>
      <w:r>
        <w:rPr>
          <w:rFonts w:eastAsia="Calibri" w:cs="Times New Roman"/>
          <w:bCs/>
          <w:szCs w:val="24"/>
        </w:rPr>
        <w:t>ата се прогнозира да достигне 2,</w:t>
      </w:r>
      <w:r w:rsidRPr="00405CBC">
        <w:rPr>
          <w:rFonts w:eastAsia="Calibri" w:cs="Times New Roman"/>
          <w:bCs/>
          <w:szCs w:val="24"/>
        </w:rPr>
        <w:t>9%, в сравнени</w:t>
      </w:r>
      <w:r>
        <w:rPr>
          <w:rFonts w:eastAsia="Calibri" w:cs="Times New Roman"/>
          <w:bCs/>
          <w:szCs w:val="24"/>
        </w:rPr>
        <w:t>е с тази в края на 2018 г. от 2,</w:t>
      </w:r>
      <w:r w:rsidRPr="00405CBC">
        <w:rPr>
          <w:rFonts w:eastAsia="Calibri" w:cs="Times New Roman"/>
          <w:bCs/>
          <w:szCs w:val="24"/>
        </w:rPr>
        <w:t>1%. Услугите и хранителните стоки ще имат най-висок принос за инфлацията в края на годината. Прогнозира се техните це</w:t>
      </w:r>
      <w:r>
        <w:rPr>
          <w:rFonts w:eastAsia="Calibri" w:cs="Times New Roman"/>
          <w:bCs/>
          <w:szCs w:val="24"/>
        </w:rPr>
        <w:t>ни да се увеличат съответно с 4,8 и 5,</w:t>
      </w:r>
      <w:r w:rsidRPr="00405CBC">
        <w:rPr>
          <w:rFonts w:eastAsia="Calibri" w:cs="Times New Roman"/>
          <w:bCs/>
          <w:szCs w:val="24"/>
        </w:rPr>
        <w:t>6%. Също така се очаква влиянието на енергийните стоки (пряко и косвено) върху инфлационните процеси в страната постепенно да намалява.</w:t>
      </w:r>
    </w:p>
    <w:p w:rsidR="00405CBC" w:rsidRPr="00405CBC" w:rsidRDefault="00405CBC" w:rsidP="00405CBC">
      <w:pPr>
        <w:spacing w:after="120"/>
        <w:rPr>
          <w:rFonts w:eastAsia="Calibri" w:cs="Times New Roman"/>
          <w:bCs/>
          <w:szCs w:val="24"/>
        </w:rPr>
      </w:pPr>
      <w:r w:rsidRPr="00405CBC">
        <w:rPr>
          <w:rFonts w:eastAsia="Calibri" w:cs="Times New Roman"/>
          <w:bCs/>
          <w:szCs w:val="24"/>
        </w:rPr>
        <w:t>За 2020 г. се прогнозира и</w:t>
      </w:r>
      <w:r>
        <w:rPr>
          <w:rFonts w:eastAsia="Calibri" w:cs="Times New Roman"/>
          <w:bCs/>
          <w:szCs w:val="24"/>
        </w:rPr>
        <w:t>нфлация в края на годината от 2,</w:t>
      </w:r>
      <w:r w:rsidRPr="00405CBC">
        <w:rPr>
          <w:rFonts w:eastAsia="Calibri" w:cs="Times New Roman"/>
          <w:bCs/>
          <w:szCs w:val="24"/>
        </w:rPr>
        <w:t>3%, а сре</w:t>
      </w:r>
      <w:r>
        <w:rPr>
          <w:rFonts w:eastAsia="Calibri" w:cs="Times New Roman"/>
          <w:bCs/>
          <w:szCs w:val="24"/>
        </w:rPr>
        <w:t>дногодишна – 2,</w:t>
      </w:r>
      <w:r w:rsidRPr="00405CBC">
        <w:rPr>
          <w:rFonts w:eastAsia="Calibri" w:cs="Times New Roman"/>
          <w:bCs/>
          <w:szCs w:val="24"/>
        </w:rPr>
        <w:t xml:space="preserve">1%. Влиянието на международните цени на суровините, особено на суровия нефт, като проинфлационен външен фактор, се очаква да бъде ограничено. Цените на храните ще продължат да нарастват, но с по-нисък темп. Очакванията за международните цени на селскостопанските суровини са леко да поскъпнат през 2020 г., за разлика от 2019 г., в която се очертава спад. През следващата година не </w:t>
      </w:r>
      <w:r w:rsidR="00B05E74">
        <w:rPr>
          <w:rFonts w:eastAsia="Calibri" w:cs="Times New Roman"/>
          <w:bCs/>
          <w:szCs w:val="24"/>
        </w:rPr>
        <w:t xml:space="preserve">се </w:t>
      </w:r>
      <w:r w:rsidRPr="00405CBC">
        <w:rPr>
          <w:rFonts w:eastAsia="Calibri" w:cs="Times New Roman"/>
          <w:bCs/>
          <w:szCs w:val="24"/>
        </w:rPr>
        <w:t>очаква</w:t>
      </w:r>
      <w:r w:rsidR="00B05E74">
        <w:rPr>
          <w:rFonts w:eastAsia="Calibri" w:cs="Times New Roman"/>
          <w:bCs/>
          <w:szCs w:val="24"/>
        </w:rPr>
        <w:t>т</w:t>
      </w:r>
      <w:r w:rsidRPr="00405CBC">
        <w:rPr>
          <w:rFonts w:eastAsia="Calibri" w:cs="Times New Roman"/>
          <w:bCs/>
          <w:szCs w:val="24"/>
        </w:rPr>
        <w:t xml:space="preserve"> </w:t>
      </w:r>
      <w:r w:rsidR="00C11319">
        <w:rPr>
          <w:rFonts w:eastAsia="Calibri" w:cs="Times New Roman"/>
          <w:bCs/>
          <w:szCs w:val="24"/>
        </w:rPr>
        <w:t>„</w:t>
      </w:r>
      <w:r w:rsidRPr="00405CBC">
        <w:rPr>
          <w:rFonts w:eastAsia="Calibri" w:cs="Times New Roman"/>
          <w:bCs/>
          <w:szCs w:val="24"/>
        </w:rPr>
        <w:t>шокове</w:t>
      </w:r>
      <w:r w:rsidR="00C11319">
        <w:rPr>
          <w:rFonts w:eastAsia="Calibri" w:cs="Times New Roman"/>
          <w:bCs/>
          <w:szCs w:val="24"/>
        </w:rPr>
        <w:t>“</w:t>
      </w:r>
      <w:r w:rsidRPr="00405CBC">
        <w:rPr>
          <w:rFonts w:eastAsia="Calibri" w:cs="Times New Roman"/>
          <w:bCs/>
          <w:szCs w:val="24"/>
        </w:rPr>
        <w:t xml:space="preserve"> в предлагането на селскостопанска продукция в страната, а обезценката на еврото спрямо щатския долар ще бъде доста по-ниска в сравнение с 2019 г. Базисната</w:t>
      </w:r>
      <w:r w:rsidR="00520971">
        <w:rPr>
          <w:rFonts w:eastAsia="Calibri" w:cs="Times New Roman"/>
          <w:bCs/>
          <w:szCs w:val="24"/>
        </w:rPr>
        <w:t xml:space="preserve"> </w:t>
      </w:r>
      <w:r w:rsidRPr="00405CBC">
        <w:rPr>
          <w:rFonts w:eastAsia="Calibri" w:cs="Times New Roman"/>
          <w:bCs/>
          <w:szCs w:val="24"/>
        </w:rPr>
        <w:t>инфлация в края на г</w:t>
      </w:r>
      <w:r>
        <w:rPr>
          <w:rFonts w:eastAsia="Calibri" w:cs="Times New Roman"/>
          <w:bCs/>
          <w:szCs w:val="24"/>
        </w:rPr>
        <w:t>одината се прогнозира да бъде 2,</w:t>
      </w:r>
      <w:r w:rsidRPr="00405CBC">
        <w:rPr>
          <w:rFonts w:eastAsia="Calibri" w:cs="Times New Roman"/>
          <w:bCs/>
          <w:szCs w:val="24"/>
        </w:rPr>
        <w:t>6%</w:t>
      </w:r>
      <w:r w:rsidR="004B73D5">
        <w:rPr>
          <w:rFonts w:eastAsia="Calibri" w:cs="Times New Roman"/>
          <w:bCs/>
          <w:szCs w:val="24"/>
        </w:rPr>
        <w:t>,</w:t>
      </w:r>
      <w:r w:rsidRPr="00405CBC">
        <w:rPr>
          <w:rFonts w:eastAsia="Calibri" w:cs="Times New Roman"/>
          <w:bCs/>
          <w:szCs w:val="24"/>
        </w:rPr>
        <w:t xml:space="preserve"> движена о</w:t>
      </w:r>
      <w:r>
        <w:rPr>
          <w:rFonts w:eastAsia="Calibri" w:cs="Times New Roman"/>
          <w:bCs/>
          <w:szCs w:val="24"/>
        </w:rPr>
        <w:t>т поскъпването при услугите с 4,</w:t>
      </w:r>
      <w:r w:rsidRPr="00405CBC">
        <w:rPr>
          <w:rFonts w:eastAsia="Calibri" w:cs="Times New Roman"/>
          <w:bCs/>
          <w:szCs w:val="24"/>
        </w:rPr>
        <w:t xml:space="preserve">3%. </w:t>
      </w:r>
    </w:p>
    <w:p w:rsidR="00405CBC" w:rsidRPr="00405CBC" w:rsidRDefault="00405CBC" w:rsidP="00405CBC">
      <w:pPr>
        <w:spacing w:after="120"/>
        <w:rPr>
          <w:rFonts w:eastAsia="Calibri" w:cs="Times New Roman"/>
          <w:bCs/>
          <w:szCs w:val="24"/>
        </w:rPr>
      </w:pPr>
      <w:r w:rsidRPr="00405CBC">
        <w:rPr>
          <w:rFonts w:eastAsia="Calibri" w:cs="Times New Roman"/>
          <w:bCs/>
          <w:szCs w:val="24"/>
        </w:rPr>
        <w:t>В следващите го</w:t>
      </w:r>
      <w:r>
        <w:rPr>
          <w:rFonts w:eastAsia="Calibri" w:cs="Times New Roman"/>
          <w:bCs/>
          <w:szCs w:val="24"/>
        </w:rPr>
        <w:t>дини от прогнозния период (2021-</w:t>
      </w:r>
      <w:r w:rsidRPr="00405CBC">
        <w:rPr>
          <w:rFonts w:eastAsia="Calibri" w:cs="Times New Roman"/>
          <w:bCs/>
          <w:szCs w:val="24"/>
        </w:rPr>
        <w:t>2022 г.) като цяло се очаква леко забавяне в стойностите на инфлация, поради очакваните намаляващи равнища в международните цени на петрола и стабилизирането в цените при останалите суровини. Вътрешните фактори за инфлация се запазват, произтичащи от платежоспособното търсене на домакинствата, което е благоприятствано от нарастването на доходите, ниската безработица и растежа на кредитите. Прогнозира се цените на услугите да нарастват с по-висок темп от този на стоките.</w:t>
      </w:r>
    </w:p>
    <w:p w:rsidR="00083361" w:rsidRPr="00D8768E" w:rsidRDefault="00083361" w:rsidP="00676AFF">
      <w:pPr>
        <w:pStyle w:val="Heading3"/>
        <w:ind w:left="0"/>
        <w:rPr>
          <w:lang w:val="ru-RU" w:eastAsia="zh-CN"/>
        </w:rPr>
      </w:pPr>
      <w:bookmarkStart w:id="214" w:name="_Toc464225421"/>
      <w:bookmarkStart w:id="215" w:name="_Toc464458967"/>
      <w:bookmarkStart w:id="216" w:name="_Toc464459713"/>
      <w:bookmarkStart w:id="217" w:name="_Toc464460668"/>
      <w:bookmarkStart w:id="218" w:name="_Toc464463067"/>
      <w:bookmarkStart w:id="219" w:name="_Toc464464894"/>
      <w:bookmarkStart w:id="220" w:name="_Toc464465400"/>
      <w:bookmarkStart w:id="221" w:name="_Toc464465588"/>
      <w:bookmarkStart w:id="222" w:name="_Toc464466413"/>
      <w:bookmarkStart w:id="223" w:name="_Toc464466657"/>
      <w:bookmarkStart w:id="224" w:name="_Toc464644960"/>
      <w:bookmarkStart w:id="225" w:name="_Toc465070450"/>
      <w:bookmarkStart w:id="226" w:name="_Toc465205500"/>
      <w:r w:rsidRPr="00676AFF">
        <w:rPr>
          <w:w w:val="90"/>
          <w:lang w:eastAsia="zh-CN"/>
        </w:rPr>
        <w:t>ПЛАТЕЖЕН</w:t>
      </w:r>
      <w:r w:rsidRPr="00D8768E">
        <w:rPr>
          <w:lang w:val="ru-RU" w:eastAsia="zh-CN"/>
        </w:rPr>
        <w:t xml:space="preserve"> БАЛАНС</w:t>
      </w:r>
      <w:bookmarkEnd w:id="214"/>
      <w:bookmarkEnd w:id="215"/>
      <w:bookmarkEnd w:id="216"/>
      <w:bookmarkEnd w:id="217"/>
      <w:bookmarkEnd w:id="218"/>
      <w:bookmarkEnd w:id="219"/>
      <w:bookmarkEnd w:id="220"/>
      <w:bookmarkEnd w:id="221"/>
      <w:bookmarkEnd w:id="222"/>
      <w:bookmarkEnd w:id="223"/>
      <w:bookmarkEnd w:id="224"/>
      <w:bookmarkEnd w:id="225"/>
      <w:bookmarkEnd w:id="226"/>
    </w:p>
    <w:p w:rsidR="00405CBC" w:rsidRPr="00405CBC" w:rsidRDefault="00405CBC" w:rsidP="00405CBC">
      <w:pPr>
        <w:spacing w:after="120"/>
        <w:rPr>
          <w:rFonts w:eastAsia="Calibri" w:cs="Times New Roman"/>
          <w:bCs/>
          <w:szCs w:val="24"/>
        </w:rPr>
      </w:pPr>
      <w:r w:rsidRPr="00405CBC">
        <w:rPr>
          <w:rFonts w:eastAsia="Calibri" w:cs="Times New Roman"/>
          <w:bCs/>
          <w:szCs w:val="24"/>
        </w:rPr>
        <w:t xml:space="preserve">През 2019 г. се очаква ускорение на реалния растеж на износа на стоки, в резултат на възстановяване на износа на енергийни продукти. Същевременно, вносът на стоки ще се забави поради по-слабото вътрешно търсене и използване на част от запасите на фирмите. Допусканията за международните цени предполагат спад на цените на повечето суровини и в частност на енергийните продукти, което ще благоприятства формирането на положителни условия на търговия. Номиналният растеж на износа на </w:t>
      </w:r>
      <w:r>
        <w:rPr>
          <w:rFonts w:eastAsia="Calibri" w:cs="Times New Roman"/>
          <w:bCs/>
          <w:szCs w:val="24"/>
        </w:rPr>
        <w:t>стоки (3,</w:t>
      </w:r>
      <w:r w:rsidRPr="00405CBC">
        <w:rPr>
          <w:rFonts w:eastAsia="Calibri" w:cs="Times New Roman"/>
          <w:bCs/>
          <w:szCs w:val="24"/>
        </w:rPr>
        <w:t>5%</w:t>
      </w:r>
      <w:r>
        <w:rPr>
          <w:rFonts w:eastAsia="Calibri" w:cs="Times New Roman"/>
          <w:bCs/>
          <w:szCs w:val="24"/>
        </w:rPr>
        <w:t>) ще изпревари този на вноса (2,</w:t>
      </w:r>
      <w:r w:rsidRPr="00405CBC">
        <w:rPr>
          <w:rFonts w:eastAsia="Calibri" w:cs="Times New Roman"/>
          <w:bCs/>
          <w:szCs w:val="24"/>
        </w:rPr>
        <w:t>4%), а търг</w:t>
      </w:r>
      <w:r>
        <w:rPr>
          <w:rFonts w:eastAsia="Calibri" w:cs="Times New Roman"/>
          <w:bCs/>
          <w:szCs w:val="24"/>
        </w:rPr>
        <w:t>овският дефицит ще се свие до 2,</w:t>
      </w:r>
      <w:r w:rsidRPr="00405CBC">
        <w:rPr>
          <w:rFonts w:eastAsia="Calibri" w:cs="Times New Roman"/>
          <w:bCs/>
          <w:szCs w:val="24"/>
        </w:rPr>
        <w:t>7% от БВП при 3</w:t>
      </w:r>
      <w:r>
        <w:rPr>
          <w:rFonts w:eastAsia="Calibri" w:cs="Times New Roman"/>
          <w:bCs/>
          <w:szCs w:val="24"/>
        </w:rPr>
        <w:t>,</w:t>
      </w:r>
      <w:r w:rsidRPr="00405CBC">
        <w:rPr>
          <w:rFonts w:eastAsia="Calibri" w:cs="Times New Roman"/>
          <w:bCs/>
          <w:szCs w:val="24"/>
        </w:rPr>
        <w:t>3% от БВП през 2018 г. Излишъкът при търговията с у</w:t>
      </w:r>
      <w:r>
        <w:rPr>
          <w:rFonts w:eastAsia="Calibri" w:cs="Times New Roman"/>
          <w:bCs/>
          <w:szCs w:val="24"/>
        </w:rPr>
        <w:t>слуги ще се запази на ниво от 6,</w:t>
      </w:r>
      <w:r w:rsidRPr="00405CBC">
        <w:rPr>
          <w:rFonts w:eastAsia="Calibri" w:cs="Times New Roman"/>
          <w:bCs/>
          <w:szCs w:val="24"/>
        </w:rPr>
        <w:t>3% от прогнозния БВП през 2019 г. Изплатеният към нерезиденти инвестиционен доход ще се увеличи, в резултат на нарастване на нетния опериращ излишък, което ще се отрази в намаление на положителния баланс на доходните статии. Крайният ефект от развитията по отделните статии на платежния баланс ще се изрази в леко понижение на и</w:t>
      </w:r>
      <w:r>
        <w:rPr>
          <w:rFonts w:eastAsia="Calibri" w:cs="Times New Roman"/>
          <w:bCs/>
          <w:szCs w:val="24"/>
        </w:rPr>
        <w:t>злишъка по текущата сметка до 5,2% от прогнозния БВП при 5,</w:t>
      </w:r>
      <w:r w:rsidRPr="00405CBC">
        <w:rPr>
          <w:rFonts w:eastAsia="Calibri" w:cs="Times New Roman"/>
          <w:bCs/>
          <w:szCs w:val="24"/>
        </w:rPr>
        <w:t>4% от БВП през 2018 г.</w:t>
      </w:r>
    </w:p>
    <w:p w:rsidR="00405CBC" w:rsidRPr="00405CBC" w:rsidRDefault="00405CBC" w:rsidP="00405CBC">
      <w:pPr>
        <w:spacing w:after="120"/>
        <w:rPr>
          <w:rFonts w:eastAsia="Calibri" w:cs="Times New Roman"/>
          <w:bCs/>
          <w:szCs w:val="24"/>
        </w:rPr>
      </w:pPr>
      <w:r w:rsidRPr="00405CBC">
        <w:rPr>
          <w:rFonts w:eastAsia="Calibri" w:cs="Times New Roman"/>
          <w:bCs/>
          <w:szCs w:val="24"/>
        </w:rPr>
        <w:t>През 2020 г. номиналният растеж на износа на стоки ще се ускори, след което постепенно ще започне да се забавя в резултат на забавяне на икономиката на ЕС и понижава</w:t>
      </w:r>
      <w:r w:rsidR="00E420F8">
        <w:rPr>
          <w:rFonts w:eastAsia="Calibri" w:cs="Times New Roman"/>
          <w:bCs/>
          <w:szCs w:val="24"/>
        </w:rPr>
        <w:t>щи се ценови дефлатори. Въпреки</w:t>
      </w:r>
      <w:r w:rsidRPr="00405CBC">
        <w:rPr>
          <w:rFonts w:eastAsia="Calibri" w:cs="Times New Roman"/>
          <w:bCs/>
          <w:szCs w:val="24"/>
        </w:rPr>
        <w:t xml:space="preserve"> че условията на търговия ще останат положителни</w:t>
      </w:r>
      <w:r w:rsidR="00E420F8">
        <w:rPr>
          <w:rFonts w:eastAsia="Calibri" w:cs="Times New Roman"/>
          <w:bCs/>
          <w:szCs w:val="24"/>
        </w:rPr>
        <w:t>, растежът</w:t>
      </w:r>
      <w:r w:rsidRPr="00405CBC">
        <w:rPr>
          <w:rFonts w:eastAsia="Calibri" w:cs="Times New Roman"/>
          <w:bCs/>
          <w:szCs w:val="24"/>
        </w:rPr>
        <w:t xml:space="preserve"> на вноса ще изпревари този на износа, което ще се отрази в постепенно нарастване на търговския дефицит до края на периода. Износът на туристически услуги ще продължи да нараства, но с темпове по-ниски от растежа на номиналния БВП, а излишъкът при търговията с услуги постепенно ще намалява в периода 2020-2022 г. До края на периода общият баланс на доходните статии ще се запази почти непроменен в съотношение спрямо БВП. Излишъкът по текущата сметка ще запо</w:t>
      </w:r>
      <w:r>
        <w:rPr>
          <w:rFonts w:eastAsia="Calibri" w:cs="Times New Roman"/>
          <w:bCs/>
          <w:szCs w:val="24"/>
        </w:rPr>
        <w:t>чне постепенно да се свива до 2,</w:t>
      </w:r>
      <w:r w:rsidRPr="00405CBC">
        <w:rPr>
          <w:rFonts w:eastAsia="Calibri" w:cs="Times New Roman"/>
          <w:bCs/>
          <w:szCs w:val="24"/>
        </w:rPr>
        <w:t>5% от прогнозния БВП през 2022 г.</w:t>
      </w:r>
    </w:p>
    <w:p w:rsidR="00405CBC" w:rsidRPr="0043739D" w:rsidRDefault="00405CBC" w:rsidP="00856DCE">
      <w:pPr>
        <w:spacing w:after="120"/>
        <w:rPr>
          <w:rFonts w:eastAsia="Calibri" w:cs="Times New Roman"/>
          <w:bCs/>
          <w:szCs w:val="24"/>
        </w:rPr>
      </w:pPr>
      <w:r w:rsidRPr="00405CBC">
        <w:rPr>
          <w:rFonts w:eastAsia="Calibri" w:cs="Times New Roman"/>
          <w:bCs/>
          <w:szCs w:val="24"/>
        </w:rPr>
        <w:t>Входящите ПЧИ ще нарастват с темп близък до растежа на номиналния БВП при ср</w:t>
      </w:r>
      <w:r>
        <w:rPr>
          <w:rFonts w:eastAsia="Calibri" w:cs="Times New Roman"/>
          <w:bCs/>
          <w:szCs w:val="24"/>
        </w:rPr>
        <w:t>едногодишно съотношение около 2,</w:t>
      </w:r>
      <w:r w:rsidRPr="00405CBC">
        <w:rPr>
          <w:rFonts w:eastAsia="Calibri" w:cs="Times New Roman"/>
          <w:bCs/>
          <w:szCs w:val="24"/>
        </w:rPr>
        <w:t xml:space="preserve">5% от </w:t>
      </w:r>
      <w:r w:rsidR="0043739D">
        <w:rPr>
          <w:rFonts w:eastAsia="Calibri" w:cs="Times New Roman"/>
          <w:bCs/>
          <w:szCs w:val="24"/>
        </w:rPr>
        <w:t xml:space="preserve">БВП за целия прогнозен период. </w:t>
      </w:r>
    </w:p>
    <w:p w:rsidR="00083361" w:rsidRPr="003C27E4" w:rsidRDefault="00083361" w:rsidP="00676AFF">
      <w:pPr>
        <w:pStyle w:val="Heading3"/>
        <w:ind w:left="0"/>
        <w:rPr>
          <w:lang w:eastAsia="zh-CN"/>
        </w:rPr>
      </w:pPr>
      <w:bookmarkStart w:id="227" w:name="_Toc464225422"/>
      <w:bookmarkStart w:id="228" w:name="_Toc464458968"/>
      <w:bookmarkStart w:id="229" w:name="_Toc464459714"/>
      <w:bookmarkStart w:id="230" w:name="_Toc464460669"/>
      <w:bookmarkStart w:id="231" w:name="_Toc464463068"/>
      <w:bookmarkStart w:id="232" w:name="_Toc464464895"/>
      <w:bookmarkStart w:id="233" w:name="_Toc464465401"/>
      <w:bookmarkStart w:id="234" w:name="_Toc464465589"/>
      <w:bookmarkStart w:id="235" w:name="_Toc464466414"/>
      <w:bookmarkStart w:id="236" w:name="_Toc464466658"/>
      <w:bookmarkStart w:id="237" w:name="_Toc464644961"/>
      <w:bookmarkStart w:id="238" w:name="_Toc465070451"/>
      <w:bookmarkStart w:id="239" w:name="_Toc465205501"/>
      <w:r w:rsidRPr="00676AFF">
        <w:rPr>
          <w:w w:val="90"/>
          <w:lang w:eastAsia="zh-CN"/>
        </w:rPr>
        <w:t>ПАРИЧЕН</w:t>
      </w:r>
      <w:r w:rsidRPr="003C27E4">
        <w:rPr>
          <w:lang w:eastAsia="zh-CN"/>
        </w:rPr>
        <w:t xml:space="preserve"> СЕКТОР</w:t>
      </w:r>
      <w:bookmarkEnd w:id="227"/>
      <w:bookmarkEnd w:id="228"/>
      <w:bookmarkEnd w:id="229"/>
      <w:bookmarkEnd w:id="230"/>
      <w:bookmarkEnd w:id="231"/>
      <w:bookmarkEnd w:id="232"/>
      <w:bookmarkEnd w:id="233"/>
      <w:bookmarkEnd w:id="234"/>
      <w:bookmarkEnd w:id="235"/>
      <w:bookmarkEnd w:id="236"/>
      <w:bookmarkEnd w:id="237"/>
      <w:bookmarkEnd w:id="238"/>
      <w:bookmarkEnd w:id="239"/>
    </w:p>
    <w:p w:rsidR="00167302" w:rsidRPr="00167302" w:rsidRDefault="0043739D" w:rsidP="00167302">
      <w:pPr>
        <w:rPr>
          <w:rFonts w:eastAsia="Times New Roman" w:cs="Times New Roman"/>
          <w:szCs w:val="24"/>
        </w:rPr>
      </w:pPr>
      <w:r>
        <w:rPr>
          <w:rFonts w:eastAsia="Times New Roman" w:cs="Times New Roman"/>
          <w:szCs w:val="24"/>
        </w:rPr>
        <w:t>В периода 2019-2022 г.</w:t>
      </w:r>
      <w:r w:rsidR="00167302" w:rsidRPr="00167302">
        <w:rPr>
          <w:rFonts w:eastAsia="Times New Roman" w:cs="Times New Roman"/>
          <w:szCs w:val="24"/>
        </w:rPr>
        <w:t xml:space="preserve"> кредитирането за частния сектор ще продължи да нараства при очаквания за запазване на благоприятните условия както от страна на търсенето, така и от страна на предлагането на заемни ресурси. Привлечените депозити в банковата система също ще продължат да нарастват през целия прогнозен период.</w:t>
      </w:r>
    </w:p>
    <w:p w:rsidR="00167302" w:rsidRPr="009212CB" w:rsidRDefault="00167302" w:rsidP="009212CB">
      <w:pPr>
        <w:rPr>
          <w:rFonts w:eastAsia="Times New Roman" w:cs="Times New Roman"/>
          <w:szCs w:val="24"/>
        </w:rPr>
      </w:pPr>
      <w:r w:rsidRPr="00167302">
        <w:rPr>
          <w:rFonts w:eastAsia="Times New Roman" w:cs="Times New Roman"/>
          <w:szCs w:val="24"/>
        </w:rPr>
        <w:t>Кредитът за нефинансовите предприятия ще се ускорява през целия прогнозен период, отразявайки и очакванията за положителна динамика на частните инвестиции след 2019 г. Прогнозира се годишното нарастване на вземанията от предприятия да бъде около 5,9% през 2019 г. и да достигне 8,3% в края на 2022 г. Кредитът за домакинствата ще забавя темпа си на повишение в синхрон с очакванията за забавяне на нарастването на компенсацията на един нает и поради очаквания за постепенно забавяне на ръста на цените на жилищата в хоризонта на прогнозата, което ще има ограничаващ ефект върху покупките на домакинствата за недвижими имоти с инвестиционна цел. Общо вземанията от домакинства ще се увеличат с 9,8% през 2019 г. и с 8,4% и 8,2%, съответно през 2021 г. и 2022 г. Прогнозира се общо вземанията от частния сектор да нараснат с</w:t>
      </w:r>
      <w:r w:rsidR="00B6189F">
        <w:rPr>
          <w:rFonts w:eastAsia="Times New Roman" w:cs="Times New Roman"/>
          <w:szCs w:val="24"/>
        </w:rPr>
        <w:t>ъс</w:t>
      </w:r>
      <w:r w:rsidRPr="00167302">
        <w:rPr>
          <w:rFonts w:eastAsia="Times New Roman" w:cs="Times New Roman"/>
          <w:szCs w:val="24"/>
        </w:rPr>
        <w:t xml:space="preserve"> 7,4% в края на 2019 г., като годишният им растеж ще се у</w:t>
      </w:r>
      <w:r w:rsidR="009212CB">
        <w:rPr>
          <w:rFonts w:eastAsia="Times New Roman" w:cs="Times New Roman"/>
          <w:szCs w:val="24"/>
        </w:rPr>
        <w:t>скори до 8,3% в края на 2022 г.</w:t>
      </w:r>
    </w:p>
    <w:p w:rsidR="00083361" w:rsidRPr="00F27608" w:rsidRDefault="00083361" w:rsidP="00DE2BDB">
      <w:pPr>
        <w:pStyle w:val="Heading2"/>
      </w:pPr>
      <w:bookmarkStart w:id="240" w:name="_Toc464225423"/>
      <w:bookmarkStart w:id="241" w:name="_Toc464458969"/>
      <w:bookmarkStart w:id="242" w:name="_Toc464459715"/>
      <w:bookmarkStart w:id="243" w:name="_Toc464460670"/>
      <w:bookmarkStart w:id="244" w:name="_Toc464463069"/>
      <w:bookmarkStart w:id="245" w:name="_Toc464464896"/>
      <w:bookmarkStart w:id="246" w:name="_Toc464465402"/>
      <w:bookmarkStart w:id="247" w:name="_Toc464465590"/>
      <w:bookmarkStart w:id="248" w:name="_Toc464466415"/>
      <w:bookmarkStart w:id="249" w:name="_Toc464466659"/>
      <w:bookmarkStart w:id="250" w:name="_Toc464644962"/>
      <w:bookmarkStart w:id="251" w:name="_Toc465205502"/>
      <w:bookmarkStart w:id="252" w:name="_Toc23337470"/>
      <w:r w:rsidRPr="00F27608">
        <w:t>ПОТЕНЦИАЛЕН РАСТЕЖ И ОТКЛОНЕНИЕ ОТ ПОТЕНЦИАЛНИЯ БВП</w:t>
      </w:r>
      <w:bookmarkEnd w:id="240"/>
      <w:bookmarkEnd w:id="241"/>
      <w:bookmarkEnd w:id="242"/>
      <w:bookmarkEnd w:id="243"/>
      <w:bookmarkEnd w:id="244"/>
      <w:bookmarkEnd w:id="245"/>
      <w:bookmarkEnd w:id="246"/>
      <w:bookmarkEnd w:id="247"/>
      <w:bookmarkEnd w:id="248"/>
      <w:bookmarkEnd w:id="249"/>
      <w:bookmarkEnd w:id="250"/>
      <w:bookmarkEnd w:id="251"/>
      <w:bookmarkEnd w:id="252"/>
    </w:p>
    <w:p w:rsidR="007E742A" w:rsidRPr="007E742A" w:rsidRDefault="007E742A" w:rsidP="007E742A">
      <w:pPr>
        <w:spacing w:after="120"/>
        <w:rPr>
          <w:rFonts w:eastAsia="Batang"/>
        </w:rPr>
      </w:pPr>
      <w:r w:rsidRPr="007E742A">
        <w:rPr>
          <w:rFonts w:eastAsia="Batang"/>
        </w:rPr>
        <w:t>По оценки на МФ растежът на потенциалния</w:t>
      </w:r>
      <w:r w:rsidR="004F605B">
        <w:rPr>
          <w:rFonts w:eastAsia="Batang"/>
        </w:rPr>
        <w:t xml:space="preserve"> БВП през 2019 г. ще достигне 3,3% и ще се забави до 2,</w:t>
      </w:r>
      <w:r w:rsidRPr="007E742A">
        <w:rPr>
          <w:rFonts w:eastAsia="Batang"/>
        </w:rPr>
        <w:t>7% през 2022 г. Производителността ще продължи да е водеща за растежа, а повишението на инвестиционната активност ще допринесе за плавно увеличение на приноса на капиталовите запаси. В същото време, положителният принос на труда като фактор за потенциалния растеж ще намалява и ще стане отрицателе</w:t>
      </w:r>
      <w:r w:rsidR="004F605B">
        <w:rPr>
          <w:rFonts w:eastAsia="Batang"/>
        </w:rPr>
        <w:t>н в периода 2021-</w:t>
      </w:r>
      <w:r w:rsidRPr="007E742A">
        <w:rPr>
          <w:rFonts w:eastAsia="Batang"/>
        </w:rPr>
        <w:t>2022 г. Въпреки увеличението на коефициента на икономическа активност и понижението на безработицата, заетостта в икономиката ще започне да намалява, поради негативното влияние на демографските процеси.</w:t>
      </w:r>
    </w:p>
    <w:p w:rsidR="007E742A" w:rsidRDefault="007E742A" w:rsidP="007E742A">
      <w:pPr>
        <w:spacing w:after="120"/>
        <w:rPr>
          <w:rFonts w:eastAsia="Batang"/>
        </w:rPr>
      </w:pPr>
      <w:r w:rsidRPr="007E742A">
        <w:rPr>
          <w:rFonts w:eastAsia="Batang"/>
        </w:rPr>
        <w:t>Очаква се отклонението от потенциала да се затвори през 2019 г. В рамките на прогнозния период до 2022 г. отклонението ще бъде п</w:t>
      </w:r>
      <w:r w:rsidR="004F605B">
        <w:rPr>
          <w:rFonts w:eastAsia="Batang"/>
        </w:rPr>
        <w:t>оложително и ще се увеличи до 1,</w:t>
      </w:r>
      <w:r w:rsidRPr="007E742A">
        <w:rPr>
          <w:rFonts w:eastAsia="Batang"/>
        </w:rPr>
        <w:t>3%.</w:t>
      </w:r>
    </w:p>
    <w:p w:rsidR="008B1257" w:rsidRDefault="008B1257" w:rsidP="007E742A">
      <w:pPr>
        <w:spacing w:after="120"/>
        <w:rPr>
          <w:rFonts w:eastAsia="Batang"/>
        </w:rPr>
      </w:pPr>
    </w:p>
    <w:p w:rsidR="008B1257" w:rsidRDefault="008B1257" w:rsidP="007E742A">
      <w:pPr>
        <w:spacing w:after="120"/>
        <w:rPr>
          <w:rFonts w:eastAsia="Batang"/>
        </w:rPr>
      </w:pPr>
    </w:p>
    <w:p w:rsidR="008B1257" w:rsidRDefault="008B1257" w:rsidP="007E742A">
      <w:pPr>
        <w:spacing w:after="120"/>
        <w:rPr>
          <w:rFonts w:eastAsia="Batang"/>
          <w:highlight w:val="yellow"/>
        </w:rPr>
      </w:pPr>
    </w:p>
    <w:p w:rsidR="00927CD5" w:rsidRPr="00984602" w:rsidRDefault="00927CD5" w:rsidP="00927CD5">
      <w:pPr>
        <w:pStyle w:val="Caption"/>
        <w:ind w:left="1106" w:hanging="1106"/>
        <w:rPr>
          <w:rFonts w:eastAsia="Batang" w:cs="Times New Roman"/>
          <w:b w:val="0"/>
          <w:bCs w:val="0"/>
          <w:szCs w:val="24"/>
        </w:rPr>
      </w:pPr>
      <w:bookmarkStart w:id="253" w:name="_Toc23337513"/>
      <w:r>
        <w:t xml:space="preserve">Табл. </w:t>
      </w:r>
      <w:fldSimple w:instr=" STYLEREF 1 \s ">
        <w:r w:rsidR="0034195B">
          <w:rPr>
            <w:noProof/>
          </w:rPr>
          <w:t>I</w:t>
        </w:r>
      </w:fldSimple>
      <w:r>
        <w:noBreakHyphen/>
      </w:r>
      <w:fldSimple w:instr=" SEQ Табл. \* ARABIC \s 1 ">
        <w:r w:rsidR="0034195B">
          <w:rPr>
            <w:noProof/>
          </w:rPr>
          <w:t>3</w:t>
        </w:r>
      </w:fldSimple>
      <w:r w:rsidR="00D14E8A">
        <w:t>:</w:t>
      </w:r>
      <w:r w:rsidR="001977D8">
        <w:tab/>
      </w:r>
      <w:r w:rsidRPr="00984602">
        <w:rPr>
          <w:rFonts w:eastAsia="Batang" w:cs="Times New Roman"/>
          <w:szCs w:val="24"/>
        </w:rPr>
        <w:t>Стойности на потенциалния растеж и на отклонението от потенциалния БВП</w:t>
      </w:r>
      <w:bookmarkEnd w:id="253"/>
    </w:p>
    <w:tbl>
      <w:tblPr>
        <w:tblW w:w="490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1849"/>
        <w:gridCol w:w="3017"/>
        <w:gridCol w:w="4023"/>
      </w:tblGrid>
      <w:tr w:rsidR="00984602" w:rsidRPr="00F34263" w:rsidTr="0074503B">
        <w:trPr>
          <w:trHeight w:val="300"/>
          <w:jc w:val="center"/>
        </w:trPr>
        <w:tc>
          <w:tcPr>
            <w:tcW w:w="1040" w:type="pct"/>
            <w:tcBorders>
              <w:top w:val="single" w:sz="4" w:space="0" w:color="auto"/>
              <w:left w:val="nil"/>
              <w:bottom w:val="single" w:sz="4" w:space="0" w:color="auto"/>
              <w:right w:val="nil"/>
            </w:tcBorders>
            <w:noWrap/>
            <w:vAlign w:val="center"/>
            <w:hideMark/>
          </w:tcPr>
          <w:p w:rsidR="00984602" w:rsidRPr="00F34263" w:rsidRDefault="00984602" w:rsidP="00984602">
            <w:pPr>
              <w:spacing w:before="40" w:after="40" w:line="276" w:lineRule="auto"/>
              <w:jc w:val="center"/>
              <w:rPr>
                <w:rFonts w:eastAsia="Times New Roman" w:cs="Times New Roman"/>
                <w:b/>
                <w:bCs/>
                <w:sz w:val="20"/>
                <w:szCs w:val="20"/>
              </w:rPr>
            </w:pPr>
            <w:r w:rsidRPr="00F34263">
              <w:rPr>
                <w:rFonts w:eastAsia="Times New Roman" w:cs="Times New Roman"/>
                <w:b/>
                <w:bCs/>
                <w:sz w:val="20"/>
                <w:szCs w:val="20"/>
              </w:rPr>
              <w:t>Година</w:t>
            </w:r>
          </w:p>
        </w:tc>
        <w:tc>
          <w:tcPr>
            <w:tcW w:w="1697" w:type="pct"/>
            <w:tcBorders>
              <w:top w:val="single" w:sz="4" w:space="0" w:color="auto"/>
              <w:left w:val="nil"/>
              <w:bottom w:val="single" w:sz="4" w:space="0" w:color="auto"/>
              <w:right w:val="nil"/>
            </w:tcBorders>
            <w:vAlign w:val="center"/>
            <w:hideMark/>
          </w:tcPr>
          <w:p w:rsidR="00984602" w:rsidRPr="00F34263" w:rsidRDefault="00984602" w:rsidP="00984602">
            <w:pPr>
              <w:spacing w:before="40" w:after="40" w:line="276" w:lineRule="auto"/>
              <w:jc w:val="center"/>
              <w:rPr>
                <w:rFonts w:eastAsia="Times New Roman" w:cs="Times New Roman"/>
                <w:b/>
                <w:bCs/>
                <w:sz w:val="20"/>
                <w:szCs w:val="20"/>
              </w:rPr>
            </w:pPr>
            <w:r w:rsidRPr="00F34263">
              <w:rPr>
                <w:rFonts w:eastAsia="Times New Roman" w:cs="Times New Roman"/>
                <w:b/>
                <w:bCs/>
                <w:sz w:val="20"/>
                <w:szCs w:val="20"/>
              </w:rPr>
              <w:t>Потенциален растеж, %</w:t>
            </w:r>
          </w:p>
        </w:tc>
        <w:tc>
          <w:tcPr>
            <w:tcW w:w="2263" w:type="pct"/>
            <w:tcBorders>
              <w:top w:val="single" w:sz="4" w:space="0" w:color="auto"/>
              <w:left w:val="nil"/>
              <w:bottom w:val="single" w:sz="4" w:space="0" w:color="auto"/>
              <w:right w:val="nil"/>
            </w:tcBorders>
            <w:vAlign w:val="center"/>
            <w:hideMark/>
          </w:tcPr>
          <w:p w:rsidR="00984602" w:rsidRPr="00F34263" w:rsidRDefault="00984602" w:rsidP="00984602">
            <w:pPr>
              <w:spacing w:before="40" w:after="40" w:line="276" w:lineRule="auto"/>
              <w:jc w:val="center"/>
              <w:rPr>
                <w:rFonts w:eastAsia="Times New Roman" w:cs="Times New Roman"/>
                <w:b/>
                <w:bCs/>
                <w:sz w:val="20"/>
                <w:szCs w:val="20"/>
              </w:rPr>
            </w:pPr>
            <w:r w:rsidRPr="00F34263">
              <w:rPr>
                <w:rFonts w:eastAsia="Times New Roman" w:cs="Times New Roman"/>
                <w:b/>
                <w:bCs/>
                <w:sz w:val="20"/>
                <w:szCs w:val="20"/>
              </w:rPr>
              <w:t>Отклонение от потенциалния БВП, %</w:t>
            </w:r>
          </w:p>
        </w:tc>
      </w:tr>
      <w:tr w:rsidR="007E742A" w:rsidRPr="00F34263" w:rsidTr="0074503B">
        <w:trPr>
          <w:trHeight w:val="300"/>
          <w:jc w:val="center"/>
        </w:trPr>
        <w:tc>
          <w:tcPr>
            <w:tcW w:w="1040" w:type="pct"/>
            <w:tcBorders>
              <w:top w:val="single" w:sz="4" w:space="0" w:color="auto"/>
              <w:left w:val="nil"/>
              <w:bottom w:val="nil"/>
              <w:right w:val="nil"/>
            </w:tcBorders>
            <w:noWrap/>
            <w:vAlign w:val="center"/>
            <w:hideMark/>
          </w:tcPr>
          <w:p w:rsidR="007E742A" w:rsidRPr="00F34263" w:rsidRDefault="007E742A" w:rsidP="00A27A04">
            <w:pPr>
              <w:spacing w:before="40" w:after="40" w:line="276" w:lineRule="auto"/>
              <w:jc w:val="center"/>
              <w:rPr>
                <w:rFonts w:eastAsia="Times New Roman" w:cs="Times New Roman"/>
                <w:bCs/>
                <w:sz w:val="20"/>
                <w:szCs w:val="20"/>
              </w:rPr>
            </w:pPr>
            <w:r w:rsidRPr="00F34263">
              <w:rPr>
                <w:rFonts w:eastAsia="Times New Roman" w:cs="Times New Roman"/>
                <w:bCs/>
                <w:sz w:val="20"/>
                <w:szCs w:val="20"/>
              </w:rPr>
              <w:t>2018</w:t>
            </w:r>
          </w:p>
        </w:tc>
        <w:tc>
          <w:tcPr>
            <w:tcW w:w="1697" w:type="pct"/>
            <w:tcBorders>
              <w:top w:val="single" w:sz="4" w:space="0" w:color="auto"/>
              <w:left w:val="nil"/>
              <w:bottom w:val="nil"/>
              <w:right w:val="nil"/>
            </w:tcBorders>
            <w:noWrap/>
            <w:vAlign w:val="center"/>
          </w:tcPr>
          <w:p w:rsidR="007E742A" w:rsidRPr="003C21F1" w:rsidRDefault="007E742A" w:rsidP="002D673D">
            <w:pPr>
              <w:spacing w:before="40" w:after="40"/>
              <w:jc w:val="center"/>
              <w:rPr>
                <w:bCs/>
                <w:sz w:val="20"/>
                <w:szCs w:val="20"/>
              </w:rPr>
            </w:pPr>
            <w:r>
              <w:rPr>
                <w:bCs/>
                <w:sz w:val="20"/>
                <w:szCs w:val="20"/>
              </w:rPr>
              <w:t>3,</w:t>
            </w:r>
            <w:r w:rsidRPr="00DD7C25">
              <w:rPr>
                <w:bCs/>
                <w:sz w:val="20"/>
                <w:szCs w:val="20"/>
              </w:rPr>
              <w:t>3</w:t>
            </w:r>
          </w:p>
        </w:tc>
        <w:tc>
          <w:tcPr>
            <w:tcW w:w="2263" w:type="pct"/>
            <w:tcBorders>
              <w:top w:val="single" w:sz="4" w:space="0" w:color="auto"/>
              <w:left w:val="nil"/>
              <w:bottom w:val="nil"/>
              <w:right w:val="nil"/>
            </w:tcBorders>
            <w:noWrap/>
            <w:vAlign w:val="center"/>
          </w:tcPr>
          <w:p w:rsidR="007E742A" w:rsidRPr="003C21F1" w:rsidRDefault="007E742A" w:rsidP="002D673D">
            <w:pPr>
              <w:spacing w:before="40" w:after="40"/>
              <w:jc w:val="center"/>
              <w:rPr>
                <w:bCs/>
                <w:sz w:val="20"/>
                <w:szCs w:val="20"/>
              </w:rPr>
            </w:pPr>
            <w:r>
              <w:rPr>
                <w:bCs/>
                <w:sz w:val="20"/>
                <w:szCs w:val="20"/>
              </w:rPr>
              <w:t>-0,1</w:t>
            </w:r>
          </w:p>
        </w:tc>
      </w:tr>
      <w:tr w:rsidR="007E742A" w:rsidRPr="00F34263" w:rsidTr="00984602">
        <w:trPr>
          <w:trHeight w:val="300"/>
          <w:jc w:val="center"/>
        </w:trPr>
        <w:tc>
          <w:tcPr>
            <w:tcW w:w="1040" w:type="pct"/>
            <w:tcBorders>
              <w:top w:val="nil"/>
              <w:left w:val="nil"/>
              <w:bottom w:val="nil"/>
              <w:right w:val="nil"/>
            </w:tcBorders>
            <w:noWrap/>
            <w:vAlign w:val="center"/>
            <w:hideMark/>
          </w:tcPr>
          <w:p w:rsidR="007E742A" w:rsidRPr="00F34263" w:rsidRDefault="007E742A" w:rsidP="00A27A04">
            <w:pPr>
              <w:spacing w:before="40" w:after="40" w:line="276" w:lineRule="auto"/>
              <w:jc w:val="center"/>
              <w:rPr>
                <w:rFonts w:eastAsia="Times New Roman" w:cs="Times New Roman"/>
                <w:bCs/>
                <w:sz w:val="20"/>
                <w:szCs w:val="20"/>
              </w:rPr>
            </w:pPr>
            <w:r w:rsidRPr="00F34263">
              <w:rPr>
                <w:rFonts w:eastAsia="Times New Roman" w:cs="Times New Roman"/>
                <w:bCs/>
                <w:sz w:val="20"/>
                <w:szCs w:val="20"/>
              </w:rPr>
              <w:t>2019</w:t>
            </w:r>
          </w:p>
        </w:tc>
        <w:tc>
          <w:tcPr>
            <w:tcW w:w="1697" w:type="pct"/>
            <w:tcBorders>
              <w:top w:val="nil"/>
              <w:left w:val="nil"/>
              <w:bottom w:val="nil"/>
              <w:right w:val="nil"/>
            </w:tcBorders>
            <w:noWrap/>
            <w:vAlign w:val="center"/>
          </w:tcPr>
          <w:p w:rsidR="007E742A" w:rsidRPr="003C21F1" w:rsidRDefault="007E742A" w:rsidP="002D673D">
            <w:pPr>
              <w:spacing w:before="40" w:after="40"/>
              <w:jc w:val="center"/>
              <w:rPr>
                <w:bCs/>
                <w:sz w:val="20"/>
                <w:szCs w:val="20"/>
              </w:rPr>
            </w:pPr>
            <w:r>
              <w:rPr>
                <w:bCs/>
                <w:sz w:val="20"/>
                <w:szCs w:val="20"/>
              </w:rPr>
              <w:t>3,3</w:t>
            </w:r>
          </w:p>
        </w:tc>
        <w:tc>
          <w:tcPr>
            <w:tcW w:w="2263" w:type="pct"/>
            <w:tcBorders>
              <w:top w:val="nil"/>
              <w:left w:val="nil"/>
              <w:bottom w:val="nil"/>
              <w:right w:val="nil"/>
            </w:tcBorders>
            <w:noWrap/>
            <w:vAlign w:val="center"/>
          </w:tcPr>
          <w:p w:rsidR="007E742A" w:rsidRPr="003C21F1" w:rsidRDefault="007E742A" w:rsidP="002D673D">
            <w:pPr>
              <w:spacing w:before="40" w:after="40"/>
              <w:jc w:val="center"/>
              <w:rPr>
                <w:bCs/>
                <w:sz w:val="20"/>
                <w:szCs w:val="20"/>
              </w:rPr>
            </w:pPr>
            <w:r>
              <w:rPr>
                <w:bCs/>
                <w:sz w:val="20"/>
                <w:szCs w:val="20"/>
              </w:rPr>
              <w:t>0,0</w:t>
            </w:r>
          </w:p>
        </w:tc>
      </w:tr>
      <w:tr w:rsidR="007E742A" w:rsidRPr="00F34263" w:rsidTr="00984602">
        <w:trPr>
          <w:trHeight w:val="300"/>
          <w:jc w:val="center"/>
        </w:trPr>
        <w:tc>
          <w:tcPr>
            <w:tcW w:w="1040" w:type="pct"/>
            <w:tcBorders>
              <w:top w:val="nil"/>
              <w:left w:val="nil"/>
              <w:bottom w:val="nil"/>
              <w:right w:val="nil"/>
            </w:tcBorders>
            <w:noWrap/>
            <w:vAlign w:val="center"/>
            <w:hideMark/>
          </w:tcPr>
          <w:p w:rsidR="007E742A" w:rsidRPr="00F34263" w:rsidRDefault="007E742A" w:rsidP="00A27A04">
            <w:pPr>
              <w:spacing w:before="40" w:after="40" w:line="276" w:lineRule="auto"/>
              <w:jc w:val="center"/>
              <w:rPr>
                <w:rFonts w:eastAsia="Times New Roman" w:cs="Times New Roman"/>
                <w:bCs/>
                <w:sz w:val="20"/>
                <w:szCs w:val="20"/>
              </w:rPr>
            </w:pPr>
            <w:r w:rsidRPr="00F34263">
              <w:rPr>
                <w:rFonts w:eastAsia="Times New Roman" w:cs="Times New Roman"/>
                <w:bCs/>
                <w:sz w:val="20"/>
                <w:szCs w:val="20"/>
              </w:rPr>
              <w:t>2020</w:t>
            </w:r>
          </w:p>
        </w:tc>
        <w:tc>
          <w:tcPr>
            <w:tcW w:w="1697" w:type="pct"/>
            <w:tcBorders>
              <w:top w:val="nil"/>
              <w:left w:val="nil"/>
              <w:bottom w:val="nil"/>
              <w:right w:val="nil"/>
            </w:tcBorders>
            <w:noWrap/>
            <w:vAlign w:val="center"/>
          </w:tcPr>
          <w:p w:rsidR="007E742A" w:rsidRPr="003C21F1" w:rsidRDefault="007E742A" w:rsidP="002D673D">
            <w:pPr>
              <w:spacing w:before="40" w:after="40"/>
              <w:jc w:val="center"/>
              <w:rPr>
                <w:bCs/>
                <w:sz w:val="20"/>
                <w:szCs w:val="20"/>
              </w:rPr>
            </w:pPr>
            <w:r>
              <w:rPr>
                <w:bCs/>
                <w:sz w:val="20"/>
                <w:szCs w:val="20"/>
              </w:rPr>
              <w:t>3,1</w:t>
            </w:r>
          </w:p>
        </w:tc>
        <w:tc>
          <w:tcPr>
            <w:tcW w:w="2263" w:type="pct"/>
            <w:tcBorders>
              <w:top w:val="nil"/>
              <w:left w:val="nil"/>
              <w:bottom w:val="nil"/>
              <w:right w:val="nil"/>
            </w:tcBorders>
            <w:noWrap/>
            <w:vAlign w:val="center"/>
          </w:tcPr>
          <w:p w:rsidR="007E742A" w:rsidRPr="003C21F1" w:rsidRDefault="007E742A" w:rsidP="002D673D">
            <w:pPr>
              <w:spacing w:before="40" w:after="40"/>
              <w:jc w:val="center"/>
              <w:rPr>
                <w:bCs/>
                <w:sz w:val="20"/>
                <w:szCs w:val="20"/>
              </w:rPr>
            </w:pPr>
            <w:r>
              <w:rPr>
                <w:bCs/>
                <w:sz w:val="20"/>
                <w:szCs w:val="20"/>
              </w:rPr>
              <w:t>0,3</w:t>
            </w:r>
          </w:p>
        </w:tc>
      </w:tr>
      <w:tr w:rsidR="007E742A" w:rsidRPr="00F34263" w:rsidTr="00984602">
        <w:trPr>
          <w:trHeight w:val="300"/>
          <w:jc w:val="center"/>
        </w:trPr>
        <w:tc>
          <w:tcPr>
            <w:tcW w:w="1040" w:type="pct"/>
            <w:tcBorders>
              <w:top w:val="nil"/>
              <w:left w:val="nil"/>
              <w:bottom w:val="nil"/>
              <w:right w:val="nil"/>
            </w:tcBorders>
            <w:noWrap/>
            <w:vAlign w:val="center"/>
            <w:hideMark/>
          </w:tcPr>
          <w:p w:rsidR="007E742A" w:rsidRPr="00F34263" w:rsidRDefault="007E742A" w:rsidP="00A27A04">
            <w:pPr>
              <w:spacing w:before="40" w:after="40" w:line="276" w:lineRule="auto"/>
              <w:jc w:val="center"/>
              <w:rPr>
                <w:rFonts w:eastAsia="Times New Roman" w:cs="Times New Roman"/>
                <w:bCs/>
                <w:sz w:val="20"/>
                <w:szCs w:val="20"/>
              </w:rPr>
            </w:pPr>
            <w:r w:rsidRPr="00F34263">
              <w:rPr>
                <w:rFonts w:eastAsia="Times New Roman" w:cs="Times New Roman"/>
                <w:bCs/>
                <w:sz w:val="20"/>
                <w:szCs w:val="20"/>
              </w:rPr>
              <w:t>2021</w:t>
            </w:r>
          </w:p>
        </w:tc>
        <w:tc>
          <w:tcPr>
            <w:tcW w:w="1697" w:type="pct"/>
            <w:tcBorders>
              <w:top w:val="nil"/>
              <w:left w:val="nil"/>
              <w:bottom w:val="nil"/>
              <w:right w:val="nil"/>
            </w:tcBorders>
            <w:noWrap/>
            <w:vAlign w:val="center"/>
          </w:tcPr>
          <w:p w:rsidR="007E742A" w:rsidRPr="003C21F1" w:rsidRDefault="007E742A" w:rsidP="002D673D">
            <w:pPr>
              <w:spacing w:before="40" w:after="40"/>
              <w:jc w:val="center"/>
              <w:rPr>
                <w:bCs/>
                <w:sz w:val="20"/>
                <w:szCs w:val="20"/>
              </w:rPr>
            </w:pPr>
            <w:r>
              <w:rPr>
                <w:bCs/>
                <w:sz w:val="20"/>
                <w:szCs w:val="20"/>
              </w:rPr>
              <w:t>2,8</w:t>
            </w:r>
          </w:p>
        </w:tc>
        <w:tc>
          <w:tcPr>
            <w:tcW w:w="2263" w:type="pct"/>
            <w:tcBorders>
              <w:top w:val="nil"/>
              <w:left w:val="nil"/>
              <w:bottom w:val="nil"/>
              <w:right w:val="nil"/>
            </w:tcBorders>
            <w:noWrap/>
            <w:vAlign w:val="center"/>
          </w:tcPr>
          <w:p w:rsidR="007E742A" w:rsidRPr="003C21F1" w:rsidRDefault="007E742A" w:rsidP="002D673D">
            <w:pPr>
              <w:spacing w:before="40" w:after="40"/>
              <w:jc w:val="center"/>
              <w:rPr>
                <w:bCs/>
                <w:sz w:val="20"/>
                <w:szCs w:val="20"/>
              </w:rPr>
            </w:pPr>
            <w:r>
              <w:rPr>
                <w:bCs/>
                <w:sz w:val="20"/>
                <w:szCs w:val="20"/>
              </w:rPr>
              <w:t>0,7</w:t>
            </w:r>
          </w:p>
        </w:tc>
      </w:tr>
      <w:tr w:rsidR="007E742A" w:rsidRPr="00984602" w:rsidTr="00984602">
        <w:trPr>
          <w:trHeight w:val="300"/>
          <w:jc w:val="center"/>
        </w:trPr>
        <w:tc>
          <w:tcPr>
            <w:tcW w:w="1040" w:type="pct"/>
            <w:tcBorders>
              <w:top w:val="nil"/>
              <w:left w:val="nil"/>
              <w:bottom w:val="single" w:sz="4" w:space="0" w:color="auto"/>
              <w:right w:val="nil"/>
            </w:tcBorders>
            <w:noWrap/>
            <w:vAlign w:val="center"/>
            <w:hideMark/>
          </w:tcPr>
          <w:p w:rsidR="007E742A" w:rsidRPr="00F34263" w:rsidRDefault="007E742A" w:rsidP="004023BD">
            <w:pPr>
              <w:spacing w:before="40" w:after="40" w:line="276" w:lineRule="auto"/>
              <w:jc w:val="center"/>
              <w:rPr>
                <w:rFonts w:eastAsia="Times New Roman" w:cs="Times New Roman"/>
                <w:bCs/>
                <w:sz w:val="20"/>
                <w:szCs w:val="20"/>
              </w:rPr>
            </w:pPr>
            <w:r w:rsidRPr="00F34263">
              <w:rPr>
                <w:rFonts w:eastAsia="Times New Roman" w:cs="Times New Roman"/>
                <w:bCs/>
                <w:sz w:val="20"/>
                <w:szCs w:val="20"/>
              </w:rPr>
              <w:t>2022</w:t>
            </w:r>
          </w:p>
        </w:tc>
        <w:tc>
          <w:tcPr>
            <w:tcW w:w="1697" w:type="pct"/>
            <w:tcBorders>
              <w:top w:val="nil"/>
              <w:left w:val="nil"/>
              <w:bottom w:val="single" w:sz="4" w:space="0" w:color="auto"/>
              <w:right w:val="nil"/>
            </w:tcBorders>
            <w:noWrap/>
            <w:vAlign w:val="center"/>
          </w:tcPr>
          <w:p w:rsidR="007E742A" w:rsidRPr="003C21F1" w:rsidRDefault="007E742A" w:rsidP="002D673D">
            <w:pPr>
              <w:spacing w:before="40" w:after="40"/>
              <w:jc w:val="center"/>
              <w:rPr>
                <w:bCs/>
                <w:sz w:val="20"/>
                <w:szCs w:val="20"/>
              </w:rPr>
            </w:pPr>
            <w:r>
              <w:rPr>
                <w:bCs/>
                <w:sz w:val="20"/>
                <w:szCs w:val="20"/>
              </w:rPr>
              <w:t>2,7</w:t>
            </w:r>
          </w:p>
        </w:tc>
        <w:tc>
          <w:tcPr>
            <w:tcW w:w="2263" w:type="pct"/>
            <w:tcBorders>
              <w:top w:val="nil"/>
              <w:left w:val="nil"/>
              <w:bottom w:val="single" w:sz="4" w:space="0" w:color="auto"/>
              <w:right w:val="nil"/>
            </w:tcBorders>
            <w:noWrap/>
            <w:vAlign w:val="center"/>
          </w:tcPr>
          <w:p w:rsidR="007E742A" w:rsidRPr="003C21F1" w:rsidRDefault="007E742A" w:rsidP="002D673D">
            <w:pPr>
              <w:spacing w:before="40" w:after="40"/>
              <w:jc w:val="center"/>
              <w:rPr>
                <w:bCs/>
                <w:sz w:val="20"/>
                <w:szCs w:val="20"/>
              </w:rPr>
            </w:pPr>
            <w:r>
              <w:rPr>
                <w:bCs/>
                <w:sz w:val="20"/>
                <w:szCs w:val="20"/>
              </w:rPr>
              <w:t>1,3</w:t>
            </w:r>
          </w:p>
        </w:tc>
      </w:tr>
    </w:tbl>
    <w:p w:rsidR="004F605B" w:rsidRPr="007E742A" w:rsidRDefault="004F605B" w:rsidP="004F605B">
      <w:pPr>
        <w:jc w:val="right"/>
        <w:rPr>
          <w:rFonts w:eastAsia="Batang" w:cs="Times New Roman"/>
          <w:sz w:val="20"/>
          <w:szCs w:val="20"/>
        </w:rPr>
      </w:pPr>
      <w:r w:rsidRPr="007E742A">
        <w:rPr>
          <w:rFonts w:eastAsia="Batang" w:cs="Times New Roman"/>
          <w:sz w:val="20"/>
          <w:szCs w:val="20"/>
        </w:rPr>
        <w:t>Източник: МФ</w:t>
      </w:r>
    </w:p>
    <w:p w:rsidR="004F605B" w:rsidRPr="00984602" w:rsidRDefault="004F605B" w:rsidP="004F605B">
      <w:pPr>
        <w:pStyle w:val="Caption"/>
        <w:rPr>
          <w:rFonts w:eastAsia="Batang" w:cs="Times New Roman"/>
          <w:b w:val="0"/>
          <w:bCs w:val="0"/>
          <w:szCs w:val="24"/>
        </w:rPr>
      </w:pPr>
      <w:bookmarkStart w:id="254" w:name="_Toc23337514"/>
      <w:r>
        <w:t xml:space="preserve">Табл. </w:t>
      </w:r>
      <w:fldSimple w:instr=" STYLEREF 1 \s ">
        <w:r w:rsidR="0034195B">
          <w:rPr>
            <w:noProof/>
          </w:rPr>
          <w:t>I</w:t>
        </w:r>
      </w:fldSimple>
      <w:r>
        <w:noBreakHyphen/>
      </w:r>
      <w:fldSimple w:instr=" SEQ Табл. \* ARABIC \s 1 ">
        <w:r w:rsidR="0034195B">
          <w:rPr>
            <w:noProof/>
          </w:rPr>
          <w:t>4</w:t>
        </w:r>
      </w:fldSimple>
      <w:r>
        <w:t>: </w:t>
      </w:r>
      <w:r w:rsidRPr="00927CD5">
        <w:t>Прино</w:t>
      </w:r>
      <w:r>
        <w:t>си към потенциалния растеж (пр.</w:t>
      </w:r>
      <w:r w:rsidRPr="00927CD5">
        <w:t>п.)</w:t>
      </w:r>
      <w:bookmarkEnd w:id="254"/>
    </w:p>
    <w:tbl>
      <w:tblPr>
        <w:tblW w:w="4900" w:type="pct"/>
        <w:jc w:val="center"/>
        <w:tblCellMar>
          <w:left w:w="70" w:type="dxa"/>
          <w:right w:w="70" w:type="dxa"/>
        </w:tblCellMar>
        <w:tblLook w:val="04A0" w:firstRow="1" w:lastRow="0" w:firstColumn="1" w:lastColumn="0" w:noHBand="0" w:noVBand="1"/>
      </w:tblPr>
      <w:tblGrid>
        <w:gridCol w:w="2165"/>
        <w:gridCol w:w="2242"/>
        <w:gridCol w:w="2242"/>
        <w:gridCol w:w="2240"/>
      </w:tblGrid>
      <w:tr w:rsidR="004F605B" w:rsidRPr="00F34263" w:rsidTr="0074503B">
        <w:trPr>
          <w:trHeight w:val="300"/>
          <w:tblHeader/>
          <w:jc w:val="center"/>
        </w:trPr>
        <w:tc>
          <w:tcPr>
            <w:tcW w:w="1218" w:type="pct"/>
            <w:tcBorders>
              <w:top w:val="single" w:sz="4" w:space="0" w:color="auto"/>
              <w:left w:val="nil"/>
              <w:bottom w:val="single" w:sz="4" w:space="0" w:color="auto"/>
              <w:right w:val="nil"/>
            </w:tcBorders>
            <w:noWrap/>
            <w:vAlign w:val="center"/>
            <w:hideMark/>
          </w:tcPr>
          <w:p w:rsidR="004F605B" w:rsidRPr="00F34263" w:rsidRDefault="004F605B" w:rsidP="00167302">
            <w:pPr>
              <w:spacing w:before="40" w:after="40" w:line="276" w:lineRule="auto"/>
              <w:jc w:val="center"/>
              <w:rPr>
                <w:rFonts w:eastAsia="Times New Roman" w:cs="Times New Roman"/>
                <w:b/>
                <w:bCs/>
                <w:sz w:val="20"/>
                <w:szCs w:val="20"/>
              </w:rPr>
            </w:pPr>
            <w:r w:rsidRPr="00F34263">
              <w:rPr>
                <w:rFonts w:eastAsia="Times New Roman" w:cs="Times New Roman"/>
                <w:b/>
                <w:bCs/>
                <w:sz w:val="20"/>
                <w:szCs w:val="20"/>
              </w:rPr>
              <w:t>Година</w:t>
            </w:r>
          </w:p>
        </w:tc>
        <w:tc>
          <w:tcPr>
            <w:tcW w:w="1261" w:type="pct"/>
            <w:tcBorders>
              <w:top w:val="single" w:sz="4" w:space="0" w:color="auto"/>
              <w:left w:val="nil"/>
              <w:bottom w:val="single" w:sz="4" w:space="0" w:color="auto"/>
              <w:right w:val="nil"/>
            </w:tcBorders>
            <w:vAlign w:val="center"/>
            <w:hideMark/>
          </w:tcPr>
          <w:p w:rsidR="004F605B" w:rsidRPr="00F34263" w:rsidRDefault="004F605B" w:rsidP="00167302">
            <w:pPr>
              <w:spacing w:before="40" w:after="40" w:line="276" w:lineRule="auto"/>
              <w:jc w:val="center"/>
              <w:rPr>
                <w:rFonts w:eastAsia="Times New Roman" w:cs="Times New Roman"/>
                <w:b/>
                <w:bCs/>
                <w:sz w:val="20"/>
                <w:szCs w:val="20"/>
              </w:rPr>
            </w:pPr>
            <w:r w:rsidRPr="00F34263">
              <w:rPr>
                <w:rFonts w:eastAsia="Times New Roman" w:cs="Times New Roman"/>
                <w:b/>
                <w:bCs/>
                <w:sz w:val="20"/>
                <w:szCs w:val="20"/>
              </w:rPr>
              <w:t>Труд</w:t>
            </w:r>
          </w:p>
        </w:tc>
        <w:tc>
          <w:tcPr>
            <w:tcW w:w="1261" w:type="pct"/>
            <w:tcBorders>
              <w:top w:val="single" w:sz="4" w:space="0" w:color="auto"/>
              <w:left w:val="nil"/>
              <w:bottom w:val="single" w:sz="4" w:space="0" w:color="auto"/>
              <w:right w:val="nil"/>
            </w:tcBorders>
            <w:vAlign w:val="center"/>
            <w:hideMark/>
          </w:tcPr>
          <w:p w:rsidR="004F605B" w:rsidRPr="00F34263" w:rsidRDefault="004F605B" w:rsidP="00167302">
            <w:pPr>
              <w:spacing w:before="40" w:after="40" w:line="276" w:lineRule="auto"/>
              <w:jc w:val="center"/>
              <w:rPr>
                <w:rFonts w:eastAsia="Times New Roman" w:cs="Times New Roman"/>
                <w:b/>
                <w:bCs/>
                <w:sz w:val="20"/>
                <w:szCs w:val="20"/>
              </w:rPr>
            </w:pPr>
            <w:r w:rsidRPr="00F34263">
              <w:rPr>
                <w:rFonts w:eastAsia="Times New Roman" w:cs="Times New Roman"/>
                <w:b/>
                <w:bCs/>
                <w:sz w:val="20"/>
                <w:szCs w:val="20"/>
              </w:rPr>
              <w:t>Капитал</w:t>
            </w:r>
          </w:p>
        </w:tc>
        <w:tc>
          <w:tcPr>
            <w:tcW w:w="1260" w:type="pct"/>
            <w:tcBorders>
              <w:top w:val="single" w:sz="4" w:space="0" w:color="auto"/>
              <w:left w:val="nil"/>
              <w:bottom w:val="single" w:sz="4" w:space="0" w:color="auto"/>
              <w:right w:val="nil"/>
            </w:tcBorders>
            <w:noWrap/>
            <w:vAlign w:val="center"/>
            <w:hideMark/>
          </w:tcPr>
          <w:p w:rsidR="004F605B" w:rsidRPr="00F34263" w:rsidRDefault="004F605B" w:rsidP="00167302">
            <w:pPr>
              <w:spacing w:before="40" w:after="40" w:line="276" w:lineRule="auto"/>
              <w:jc w:val="center"/>
              <w:rPr>
                <w:rFonts w:eastAsia="Times New Roman" w:cs="Times New Roman"/>
                <w:b/>
                <w:bCs/>
                <w:sz w:val="20"/>
                <w:szCs w:val="20"/>
              </w:rPr>
            </w:pPr>
            <w:r w:rsidRPr="00F34263">
              <w:rPr>
                <w:rFonts w:eastAsia="Times New Roman" w:cs="Times New Roman"/>
                <w:b/>
                <w:bCs/>
                <w:sz w:val="20"/>
                <w:szCs w:val="20"/>
              </w:rPr>
              <w:t>ОФП</w:t>
            </w:r>
          </w:p>
        </w:tc>
      </w:tr>
      <w:tr w:rsidR="004F605B" w:rsidRPr="00F34263" w:rsidTr="0074503B">
        <w:trPr>
          <w:trHeight w:val="300"/>
          <w:jc w:val="center"/>
        </w:trPr>
        <w:tc>
          <w:tcPr>
            <w:tcW w:w="1218" w:type="pct"/>
            <w:tcBorders>
              <w:top w:val="single" w:sz="4" w:space="0" w:color="auto"/>
            </w:tcBorders>
            <w:noWrap/>
            <w:vAlign w:val="center"/>
            <w:hideMark/>
          </w:tcPr>
          <w:p w:rsidR="004F605B" w:rsidRPr="00F34263" w:rsidRDefault="004F605B" w:rsidP="00167302">
            <w:pPr>
              <w:spacing w:before="40" w:after="40" w:line="276" w:lineRule="auto"/>
              <w:jc w:val="center"/>
              <w:rPr>
                <w:rFonts w:eastAsia="Times New Roman" w:cs="Times New Roman"/>
                <w:bCs/>
                <w:sz w:val="20"/>
                <w:szCs w:val="20"/>
              </w:rPr>
            </w:pPr>
            <w:r>
              <w:rPr>
                <w:rFonts w:eastAsia="Times New Roman" w:cs="Times New Roman"/>
                <w:bCs/>
                <w:sz w:val="20"/>
                <w:szCs w:val="20"/>
              </w:rPr>
              <w:t>2018</w:t>
            </w:r>
          </w:p>
        </w:tc>
        <w:tc>
          <w:tcPr>
            <w:tcW w:w="1261" w:type="pct"/>
            <w:tcBorders>
              <w:top w:val="single" w:sz="4" w:space="0" w:color="auto"/>
            </w:tcBorders>
            <w:noWrap/>
            <w:vAlign w:val="center"/>
          </w:tcPr>
          <w:p w:rsidR="004F605B" w:rsidRPr="003C21F1" w:rsidRDefault="004F605B" w:rsidP="00167302">
            <w:pPr>
              <w:spacing w:before="40" w:after="40"/>
              <w:jc w:val="center"/>
              <w:rPr>
                <w:bCs/>
                <w:sz w:val="20"/>
                <w:szCs w:val="20"/>
              </w:rPr>
            </w:pPr>
            <w:r>
              <w:rPr>
                <w:bCs/>
                <w:sz w:val="20"/>
                <w:szCs w:val="20"/>
              </w:rPr>
              <w:t>0,3</w:t>
            </w:r>
          </w:p>
        </w:tc>
        <w:tc>
          <w:tcPr>
            <w:tcW w:w="1261" w:type="pct"/>
            <w:tcBorders>
              <w:top w:val="single" w:sz="4" w:space="0" w:color="auto"/>
            </w:tcBorders>
            <w:noWrap/>
            <w:vAlign w:val="center"/>
          </w:tcPr>
          <w:p w:rsidR="004F605B" w:rsidRPr="003C21F1" w:rsidRDefault="004F605B" w:rsidP="00167302">
            <w:pPr>
              <w:spacing w:before="40" w:after="40"/>
              <w:jc w:val="center"/>
              <w:rPr>
                <w:bCs/>
                <w:sz w:val="20"/>
                <w:szCs w:val="20"/>
              </w:rPr>
            </w:pPr>
            <w:r>
              <w:rPr>
                <w:bCs/>
                <w:sz w:val="20"/>
                <w:szCs w:val="20"/>
              </w:rPr>
              <w:t>0,8</w:t>
            </w:r>
          </w:p>
        </w:tc>
        <w:tc>
          <w:tcPr>
            <w:tcW w:w="1260" w:type="pct"/>
            <w:tcBorders>
              <w:top w:val="single" w:sz="4" w:space="0" w:color="auto"/>
            </w:tcBorders>
            <w:noWrap/>
            <w:vAlign w:val="center"/>
          </w:tcPr>
          <w:p w:rsidR="004F605B" w:rsidRPr="003C21F1" w:rsidRDefault="004F605B" w:rsidP="00167302">
            <w:pPr>
              <w:spacing w:before="40" w:after="40"/>
              <w:jc w:val="center"/>
              <w:rPr>
                <w:bCs/>
                <w:sz w:val="20"/>
                <w:szCs w:val="20"/>
              </w:rPr>
            </w:pPr>
            <w:r>
              <w:rPr>
                <w:bCs/>
                <w:sz w:val="20"/>
                <w:szCs w:val="20"/>
              </w:rPr>
              <w:t>2,1</w:t>
            </w:r>
          </w:p>
        </w:tc>
      </w:tr>
      <w:tr w:rsidR="004F605B" w:rsidRPr="00F34263" w:rsidTr="00167302">
        <w:trPr>
          <w:trHeight w:val="300"/>
          <w:jc w:val="center"/>
        </w:trPr>
        <w:tc>
          <w:tcPr>
            <w:tcW w:w="1218" w:type="pct"/>
            <w:noWrap/>
            <w:vAlign w:val="center"/>
            <w:hideMark/>
          </w:tcPr>
          <w:p w:rsidR="004F605B" w:rsidRPr="00F34263" w:rsidRDefault="004F605B" w:rsidP="00167302">
            <w:pPr>
              <w:spacing w:before="40" w:after="40" w:line="276" w:lineRule="auto"/>
              <w:jc w:val="center"/>
              <w:rPr>
                <w:rFonts w:eastAsia="Times New Roman" w:cs="Times New Roman"/>
                <w:bCs/>
                <w:sz w:val="20"/>
                <w:szCs w:val="20"/>
              </w:rPr>
            </w:pPr>
            <w:r>
              <w:rPr>
                <w:rFonts w:eastAsia="Times New Roman" w:cs="Times New Roman"/>
                <w:bCs/>
                <w:sz w:val="20"/>
                <w:szCs w:val="20"/>
              </w:rPr>
              <w:t>2019</w:t>
            </w:r>
          </w:p>
        </w:tc>
        <w:tc>
          <w:tcPr>
            <w:tcW w:w="1261" w:type="pct"/>
            <w:noWrap/>
            <w:vAlign w:val="center"/>
          </w:tcPr>
          <w:p w:rsidR="004F605B" w:rsidRPr="003C21F1" w:rsidRDefault="004F605B" w:rsidP="00167302">
            <w:pPr>
              <w:spacing w:before="40" w:after="40"/>
              <w:jc w:val="center"/>
              <w:rPr>
                <w:bCs/>
                <w:sz w:val="20"/>
                <w:szCs w:val="20"/>
              </w:rPr>
            </w:pPr>
            <w:r>
              <w:rPr>
                <w:bCs/>
                <w:sz w:val="20"/>
                <w:szCs w:val="20"/>
              </w:rPr>
              <w:t>0,3</w:t>
            </w:r>
          </w:p>
        </w:tc>
        <w:tc>
          <w:tcPr>
            <w:tcW w:w="1261" w:type="pct"/>
            <w:noWrap/>
            <w:vAlign w:val="center"/>
          </w:tcPr>
          <w:p w:rsidR="004F605B" w:rsidRPr="003C21F1" w:rsidRDefault="004F605B" w:rsidP="00167302">
            <w:pPr>
              <w:spacing w:before="40" w:after="40"/>
              <w:jc w:val="center"/>
              <w:rPr>
                <w:bCs/>
                <w:sz w:val="20"/>
                <w:szCs w:val="20"/>
              </w:rPr>
            </w:pPr>
            <w:r>
              <w:rPr>
                <w:bCs/>
                <w:sz w:val="20"/>
                <w:szCs w:val="20"/>
              </w:rPr>
              <w:t>0,8</w:t>
            </w:r>
          </w:p>
        </w:tc>
        <w:tc>
          <w:tcPr>
            <w:tcW w:w="1260" w:type="pct"/>
            <w:noWrap/>
            <w:vAlign w:val="center"/>
          </w:tcPr>
          <w:p w:rsidR="004F605B" w:rsidRPr="003C21F1" w:rsidRDefault="004F605B" w:rsidP="00167302">
            <w:pPr>
              <w:spacing w:before="40" w:after="40"/>
              <w:jc w:val="center"/>
              <w:rPr>
                <w:bCs/>
                <w:sz w:val="20"/>
                <w:szCs w:val="20"/>
              </w:rPr>
            </w:pPr>
            <w:r>
              <w:rPr>
                <w:bCs/>
                <w:sz w:val="20"/>
                <w:szCs w:val="20"/>
              </w:rPr>
              <w:t>2,2</w:t>
            </w:r>
          </w:p>
        </w:tc>
      </w:tr>
      <w:tr w:rsidR="004F605B" w:rsidRPr="00F34263" w:rsidTr="00167302">
        <w:trPr>
          <w:trHeight w:val="300"/>
          <w:jc w:val="center"/>
        </w:trPr>
        <w:tc>
          <w:tcPr>
            <w:tcW w:w="1218" w:type="pct"/>
            <w:noWrap/>
            <w:vAlign w:val="center"/>
            <w:hideMark/>
          </w:tcPr>
          <w:p w:rsidR="004F605B" w:rsidRPr="00F34263" w:rsidRDefault="004F605B" w:rsidP="00167302">
            <w:pPr>
              <w:spacing w:before="40" w:after="40" w:line="276" w:lineRule="auto"/>
              <w:jc w:val="center"/>
              <w:rPr>
                <w:rFonts w:eastAsia="Times New Roman" w:cs="Times New Roman"/>
                <w:bCs/>
                <w:sz w:val="20"/>
                <w:szCs w:val="20"/>
              </w:rPr>
            </w:pPr>
            <w:r>
              <w:rPr>
                <w:rFonts w:eastAsia="Times New Roman" w:cs="Times New Roman"/>
                <w:bCs/>
                <w:sz w:val="20"/>
                <w:szCs w:val="20"/>
              </w:rPr>
              <w:t>2020</w:t>
            </w:r>
          </w:p>
        </w:tc>
        <w:tc>
          <w:tcPr>
            <w:tcW w:w="1261" w:type="pct"/>
            <w:noWrap/>
            <w:vAlign w:val="center"/>
          </w:tcPr>
          <w:p w:rsidR="004F605B" w:rsidRPr="003C21F1" w:rsidRDefault="004F605B" w:rsidP="00167302">
            <w:pPr>
              <w:spacing w:before="40" w:after="40"/>
              <w:jc w:val="center"/>
              <w:rPr>
                <w:bCs/>
                <w:sz w:val="20"/>
                <w:szCs w:val="20"/>
              </w:rPr>
            </w:pPr>
            <w:r>
              <w:rPr>
                <w:bCs/>
                <w:sz w:val="20"/>
                <w:szCs w:val="20"/>
              </w:rPr>
              <w:t>0,1</w:t>
            </w:r>
          </w:p>
        </w:tc>
        <w:tc>
          <w:tcPr>
            <w:tcW w:w="1261" w:type="pct"/>
            <w:noWrap/>
            <w:vAlign w:val="center"/>
          </w:tcPr>
          <w:p w:rsidR="004F605B" w:rsidRPr="003C21F1" w:rsidRDefault="004F605B" w:rsidP="00167302">
            <w:pPr>
              <w:spacing w:before="40" w:after="40"/>
              <w:jc w:val="center"/>
              <w:rPr>
                <w:bCs/>
                <w:sz w:val="20"/>
                <w:szCs w:val="20"/>
              </w:rPr>
            </w:pPr>
            <w:r>
              <w:rPr>
                <w:bCs/>
                <w:sz w:val="20"/>
                <w:szCs w:val="20"/>
              </w:rPr>
              <w:t>0,9</w:t>
            </w:r>
          </w:p>
        </w:tc>
        <w:tc>
          <w:tcPr>
            <w:tcW w:w="1260" w:type="pct"/>
            <w:noWrap/>
            <w:vAlign w:val="center"/>
          </w:tcPr>
          <w:p w:rsidR="004F605B" w:rsidRPr="003C21F1" w:rsidRDefault="004F605B" w:rsidP="00167302">
            <w:pPr>
              <w:spacing w:before="40" w:after="40"/>
              <w:jc w:val="center"/>
              <w:rPr>
                <w:bCs/>
                <w:sz w:val="20"/>
                <w:szCs w:val="20"/>
              </w:rPr>
            </w:pPr>
            <w:r>
              <w:rPr>
                <w:bCs/>
                <w:sz w:val="20"/>
                <w:szCs w:val="20"/>
              </w:rPr>
              <w:t>2,1</w:t>
            </w:r>
          </w:p>
        </w:tc>
      </w:tr>
      <w:tr w:rsidR="004F605B" w:rsidRPr="00F34263" w:rsidTr="00167302">
        <w:trPr>
          <w:trHeight w:val="300"/>
          <w:jc w:val="center"/>
        </w:trPr>
        <w:tc>
          <w:tcPr>
            <w:tcW w:w="1218" w:type="pct"/>
            <w:noWrap/>
            <w:vAlign w:val="center"/>
            <w:hideMark/>
          </w:tcPr>
          <w:p w:rsidR="004F605B" w:rsidRPr="00F34263" w:rsidRDefault="004F605B" w:rsidP="00167302">
            <w:pPr>
              <w:spacing w:before="40" w:after="40" w:line="276" w:lineRule="auto"/>
              <w:jc w:val="center"/>
              <w:rPr>
                <w:rFonts w:eastAsia="Times New Roman" w:cs="Times New Roman"/>
                <w:bCs/>
                <w:sz w:val="20"/>
                <w:szCs w:val="20"/>
              </w:rPr>
            </w:pPr>
            <w:r>
              <w:rPr>
                <w:rFonts w:eastAsia="Times New Roman" w:cs="Times New Roman"/>
                <w:bCs/>
                <w:sz w:val="20"/>
                <w:szCs w:val="20"/>
              </w:rPr>
              <w:t>2021</w:t>
            </w:r>
          </w:p>
        </w:tc>
        <w:tc>
          <w:tcPr>
            <w:tcW w:w="1261" w:type="pct"/>
            <w:noWrap/>
            <w:vAlign w:val="center"/>
          </w:tcPr>
          <w:p w:rsidR="004F605B" w:rsidRPr="003C21F1" w:rsidRDefault="004F605B" w:rsidP="00167302">
            <w:pPr>
              <w:spacing w:before="40" w:after="40"/>
              <w:rPr>
                <w:bCs/>
                <w:sz w:val="20"/>
                <w:szCs w:val="20"/>
              </w:rPr>
            </w:pPr>
            <w:r>
              <w:rPr>
                <w:bCs/>
                <w:sz w:val="20"/>
                <w:szCs w:val="20"/>
              </w:rPr>
              <w:t xml:space="preserve">                  -0,1</w:t>
            </w:r>
          </w:p>
        </w:tc>
        <w:tc>
          <w:tcPr>
            <w:tcW w:w="1261" w:type="pct"/>
            <w:noWrap/>
            <w:vAlign w:val="center"/>
          </w:tcPr>
          <w:p w:rsidR="004F605B" w:rsidRPr="003C21F1" w:rsidRDefault="004F605B" w:rsidP="00167302">
            <w:pPr>
              <w:spacing w:before="40" w:after="40"/>
              <w:jc w:val="center"/>
              <w:rPr>
                <w:bCs/>
                <w:sz w:val="20"/>
                <w:szCs w:val="20"/>
              </w:rPr>
            </w:pPr>
            <w:r>
              <w:rPr>
                <w:bCs/>
                <w:sz w:val="20"/>
                <w:szCs w:val="20"/>
              </w:rPr>
              <w:t>0,9</w:t>
            </w:r>
          </w:p>
        </w:tc>
        <w:tc>
          <w:tcPr>
            <w:tcW w:w="1260" w:type="pct"/>
            <w:noWrap/>
            <w:vAlign w:val="center"/>
          </w:tcPr>
          <w:p w:rsidR="004F605B" w:rsidRPr="003C21F1" w:rsidRDefault="004F605B" w:rsidP="00167302">
            <w:pPr>
              <w:spacing w:before="40" w:after="40"/>
              <w:jc w:val="center"/>
              <w:rPr>
                <w:bCs/>
                <w:sz w:val="20"/>
                <w:szCs w:val="20"/>
              </w:rPr>
            </w:pPr>
            <w:r>
              <w:rPr>
                <w:bCs/>
                <w:sz w:val="20"/>
                <w:szCs w:val="20"/>
              </w:rPr>
              <w:t>2,1</w:t>
            </w:r>
          </w:p>
        </w:tc>
      </w:tr>
      <w:tr w:rsidR="004F605B" w:rsidRPr="00984602" w:rsidTr="00167302">
        <w:trPr>
          <w:trHeight w:val="300"/>
          <w:jc w:val="center"/>
        </w:trPr>
        <w:tc>
          <w:tcPr>
            <w:tcW w:w="1218" w:type="pct"/>
            <w:tcBorders>
              <w:top w:val="nil"/>
              <w:left w:val="nil"/>
              <w:bottom w:val="single" w:sz="4" w:space="0" w:color="auto"/>
              <w:right w:val="nil"/>
            </w:tcBorders>
            <w:noWrap/>
            <w:vAlign w:val="center"/>
            <w:hideMark/>
          </w:tcPr>
          <w:p w:rsidR="004F605B" w:rsidRPr="00F34263" w:rsidRDefault="004F605B" w:rsidP="00167302">
            <w:pPr>
              <w:spacing w:before="40" w:after="40" w:line="276" w:lineRule="auto"/>
              <w:jc w:val="center"/>
              <w:rPr>
                <w:rFonts w:eastAsia="Times New Roman" w:cs="Times New Roman"/>
                <w:bCs/>
                <w:sz w:val="20"/>
                <w:szCs w:val="20"/>
              </w:rPr>
            </w:pPr>
            <w:r>
              <w:rPr>
                <w:rFonts w:eastAsia="Times New Roman" w:cs="Times New Roman"/>
                <w:bCs/>
                <w:sz w:val="20"/>
                <w:szCs w:val="20"/>
              </w:rPr>
              <w:t>2022</w:t>
            </w:r>
          </w:p>
        </w:tc>
        <w:tc>
          <w:tcPr>
            <w:tcW w:w="1261" w:type="pct"/>
            <w:tcBorders>
              <w:top w:val="nil"/>
              <w:left w:val="nil"/>
              <w:bottom w:val="single" w:sz="4" w:space="0" w:color="auto"/>
              <w:right w:val="nil"/>
            </w:tcBorders>
            <w:noWrap/>
            <w:vAlign w:val="center"/>
          </w:tcPr>
          <w:p w:rsidR="004F605B" w:rsidRPr="003C21F1" w:rsidRDefault="004F605B" w:rsidP="00167302">
            <w:pPr>
              <w:spacing w:before="40" w:after="40"/>
              <w:rPr>
                <w:bCs/>
                <w:sz w:val="20"/>
                <w:szCs w:val="20"/>
              </w:rPr>
            </w:pPr>
            <w:r>
              <w:rPr>
                <w:bCs/>
                <w:sz w:val="20"/>
                <w:szCs w:val="20"/>
              </w:rPr>
              <w:t xml:space="preserve">                  -0,3</w:t>
            </w:r>
          </w:p>
        </w:tc>
        <w:tc>
          <w:tcPr>
            <w:tcW w:w="1261" w:type="pct"/>
            <w:tcBorders>
              <w:top w:val="nil"/>
              <w:left w:val="nil"/>
              <w:bottom w:val="single" w:sz="4" w:space="0" w:color="auto"/>
              <w:right w:val="nil"/>
            </w:tcBorders>
            <w:noWrap/>
            <w:vAlign w:val="center"/>
          </w:tcPr>
          <w:p w:rsidR="004F605B" w:rsidRPr="003C21F1" w:rsidRDefault="004F605B" w:rsidP="00167302">
            <w:pPr>
              <w:spacing w:before="40" w:after="40"/>
              <w:jc w:val="center"/>
              <w:rPr>
                <w:bCs/>
                <w:sz w:val="20"/>
                <w:szCs w:val="20"/>
              </w:rPr>
            </w:pPr>
            <w:r>
              <w:rPr>
                <w:bCs/>
                <w:sz w:val="20"/>
                <w:szCs w:val="20"/>
              </w:rPr>
              <w:t>1,0</w:t>
            </w:r>
          </w:p>
        </w:tc>
        <w:tc>
          <w:tcPr>
            <w:tcW w:w="1260" w:type="pct"/>
            <w:tcBorders>
              <w:top w:val="nil"/>
              <w:left w:val="nil"/>
              <w:bottom w:val="single" w:sz="4" w:space="0" w:color="auto"/>
              <w:right w:val="nil"/>
            </w:tcBorders>
            <w:noWrap/>
            <w:vAlign w:val="center"/>
          </w:tcPr>
          <w:p w:rsidR="004F605B" w:rsidRPr="003C21F1" w:rsidRDefault="004F605B" w:rsidP="00167302">
            <w:pPr>
              <w:spacing w:before="40" w:after="40"/>
              <w:jc w:val="center"/>
              <w:rPr>
                <w:bCs/>
                <w:sz w:val="20"/>
                <w:szCs w:val="20"/>
              </w:rPr>
            </w:pPr>
            <w:r>
              <w:rPr>
                <w:bCs/>
                <w:sz w:val="20"/>
                <w:szCs w:val="20"/>
              </w:rPr>
              <w:t>2,</w:t>
            </w:r>
            <w:r w:rsidRPr="00DD7C25">
              <w:rPr>
                <w:bCs/>
                <w:sz w:val="20"/>
                <w:szCs w:val="20"/>
              </w:rPr>
              <w:t>0</w:t>
            </w:r>
          </w:p>
        </w:tc>
      </w:tr>
    </w:tbl>
    <w:p w:rsidR="007E742A" w:rsidRPr="007E742A" w:rsidRDefault="007E742A" w:rsidP="004F605B">
      <w:pPr>
        <w:jc w:val="right"/>
        <w:rPr>
          <w:rFonts w:eastAsia="Batang" w:cs="Times New Roman"/>
          <w:sz w:val="20"/>
          <w:szCs w:val="20"/>
        </w:rPr>
      </w:pPr>
      <w:r w:rsidRPr="007E742A">
        <w:rPr>
          <w:rFonts w:eastAsia="Batang" w:cs="Times New Roman"/>
          <w:sz w:val="20"/>
          <w:szCs w:val="20"/>
        </w:rPr>
        <w:t>Източник: МФ</w:t>
      </w:r>
    </w:p>
    <w:p w:rsidR="00083361" w:rsidRPr="00F27608" w:rsidRDefault="00083361" w:rsidP="00DE2BDB">
      <w:pPr>
        <w:pStyle w:val="Heading2"/>
      </w:pPr>
      <w:bookmarkStart w:id="255" w:name="_Toc408487401"/>
      <w:bookmarkStart w:id="256" w:name="_Toc464225424"/>
      <w:bookmarkStart w:id="257" w:name="_Toc464458970"/>
      <w:bookmarkStart w:id="258" w:name="_Toc464459716"/>
      <w:bookmarkStart w:id="259" w:name="_Toc464460671"/>
      <w:bookmarkStart w:id="260" w:name="_Toc464463070"/>
      <w:bookmarkStart w:id="261" w:name="_Toc464464897"/>
      <w:bookmarkStart w:id="262" w:name="_Toc464465403"/>
      <w:bookmarkStart w:id="263" w:name="_Toc464465591"/>
      <w:bookmarkStart w:id="264" w:name="_Toc464466416"/>
      <w:bookmarkStart w:id="265" w:name="_Toc464466660"/>
      <w:bookmarkStart w:id="266" w:name="_Toc464644965"/>
      <w:bookmarkStart w:id="267" w:name="_Toc465205503"/>
      <w:bookmarkStart w:id="268" w:name="_Toc23337471"/>
      <w:r w:rsidRPr="00F27608">
        <w:t>СЪПОСТАВКА НА МАКРОИКОНОМИЧЕСКАТА ПРОГНОЗА С ТАЗИ НА ЕК</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p>
    <w:p w:rsidR="00663F27" w:rsidRPr="007D6981" w:rsidRDefault="00663F27" w:rsidP="00663F27">
      <w:pPr>
        <w:spacing w:after="120"/>
        <w:rPr>
          <w:rFonts w:eastAsia="Batang" w:cs="Times New Roman"/>
          <w:color w:val="FF0000"/>
          <w:highlight w:val="lightGray"/>
          <w:lang w:val="ru-RU"/>
        </w:rPr>
      </w:pPr>
      <w:r w:rsidRPr="00663F27">
        <w:rPr>
          <w:rFonts w:eastAsia="Batang" w:cs="Times New Roman"/>
        </w:rPr>
        <w:t>Направено е сравнение на есенната макроикономическа прогноза на МФ с последната официална прогноза</w:t>
      </w:r>
      <w:r w:rsidR="00924EB2">
        <w:rPr>
          <w:rStyle w:val="FootnoteReference"/>
          <w:rFonts w:eastAsia="Batang"/>
        </w:rPr>
        <w:footnoteReference w:id="11"/>
      </w:r>
      <w:r w:rsidRPr="00663F27">
        <w:rPr>
          <w:rFonts w:eastAsia="Batang" w:cs="Times New Roman"/>
        </w:rPr>
        <w:t xml:space="preserve"> на ЕК, публикувана на 10 юли 2019 г. Различният период на изготвяне на двете прогнози предопределя използването на различни отчетни статистически данни. Поради по-ранното публикуване на прогнозата на ЕК, при нейното изготвяне не са взети предвид ревизираните данни за БВП за периода от 1995 г. до второ тримесечие на 2019 г., поради промени в методологията на Националните сметки, ревизии в данните за </w:t>
      </w:r>
      <w:r w:rsidR="004B73D5">
        <w:rPr>
          <w:rFonts w:eastAsia="Batang" w:cs="Times New Roman"/>
        </w:rPr>
        <w:t>п</w:t>
      </w:r>
      <w:r w:rsidRPr="00663F27">
        <w:rPr>
          <w:rFonts w:eastAsia="Batang" w:cs="Times New Roman"/>
        </w:rPr>
        <w:t>латежния баланс от 2015 г. до първо полугодие на 2019 г., пазара на труда и други индикатори с тримесечна и месечна статистическа отчетност към първото полугодие на 2019 г., както и последните развития във външната среда и международните цени на суровините.</w:t>
      </w:r>
    </w:p>
    <w:p w:rsidR="00083361" w:rsidRPr="003C27E4" w:rsidRDefault="00F27608" w:rsidP="00D14E8A">
      <w:pPr>
        <w:pStyle w:val="Caption"/>
        <w:ind w:left="1134" w:hanging="1134"/>
        <w:rPr>
          <w:b w:val="0"/>
          <w:i/>
          <w:szCs w:val="24"/>
          <w:lang w:eastAsia="zh-CN"/>
        </w:rPr>
      </w:pPr>
      <w:bookmarkStart w:id="269" w:name="_Toc464644966"/>
      <w:bookmarkStart w:id="270" w:name="_Toc464646352"/>
      <w:bookmarkStart w:id="271" w:name="_Toc464737633"/>
      <w:bookmarkStart w:id="272" w:name="_Toc23337515"/>
      <w:r>
        <w:t xml:space="preserve">Табл. </w:t>
      </w:r>
      <w:fldSimple w:instr=" STYLEREF 1 \s ">
        <w:r w:rsidR="0034195B">
          <w:rPr>
            <w:noProof/>
          </w:rPr>
          <w:t>I</w:t>
        </w:r>
      </w:fldSimple>
      <w:r w:rsidR="00927CD5">
        <w:noBreakHyphen/>
      </w:r>
      <w:fldSimple w:instr=" SEQ Табл. \* ARABIC \s 1 ">
        <w:r w:rsidR="0034195B">
          <w:rPr>
            <w:noProof/>
          </w:rPr>
          <w:t>5</w:t>
        </w:r>
      </w:fldSimple>
      <w:r w:rsidR="00D14E8A">
        <w:t>:</w:t>
      </w:r>
      <w:r w:rsidR="001977D8">
        <w:tab/>
      </w:r>
      <w:r w:rsidR="00083361" w:rsidRPr="003C27E4">
        <w:rPr>
          <w:szCs w:val="24"/>
          <w:lang w:eastAsia="zh-CN"/>
        </w:rPr>
        <w:t>Сравнение на макроикономическата прогноза на МФ с прогнозата на ЕК</w:t>
      </w:r>
      <w:bookmarkEnd w:id="269"/>
      <w:bookmarkEnd w:id="270"/>
      <w:bookmarkEnd w:id="271"/>
      <w:bookmarkEnd w:id="272"/>
    </w:p>
    <w:tbl>
      <w:tblPr>
        <w:tblW w:w="4900" w:type="pct"/>
        <w:jc w:val="center"/>
        <w:tblCellMar>
          <w:left w:w="70" w:type="dxa"/>
          <w:right w:w="70" w:type="dxa"/>
        </w:tblCellMar>
        <w:tblLook w:val="04A0" w:firstRow="1" w:lastRow="0" w:firstColumn="1" w:lastColumn="0" w:noHBand="0" w:noVBand="1"/>
      </w:tblPr>
      <w:tblGrid>
        <w:gridCol w:w="3119"/>
        <w:gridCol w:w="1556"/>
        <w:gridCol w:w="1054"/>
        <w:gridCol w:w="1054"/>
        <w:gridCol w:w="1054"/>
        <w:gridCol w:w="1052"/>
      </w:tblGrid>
      <w:tr w:rsidR="00ED2924" w:rsidRPr="00F34263" w:rsidTr="00085125">
        <w:trPr>
          <w:trHeight w:val="20"/>
          <w:tblHeader/>
          <w:jc w:val="center"/>
        </w:trPr>
        <w:tc>
          <w:tcPr>
            <w:tcW w:w="1754" w:type="pct"/>
            <w:vMerge w:val="restart"/>
            <w:tcBorders>
              <w:top w:val="single" w:sz="4" w:space="0" w:color="auto"/>
              <w:left w:val="nil"/>
              <w:right w:val="nil"/>
            </w:tcBorders>
            <w:shd w:val="clear" w:color="auto" w:fill="auto"/>
            <w:noWrap/>
            <w:vAlign w:val="center"/>
          </w:tcPr>
          <w:p w:rsidR="00ED2924" w:rsidRPr="00F34263" w:rsidRDefault="00ED2924" w:rsidP="00E22F06">
            <w:pPr>
              <w:pStyle w:val="texttable"/>
              <w:jc w:val="center"/>
            </w:pPr>
            <w:r w:rsidRPr="00F34263">
              <w:rPr>
                <w:b/>
              </w:rPr>
              <w:t>Показатели</w:t>
            </w:r>
          </w:p>
        </w:tc>
        <w:tc>
          <w:tcPr>
            <w:tcW w:w="875" w:type="pct"/>
            <w:tcBorders>
              <w:top w:val="single" w:sz="4" w:space="0" w:color="auto"/>
              <w:left w:val="nil"/>
              <w:bottom w:val="single" w:sz="4" w:space="0" w:color="auto"/>
              <w:right w:val="nil"/>
            </w:tcBorders>
            <w:shd w:val="clear" w:color="auto" w:fill="auto"/>
            <w:vAlign w:val="center"/>
          </w:tcPr>
          <w:p w:rsidR="00ED2924" w:rsidRPr="00F34263" w:rsidRDefault="00ED2924" w:rsidP="004023BD">
            <w:pPr>
              <w:pStyle w:val="texttable"/>
              <w:jc w:val="center"/>
              <w:rPr>
                <w:b/>
              </w:rPr>
            </w:pPr>
            <w:r w:rsidRPr="00F34263">
              <w:rPr>
                <w:b/>
              </w:rPr>
              <w:t>201</w:t>
            </w:r>
            <w:r w:rsidR="00F34263">
              <w:rPr>
                <w:b/>
              </w:rPr>
              <w:t>8</w:t>
            </w:r>
          </w:p>
        </w:tc>
        <w:tc>
          <w:tcPr>
            <w:tcW w:w="1185" w:type="pct"/>
            <w:gridSpan w:val="2"/>
            <w:tcBorders>
              <w:top w:val="single" w:sz="4" w:space="0" w:color="auto"/>
              <w:left w:val="nil"/>
              <w:bottom w:val="single" w:sz="4" w:space="0" w:color="auto"/>
              <w:right w:val="nil"/>
            </w:tcBorders>
            <w:shd w:val="clear" w:color="auto" w:fill="F2F2F2" w:themeFill="background1" w:themeFillShade="F2"/>
            <w:noWrap/>
            <w:vAlign w:val="center"/>
          </w:tcPr>
          <w:p w:rsidR="00ED2924" w:rsidRPr="00F34263" w:rsidRDefault="00ED2924" w:rsidP="004023BD">
            <w:pPr>
              <w:pStyle w:val="texttable"/>
              <w:jc w:val="center"/>
              <w:rPr>
                <w:b/>
              </w:rPr>
            </w:pPr>
            <w:r w:rsidRPr="00F34263">
              <w:rPr>
                <w:b/>
              </w:rPr>
              <w:t>201</w:t>
            </w:r>
            <w:r w:rsidR="00F34263">
              <w:rPr>
                <w:b/>
              </w:rPr>
              <w:t>9</w:t>
            </w:r>
          </w:p>
        </w:tc>
        <w:tc>
          <w:tcPr>
            <w:tcW w:w="1185" w:type="pct"/>
            <w:gridSpan w:val="2"/>
            <w:tcBorders>
              <w:top w:val="single" w:sz="4" w:space="0" w:color="auto"/>
              <w:left w:val="nil"/>
              <w:bottom w:val="single" w:sz="4" w:space="0" w:color="auto"/>
              <w:right w:val="nil"/>
            </w:tcBorders>
            <w:shd w:val="clear" w:color="auto" w:fill="auto"/>
            <w:noWrap/>
            <w:vAlign w:val="center"/>
          </w:tcPr>
          <w:p w:rsidR="00ED2924" w:rsidRPr="00F34263" w:rsidRDefault="00F34263" w:rsidP="004023BD">
            <w:pPr>
              <w:pStyle w:val="texttable"/>
              <w:jc w:val="center"/>
              <w:rPr>
                <w:b/>
              </w:rPr>
            </w:pPr>
            <w:r>
              <w:rPr>
                <w:b/>
              </w:rPr>
              <w:t>2020</w:t>
            </w:r>
          </w:p>
        </w:tc>
      </w:tr>
      <w:tr w:rsidR="00ED2924" w:rsidRPr="00F34263" w:rsidTr="00EB6FFB">
        <w:trPr>
          <w:trHeight w:val="20"/>
          <w:tblHeader/>
          <w:jc w:val="center"/>
        </w:trPr>
        <w:tc>
          <w:tcPr>
            <w:tcW w:w="1754" w:type="pct"/>
            <w:vMerge/>
            <w:tcBorders>
              <w:left w:val="nil"/>
              <w:bottom w:val="single" w:sz="4" w:space="0" w:color="auto"/>
              <w:right w:val="nil"/>
            </w:tcBorders>
            <w:shd w:val="clear" w:color="auto" w:fill="auto"/>
            <w:noWrap/>
            <w:vAlign w:val="center"/>
            <w:hideMark/>
          </w:tcPr>
          <w:p w:rsidR="00ED2924" w:rsidRPr="00F34263" w:rsidRDefault="00ED2924" w:rsidP="00CD33B2">
            <w:pPr>
              <w:pStyle w:val="texttable"/>
              <w:rPr>
                <w:b/>
              </w:rPr>
            </w:pPr>
          </w:p>
        </w:tc>
        <w:tc>
          <w:tcPr>
            <w:tcW w:w="875" w:type="pct"/>
            <w:tcBorders>
              <w:top w:val="single" w:sz="4" w:space="0" w:color="auto"/>
              <w:left w:val="nil"/>
              <w:bottom w:val="single" w:sz="4" w:space="0" w:color="auto"/>
              <w:right w:val="nil"/>
            </w:tcBorders>
            <w:shd w:val="clear" w:color="auto" w:fill="auto"/>
            <w:vAlign w:val="center"/>
            <w:hideMark/>
          </w:tcPr>
          <w:p w:rsidR="00ED2924" w:rsidRPr="00F34263" w:rsidRDefault="00ED2924" w:rsidP="00ED2924">
            <w:pPr>
              <w:pStyle w:val="texttable"/>
              <w:jc w:val="center"/>
              <w:rPr>
                <w:b/>
              </w:rPr>
            </w:pPr>
            <w:r w:rsidRPr="00F34263">
              <w:rPr>
                <w:b/>
              </w:rPr>
              <w:t>Отчетни данни</w:t>
            </w:r>
          </w:p>
        </w:tc>
        <w:tc>
          <w:tcPr>
            <w:tcW w:w="593" w:type="pct"/>
            <w:tcBorders>
              <w:top w:val="single" w:sz="4" w:space="0" w:color="auto"/>
              <w:left w:val="nil"/>
              <w:bottom w:val="single" w:sz="4" w:space="0" w:color="auto"/>
              <w:right w:val="nil"/>
            </w:tcBorders>
            <w:shd w:val="clear" w:color="auto" w:fill="F2F2F2" w:themeFill="background1" w:themeFillShade="F2"/>
            <w:noWrap/>
            <w:vAlign w:val="center"/>
            <w:hideMark/>
          </w:tcPr>
          <w:p w:rsidR="00ED2924" w:rsidRPr="00F34263" w:rsidRDefault="00ED2924" w:rsidP="00ED2924">
            <w:pPr>
              <w:pStyle w:val="texttable"/>
              <w:jc w:val="center"/>
              <w:rPr>
                <w:b/>
              </w:rPr>
            </w:pPr>
            <w:r w:rsidRPr="00F34263">
              <w:rPr>
                <w:b/>
              </w:rPr>
              <w:t>МФ</w:t>
            </w:r>
          </w:p>
        </w:tc>
        <w:tc>
          <w:tcPr>
            <w:tcW w:w="593" w:type="pct"/>
            <w:tcBorders>
              <w:top w:val="single" w:sz="4" w:space="0" w:color="auto"/>
              <w:left w:val="nil"/>
              <w:bottom w:val="single" w:sz="4" w:space="0" w:color="auto"/>
              <w:right w:val="nil"/>
            </w:tcBorders>
            <w:shd w:val="clear" w:color="auto" w:fill="F2F2F2" w:themeFill="background1" w:themeFillShade="F2"/>
            <w:noWrap/>
            <w:vAlign w:val="center"/>
            <w:hideMark/>
          </w:tcPr>
          <w:p w:rsidR="00ED2924" w:rsidRPr="00F34263" w:rsidRDefault="00ED2924" w:rsidP="00ED2924">
            <w:pPr>
              <w:pStyle w:val="texttable"/>
              <w:jc w:val="center"/>
              <w:rPr>
                <w:b/>
              </w:rPr>
            </w:pPr>
            <w:r w:rsidRPr="00F34263">
              <w:rPr>
                <w:b/>
              </w:rPr>
              <w:t>ЕК</w:t>
            </w:r>
          </w:p>
        </w:tc>
        <w:tc>
          <w:tcPr>
            <w:tcW w:w="593" w:type="pct"/>
            <w:tcBorders>
              <w:top w:val="single" w:sz="4" w:space="0" w:color="auto"/>
              <w:left w:val="nil"/>
              <w:bottom w:val="single" w:sz="4" w:space="0" w:color="auto"/>
              <w:right w:val="nil"/>
            </w:tcBorders>
            <w:shd w:val="clear" w:color="auto" w:fill="auto"/>
            <w:noWrap/>
            <w:vAlign w:val="center"/>
            <w:hideMark/>
          </w:tcPr>
          <w:p w:rsidR="00ED2924" w:rsidRPr="00F34263" w:rsidRDefault="00ED2924" w:rsidP="00ED2924">
            <w:pPr>
              <w:pStyle w:val="texttable"/>
              <w:jc w:val="center"/>
              <w:rPr>
                <w:b/>
              </w:rPr>
            </w:pPr>
            <w:r w:rsidRPr="00F34263">
              <w:rPr>
                <w:b/>
              </w:rPr>
              <w:t>МФ</w:t>
            </w:r>
          </w:p>
        </w:tc>
        <w:tc>
          <w:tcPr>
            <w:tcW w:w="592" w:type="pct"/>
            <w:tcBorders>
              <w:top w:val="single" w:sz="4" w:space="0" w:color="auto"/>
              <w:left w:val="nil"/>
              <w:bottom w:val="single" w:sz="4" w:space="0" w:color="auto"/>
              <w:right w:val="nil"/>
            </w:tcBorders>
            <w:shd w:val="clear" w:color="auto" w:fill="auto"/>
            <w:noWrap/>
            <w:vAlign w:val="center"/>
            <w:hideMark/>
          </w:tcPr>
          <w:p w:rsidR="00ED2924" w:rsidRPr="00F34263" w:rsidRDefault="00ED2924" w:rsidP="00ED2924">
            <w:pPr>
              <w:pStyle w:val="texttable"/>
              <w:jc w:val="center"/>
              <w:rPr>
                <w:b/>
              </w:rPr>
            </w:pPr>
            <w:r w:rsidRPr="00F34263">
              <w:rPr>
                <w:b/>
              </w:rPr>
              <w:t>ЕК</w:t>
            </w:r>
          </w:p>
        </w:tc>
      </w:tr>
      <w:tr w:rsidR="00663F27" w:rsidRPr="00F34263" w:rsidTr="00EB6FFB">
        <w:trPr>
          <w:trHeight w:val="20"/>
          <w:jc w:val="center"/>
        </w:trPr>
        <w:tc>
          <w:tcPr>
            <w:tcW w:w="1754" w:type="pct"/>
            <w:tcBorders>
              <w:top w:val="single" w:sz="4" w:space="0" w:color="auto"/>
              <w:left w:val="nil"/>
              <w:right w:val="nil"/>
            </w:tcBorders>
            <w:shd w:val="clear" w:color="auto" w:fill="auto"/>
            <w:vAlign w:val="center"/>
            <w:hideMark/>
          </w:tcPr>
          <w:p w:rsidR="00663F27" w:rsidRPr="00F34263" w:rsidRDefault="00663F27" w:rsidP="00CD33B2">
            <w:pPr>
              <w:pStyle w:val="texttable"/>
            </w:pPr>
          </w:p>
          <w:p w:rsidR="00663F27" w:rsidRPr="00F34263" w:rsidRDefault="00663F27" w:rsidP="00CD33B2">
            <w:pPr>
              <w:pStyle w:val="texttable"/>
            </w:pPr>
            <w:r w:rsidRPr="00F34263">
              <w:t xml:space="preserve">БВП, реален растеж, % </w:t>
            </w:r>
          </w:p>
        </w:tc>
        <w:tc>
          <w:tcPr>
            <w:tcW w:w="875" w:type="pct"/>
            <w:tcBorders>
              <w:top w:val="single" w:sz="4" w:space="0" w:color="auto"/>
              <w:left w:val="nil"/>
              <w:right w:val="nil"/>
            </w:tcBorders>
            <w:shd w:val="clear" w:color="auto" w:fill="auto"/>
            <w:noWrap/>
            <w:vAlign w:val="center"/>
          </w:tcPr>
          <w:p w:rsidR="00663F27" w:rsidRPr="004672E5" w:rsidRDefault="00663F27" w:rsidP="00167302">
            <w:pPr>
              <w:spacing w:before="40" w:after="40"/>
              <w:jc w:val="center"/>
              <w:rPr>
                <w:bCs/>
                <w:sz w:val="20"/>
                <w:szCs w:val="20"/>
              </w:rPr>
            </w:pPr>
            <w:r>
              <w:rPr>
                <w:bCs/>
                <w:sz w:val="20"/>
                <w:szCs w:val="20"/>
              </w:rPr>
              <w:t>3,</w:t>
            </w:r>
            <w:r w:rsidRPr="00F31230">
              <w:rPr>
                <w:bCs/>
                <w:sz w:val="20"/>
                <w:szCs w:val="20"/>
              </w:rPr>
              <w:t>1</w:t>
            </w:r>
          </w:p>
        </w:tc>
        <w:tc>
          <w:tcPr>
            <w:tcW w:w="593" w:type="pct"/>
            <w:tcBorders>
              <w:top w:val="single" w:sz="4" w:space="0" w:color="auto"/>
              <w:left w:val="nil"/>
              <w:right w:val="nil"/>
            </w:tcBorders>
            <w:shd w:val="clear" w:color="auto" w:fill="F2F2F2" w:themeFill="background1" w:themeFillShade="F2"/>
            <w:noWrap/>
            <w:vAlign w:val="center"/>
          </w:tcPr>
          <w:p w:rsidR="00663F27" w:rsidRPr="004672E5" w:rsidRDefault="00663F27" w:rsidP="00167302">
            <w:pPr>
              <w:spacing w:before="40" w:after="40"/>
              <w:jc w:val="center"/>
              <w:rPr>
                <w:bCs/>
                <w:sz w:val="20"/>
                <w:szCs w:val="20"/>
              </w:rPr>
            </w:pPr>
            <w:r>
              <w:rPr>
                <w:bCs/>
                <w:sz w:val="20"/>
                <w:szCs w:val="20"/>
              </w:rPr>
              <w:t>3,</w:t>
            </w:r>
            <w:r w:rsidRPr="00F31230">
              <w:rPr>
                <w:bCs/>
                <w:sz w:val="20"/>
                <w:szCs w:val="20"/>
              </w:rPr>
              <w:t>4</w:t>
            </w:r>
          </w:p>
        </w:tc>
        <w:tc>
          <w:tcPr>
            <w:tcW w:w="593" w:type="pct"/>
            <w:tcBorders>
              <w:top w:val="single" w:sz="4" w:space="0" w:color="auto"/>
              <w:left w:val="nil"/>
              <w:right w:val="nil"/>
            </w:tcBorders>
            <w:shd w:val="clear" w:color="auto" w:fill="F2F2F2" w:themeFill="background1" w:themeFillShade="F2"/>
            <w:noWrap/>
            <w:vAlign w:val="center"/>
          </w:tcPr>
          <w:p w:rsidR="00663F27" w:rsidRPr="00AB4416" w:rsidRDefault="00663F27" w:rsidP="00167302">
            <w:pPr>
              <w:spacing w:before="40" w:after="40"/>
              <w:jc w:val="center"/>
              <w:rPr>
                <w:bCs/>
                <w:sz w:val="20"/>
                <w:szCs w:val="20"/>
                <w:lang w:val="en-US"/>
              </w:rPr>
            </w:pPr>
            <w:r>
              <w:rPr>
                <w:bCs/>
                <w:sz w:val="20"/>
                <w:szCs w:val="20"/>
                <w:lang w:val="en-US"/>
              </w:rPr>
              <w:t>3</w:t>
            </w:r>
            <w:r>
              <w:rPr>
                <w:bCs/>
                <w:sz w:val="20"/>
                <w:szCs w:val="20"/>
              </w:rPr>
              <w:t>,</w:t>
            </w:r>
            <w:r>
              <w:rPr>
                <w:bCs/>
                <w:sz w:val="20"/>
                <w:szCs w:val="20"/>
                <w:lang w:val="en-US"/>
              </w:rPr>
              <w:t>3</w:t>
            </w:r>
          </w:p>
        </w:tc>
        <w:tc>
          <w:tcPr>
            <w:tcW w:w="593" w:type="pct"/>
            <w:tcBorders>
              <w:top w:val="single" w:sz="4" w:space="0" w:color="auto"/>
              <w:left w:val="nil"/>
              <w:right w:val="nil"/>
            </w:tcBorders>
            <w:shd w:val="clear" w:color="auto" w:fill="auto"/>
            <w:noWrap/>
            <w:vAlign w:val="center"/>
          </w:tcPr>
          <w:p w:rsidR="00663F27" w:rsidRPr="004672E5" w:rsidRDefault="00663F27" w:rsidP="00167302">
            <w:pPr>
              <w:spacing w:before="40" w:after="40"/>
              <w:jc w:val="center"/>
              <w:rPr>
                <w:bCs/>
                <w:sz w:val="20"/>
                <w:szCs w:val="20"/>
              </w:rPr>
            </w:pPr>
            <w:r>
              <w:rPr>
                <w:bCs/>
                <w:sz w:val="20"/>
                <w:szCs w:val="20"/>
              </w:rPr>
              <w:t>3,</w:t>
            </w:r>
            <w:r w:rsidRPr="00F31230">
              <w:rPr>
                <w:bCs/>
                <w:sz w:val="20"/>
                <w:szCs w:val="20"/>
              </w:rPr>
              <w:t>3</w:t>
            </w:r>
          </w:p>
        </w:tc>
        <w:tc>
          <w:tcPr>
            <w:tcW w:w="592" w:type="pct"/>
            <w:tcBorders>
              <w:top w:val="single" w:sz="4" w:space="0" w:color="auto"/>
              <w:left w:val="nil"/>
              <w:right w:val="nil"/>
            </w:tcBorders>
            <w:shd w:val="clear" w:color="auto" w:fill="auto"/>
            <w:noWrap/>
            <w:vAlign w:val="center"/>
          </w:tcPr>
          <w:p w:rsidR="00663F27" w:rsidRPr="00AB4416" w:rsidRDefault="00663F27" w:rsidP="00167302">
            <w:pPr>
              <w:spacing w:before="40" w:after="40"/>
              <w:jc w:val="center"/>
              <w:rPr>
                <w:bCs/>
                <w:sz w:val="20"/>
                <w:szCs w:val="20"/>
                <w:lang w:val="en-US"/>
              </w:rPr>
            </w:pPr>
            <w:r>
              <w:rPr>
                <w:bCs/>
                <w:sz w:val="20"/>
                <w:szCs w:val="20"/>
                <w:lang w:val="en-US"/>
              </w:rPr>
              <w:t>3</w:t>
            </w:r>
            <w:r>
              <w:rPr>
                <w:bCs/>
                <w:sz w:val="20"/>
                <w:szCs w:val="20"/>
              </w:rPr>
              <w:t>,</w:t>
            </w:r>
            <w:r>
              <w:rPr>
                <w:bCs/>
                <w:sz w:val="20"/>
                <w:szCs w:val="20"/>
                <w:lang w:val="en-US"/>
              </w:rPr>
              <w:t>4</w:t>
            </w:r>
          </w:p>
        </w:tc>
      </w:tr>
      <w:tr w:rsidR="00663F27" w:rsidRPr="003C27E4" w:rsidTr="00B160AE">
        <w:trPr>
          <w:trHeight w:val="20"/>
          <w:jc w:val="center"/>
        </w:trPr>
        <w:tc>
          <w:tcPr>
            <w:tcW w:w="1754" w:type="pct"/>
            <w:tcBorders>
              <w:top w:val="nil"/>
              <w:left w:val="nil"/>
              <w:bottom w:val="single" w:sz="4" w:space="0" w:color="auto"/>
              <w:right w:val="nil"/>
            </w:tcBorders>
            <w:shd w:val="clear" w:color="auto" w:fill="auto"/>
            <w:noWrap/>
            <w:vAlign w:val="center"/>
            <w:hideMark/>
          </w:tcPr>
          <w:p w:rsidR="00663F27" w:rsidRPr="00F34263" w:rsidRDefault="00663F27" w:rsidP="00CD33B2">
            <w:pPr>
              <w:pStyle w:val="texttable"/>
            </w:pPr>
            <w:r w:rsidRPr="00F34263">
              <w:t>Инфлация, средногодишна, %</w:t>
            </w:r>
          </w:p>
        </w:tc>
        <w:tc>
          <w:tcPr>
            <w:tcW w:w="875" w:type="pct"/>
            <w:tcBorders>
              <w:top w:val="nil"/>
              <w:left w:val="nil"/>
              <w:bottom w:val="single" w:sz="4" w:space="0" w:color="auto"/>
              <w:right w:val="nil"/>
            </w:tcBorders>
            <w:shd w:val="clear" w:color="auto" w:fill="auto"/>
            <w:noWrap/>
            <w:vAlign w:val="center"/>
          </w:tcPr>
          <w:p w:rsidR="00663F27" w:rsidRPr="004672E5" w:rsidRDefault="00663F27" w:rsidP="00167302">
            <w:pPr>
              <w:spacing w:before="40" w:after="40"/>
              <w:jc w:val="center"/>
              <w:rPr>
                <w:bCs/>
                <w:sz w:val="20"/>
                <w:szCs w:val="20"/>
              </w:rPr>
            </w:pPr>
            <w:r>
              <w:rPr>
                <w:bCs/>
                <w:sz w:val="20"/>
                <w:szCs w:val="20"/>
              </w:rPr>
              <w:t>2,</w:t>
            </w:r>
            <w:r w:rsidRPr="00420394">
              <w:rPr>
                <w:bCs/>
                <w:sz w:val="20"/>
                <w:szCs w:val="20"/>
              </w:rPr>
              <w:t>6</w:t>
            </w:r>
          </w:p>
        </w:tc>
        <w:tc>
          <w:tcPr>
            <w:tcW w:w="593" w:type="pct"/>
            <w:tcBorders>
              <w:top w:val="nil"/>
              <w:left w:val="nil"/>
              <w:bottom w:val="single" w:sz="4" w:space="0" w:color="auto"/>
              <w:right w:val="nil"/>
            </w:tcBorders>
            <w:shd w:val="clear" w:color="auto" w:fill="F2F2F2" w:themeFill="background1" w:themeFillShade="F2"/>
            <w:noWrap/>
            <w:vAlign w:val="center"/>
          </w:tcPr>
          <w:p w:rsidR="00663F27" w:rsidRPr="004672E5" w:rsidRDefault="00663F27" w:rsidP="00167302">
            <w:pPr>
              <w:spacing w:before="40" w:after="40"/>
              <w:jc w:val="center"/>
              <w:rPr>
                <w:bCs/>
                <w:sz w:val="20"/>
                <w:szCs w:val="20"/>
              </w:rPr>
            </w:pPr>
            <w:r>
              <w:rPr>
                <w:bCs/>
                <w:sz w:val="20"/>
                <w:szCs w:val="20"/>
              </w:rPr>
              <w:t>2,</w:t>
            </w:r>
            <w:r w:rsidRPr="00420394">
              <w:rPr>
                <w:bCs/>
                <w:sz w:val="20"/>
                <w:szCs w:val="20"/>
              </w:rPr>
              <w:t>5</w:t>
            </w:r>
          </w:p>
        </w:tc>
        <w:tc>
          <w:tcPr>
            <w:tcW w:w="593" w:type="pct"/>
            <w:tcBorders>
              <w:top w:val="nil"/>
              <w:left w:val="nil"/>
              <w:bottom w:val="single" w:sz="4" w:space="0" w:color="auto"/>
              <w:right w:val="nil"/>
            </w:tcBorders>
            <w:shd w:val="clear" w:color="auto" w:fill="F2F2F2" w:themeFill="background1" w:themeFillShade="F2"/>
            <w:noWrap/>
            <w:vAlign w:val="center"/>
          </w:tcPr>
          <w:p w:rsidR="00663F27" w:rsidRPr="00A95694" w:rsidRDefault="00663F27" w:rsidP="00167302">
            <w:pPr>
              <w:spacing w:before="40" w:after="40"/>
              <w:jc w:val="center"/>
              <w:rPr>
                <w:bCs/>
                <w:sz w:val="20"/>
                <w:szCs w:val="20"/>
                <w:lang w:val="en-US"/>
              </w:rPr>
            </w:pPr>
            <w:r>
              <w:rPr>
                <w:bCs/>
                <w:sz w:val="20"/>
                <w:szCs w:val="20"/>
                <w:lang w:val="en-US"/>
              </w:rPr>
              <w:t>2</w:t>
            </w:r>
            <w:r>
              <w:rPr>
                <w:bCs/>
                <w:sz w:val="20"/>
                <w:szCs w:val="20"/>
              </w:rPr>
              <w:t>,</w:t>
            </w:r>
            <w:r>
              <w:rPr>
                <w:bCs/>
                <w:sz w:val="20"/>
                <w:szCs w:val="20"/>
                <w:lang w:val="en-US"/>
              </w:rPr>
              <w:t>4</w:t>
            </w:r>
          </w:p>
        </w:tc>
        <w:tc>
          <w:tcPr>
            <w:tcW w:w="593" w:type="pct"/>
            <w:tcBorders>
              <w:top w:val="nil"/>
              <w:left w:val="nil"/>
              <w:bottom w:val="single" w:sz="4" w:space="0" w:color="auto"/>
              <w:right w:val="nil"/>
            </w:tcBorders>
            <w:shd w:val="clear" w:color="auto" w:fill="auto"/>
            <w:noWrap/>
            <w:vAlign w:val="center"/>
          </w:tcPr>
          <w:p w:rsidR="00663F27" w:rsidRPr="004672E5" w:rsidRDefault="00663F27" w:rsidP="00167302">
            <w:pPr>
              <w:spacing w:before="40" w:after="40"/>
              <w:jc w:val="center"/>
              <w:rPr>
                <w:bCs/>
                <w:sz w:val="20"/>
                <w:szCs w:val="20"/>
              </w:rPr>
            </w:pPr>
            <w:r>
              <w:rPr>
                <w:bCs/>
                <w:sz w:val="20"/>
                <w:szCs w:val="20"/>
              </w:rPr>
              <w:t>2,</w:t>
            </w:r>
            <w:r w:rsidRPr="00420394">
              <w:rPr>
                <w:bCs/>
                <w:sz w:val="20"/>
                <w:szCs w:val="20"/>
              </w:rPr>
              <w:t>1</w:t>
            </w:r>
          </w:p>
        </w:tc>
        <w:tc>
          <w:tcPr>
            <w:tcW w:w="592" w:type="pct"/>
            <w:tcBorders>
              <w:top w:val="nil"/>
              <w:left w:val="nil"/>
              <w:bottom w:val="single" w:sz="4" w:space="0" w:color="auto"/>
              <w:right w:val="nil"/>
            </w:tcBorders>
            <w:shd w:val="clear" w:color="auto" w:fill="auto"/>
            <w:noWrap/>
            <w:vAlign w:val="center"/>
          </w:tcPr>
          <w:p w:rsidR="00663F27" w:rsidRPr="00A95694" w:rsidRDefault="00663F27" w:rsidP="00167302">
            <w:pPr>
              <w:spacing w:before="40" w:after="40"/>
              <w:jc w:val="center"/>
              <w:rPr>
                <w:bCs/>
                <w:sz w:val="20"/>
                <w:szCs w:val="20"/>
                <w:lang w:val="en-US"/>
              </w:rPr>
            </w:pPr>
            <w:r>
              <w:rPr>
                <w:bCs/>
                <w:sz w:val="20"/>
                <w:szCs w:val="20"/>
                <w:lang w:val="en-US"/>
              </w:rPr>
              <w:t>1</w:t>
            </w:r>
            <w:r>
              <w:rPr>
                <w:bCs/>
                <w:sz w:val="20"/>
                <w:szCs w:val="20"/>
              </w:rPr>
              <w:t>,</w:t>
            </w:r>
            <w:r>
              <w:rPr>
                <w:bCs/>
                <w:sz w:val="20"/>
                <w:szCs w:val="20"/>
                <w:lang w:val="en-US"/>
              </w:rPr>
              <w:t>7</w:t>
            </w:r>
          </w:p>
        </w:tc>
      </w:tr>
    </w:tbl>
    <w:p w:rsidR="00083361" w:rsidRPr="00085125" w:rsidRDefault="00083361" w:rsidP="00F27608">
      <w:pPr>
        <w:pStyle w:val="Source0"/>
        <w:rPr>
          <w:sz w:val="16"/>
          <w:szCs w:val="16"/>
        </w:rPr>
      </w:pPr>
      <w:r w:rsidRPr="00085125">
        <w:rPr>
          <w:sz w:val="16"/>
          <w:szCs w:val="16"/>
        </w:rPr>
        <w:t>Източник: ЕК, МФ, НСИ</w:t>
      </w:r>
    </w:p>
    <w:p w:rsidR="00663F27" w:rsidRPr="00663F27" w:rsidRDefault="00663F27" w:rsidP="00663F27">
      <w:pPr>
        <w:spacing w:after="120"/>
        <w:rPr>
          <w:rFonts w:eastAsia="Times New Roman" w:cs="Times New Roman"/>
        </w:rPr>
      </w:pPr>
      <w:bookmarkStart w:id="273" w:name="_Toc464458972"/>
      <w:bookmarkStart w:id="274" w:name="_Toc464459718"/>
      <w:bookmarkStart w:id="275" w:name="_Toc464460673"/>
      <w:bookmarkStart w:id="276" w:name="_Toc464463072"/>
      <w:bookmarkStart w:id="277" w:name="_Toc464464899"/>
      <w:bookmarkStart w:id="278" w:name="_Toc464465405"/>
      <w:bookmarkStart w:id="279" w:name="_Toc464465593"/>
      <w:bookmarkStart w:id="280" w:name="_Toc464466418"/>
      <w:bookmarkStart w:id="281" w:name="_Toc464466662"/>
      <w:bookmarkStart w:id="282" w:name="_Toc464466724"/>
      <w:bookmarkStart w:id="283" w:name="_Toc464470222"/>
      <w:bookmarkStart w:id="284" w:name="_Toc464644968"/>
      <w:bookmarkStart w:id="285" w:name="_Toc464646354"/>
      <w:bookmarkStart w:id="286" w:name="_Toc464224775"/>
      <w:bookmarkStart w:id="287" w:name="_Toc464225425"/>
      <w:r w:rsidRPr="00663F27">
        <w:rPr>
          <w:rFonts w:eastAsia="Times New Roman" w:cs="Times New Roman"/>
        </w:rPr>
        <w:t xml:space="preserve">И двете институции имат сходни очаквания за развитието на българската икономика. Вътрешното търсене се очаква да бъде водещо за растежа на БВП, докато слабата външна среда ще ограничи нарастването на износа. Очаква се растежът на разполагаемия доход на домакинствата да подкрепи ръста на частното потребление, а благоприятните финансови условия и усвояването на европейски средства да доведат до нарастване на инвестиционната активност. </w:t>
      </w:r>
    </w:p>
    <w:p w:rsidR="00663F27" w:rsidRPr="00663F27" w:rsidRDefault="00663F27" w:rsidP="00663F27">
      <w:pPr>
        <w:rPr>
          <w:rFonts w:eastAsia="Times New Roman" w:cs="Times New Roman"/>
        </w:rPr>
      </w:pPr>
      <w:r w:rsidRPr="00663F27">
        <w:rPr>
          <w:rFonts w:eastAsia="Times New Roman" w:cs="Times New Roman"/>
        </w:rPr>
        <w:t>При прогнозата за средногодишната инфлация и двете институции имат близки очаквания за 2019 г. За следващата година различията произлизат от факта, че в прогнозата на Комисията не се отчитат последните развития през текущата година, които при равни други условия ще дадат отражение в малко по-висока средногодишна инфлация за 2020 г.</w:t>
      </w:r>
    </w:p>
    <w:p w:rsidR="00663F27" w:rsidRDefault="00663F27" w:rsidP="00053C64">
      <w:pPr>
        <w:spacing w:after="120"/>
        <w:rPr>
          <w:highlight w:val="yellow"/>
        </w:rPr>
      </w:pPr>
    </w:p>
    <w:p w:rsidR="00732B20" w:rsidRPr="00B51C67" w:rsidRDefault="00732B20" w:rsidP="00732B20">
      <w:pPr>
        <w:sectPr w:rsidR="00732B20" w:rsidRPr="00B51C67" w:rsidSect="00D142D3">
          <w:headerReference w:type="even" r:id="rId19"/>
          <w:headerReference w:type="default" r:id="rId20"/>
          <w:footerReference w:type="default" r:id="rId21"/>
          <w:headerReference w:type="first" r:id="rId22"/>
          <w:pgSz w:w="11906" w:h="16838" w:code="9"/>
          <w:pgMar w:top="1418" w:right="1418" w:bottom="851" w:left="1418" w:header="709" w:footer="709" w:gutter="0"/>
          <w:cols w:space="708"/>
          <w:titlePg/>
          <w:docGrid w:linePitch="360"/>
        </w:sectPr>
      </w:pPr>
    </w:p>
    <w:p w:rsidR="00083361" w:rsidRPr="00F27608" w:rsidRDefault="00710C44" w:rsidP="00840F02">
      <w:pPr>
        <w:pStyle w:val="Heading1"/>
      </w:pPr>
      <w:bookmarkStart w:id="288" w:name="_Toc23337472"/>
      <w:r w:rsidRPr="00710C44">
        <w:rPr>
          <w:noProof/>
        </w:rPr>
        <mc:AlternateContent>
          <mc:Choice Requires="wps">
            <w:drawing>
              <wp:anchor distT="0" distB="0" distL="114300" distR="114300" simplePos="0" relativeHeight="251648000" behindDoc="0" locked="0" layoutInCell="1" allowOverlap="1" wp14:anchorId="1DD5EB3A" wp14:editId="32ADC57F">
                <wp:simplePos x="0" y="0"/>
                <wp:positionH relativeFrom="column">
                  <wp:posOffset>-911225</wp:posOffset>
                </wp:positionH>
                <wp:positionV relativeFrom="paragraph">
                  <wp:posOffset>1405255</wp:posOffset>
                </wp:positionV>
                <wp:extent cx="7560310" cy="0"/>
                <wp:effectExtent l="0" t="0" r="21590" b="19050"/>
                <wp:wrapNone/>
                <wp:docPr id="28" name="Straight Connector 28"/>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26270E6" id="Straight Connector 28" o:spid="_x0000_s1026" style="position:absolute;z-index:251648000;visibility:visible;mso-wrap-style:square;mso-wrap-distance-left:9pt;mso-wrap-distance-top:0;mso-wrap-distance-right:9pt;mso-wrap-distance-bottom:0;mso-position-horizontal:absolute;mso-position-horizontal-relative:text;mso-position-vertical:absolute;mso-position-vertical-relative:text" from="-71.75pt,110.65pt" to="523.55pt,1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" strokecolor="#b32c16 [3206]"/>
            </w:pict>
          </mc:Fallback>
        </mc:AlternateContent>
      </w:r>
      <w:r w:rsidRPr="00710C44">
        <w:rPr>
          <w:noProof/>
        </w:rPr>
        <mc:AlternateContent>
          <mc:Choice Requires="wps">
            <w:drawing>
              <wp:anchor distT="0" distB="0" distL="114300" distR="114300" simplePos="0" relativeHeight="251646976" behindDoc="1" locked="0" layoutInCell="1" allowOverlap="1" wp14:anchorId="4F7E602B" wp14:editId="3E3C32F4">
                <wp:simplePos x="0" y="0"/>
                <wp:positionH relativeFrom="page">
                  <wp:posOffset>0</wp:posOffset>
                </wp:positionH>
                <wp:positionV relativeFrom="page">
                  <wp:posOffset>0</wp:posOffset>
                </wp:positionV>
                <wp:extent cx="7560000" cy="2304000"/>
                <wp:effectExtent l="0" t="0" r="3175" b="1270"/>
                <wp:wrapNone/>
                <wp:docPr id="21" name="Rectangle 21"/>
                <wp:cNvGraphicFramePr/>
                <a:graphic xmlns:a="http://schemas.openxmlformats.org/drawingml/2006/main">
                  <a:graphicData uri="http://schemas.microsoft.com/office/word/2010/wordprocessingShape">
                    <wps:wsp>
                      <wps:cNvSpPr/>
                      <wps:spPr>
                        <a:xfrm>
                          <a:off x="0" y="0"/>
                          <a:ext cx="756000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5E5885" id="Rectangle 21" o:spid="_x0000_s1026" style="position:absolute;margin-left:0;margin-top:0;width:595.3pt;height:181.4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" fillcolor="#f8cec7 [662]" stroked="f" strokeweight="1pt">
                <w10:wrap anchorx="page" anchory="page"/>
              </v:rect>
            </w:pict>
          </mc:Fallback>
        </mc:AlternateContent>
      </w:r>
      <w:r w:rsidR="00AA3035">
        <w:br/>
      </w:r>
      <w:bookmarkStart w:id="289" w:name="_Toc465205504"/>
      <w:r w:rsidR="00083361" w:rsidRPr="00710C44">
        <w:rPr>
          <w:color w:val="auto"/>
        </w:rPr>
        <w:t xml:space="preserve">Фискална политика и </w:t>
      </w:r>
      <w:r w:rsidR="002A37C0">
        <w:rPr>
          <w:color w:val="auto"/>
        </w:rPr>
        <w:t>основни параметри за периода 2020</w:t>
      </w:r>
      <w:r w:rsidR="00083361" w:rsidRPr="00710C44">
        <w:rPr>
          <w:color w:val="auto"/>
        </w:rPr>
        <w:t>-20</w:t>
      </w:r>
      <w:r w:rsidR="005D525B">
        <w:rPr>
          <w:color w:val="auto"/>
        </w:rPr>
        <w:t>2</w:t>
      </w:r>
      <w:r w:rsidR="002A37C0">
        <w:rPr>
          <w:color w:val="auto"/>
        </w:rPr>
        <w:t>2</w:t>
      </w:r>
      <w:r w:rsidR="00AA3035" w:rsidRPr="00710C44">
        <w:rPr>
          <w:color w:val="auto"/>
        </w:rPr>
        <w:t> г.</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8"/>
      <w:bookmarkEnd w:id="289"/>
    </w:p>
    <w:p w:rsidR="00083361" w:rsidRPr="00DE2BDB" w:rsidRDefault="00083361" w:rsidP="00DE2BDB">
      <w:pPr>
        <w:pStyle w:val="Heading2"/>
      </w:pPr>
      <w:bookmarkStart w:id="290" w:name="_Toc464224777"/>
      <w:bookmarkStart w:id="291" w:name="_Toc464225427"/>
      <w:bookmarkStart w:id="292" w:name="_Toc464458974"/>
      <w:bookmarkStart w:id="293" w:name="_Toc464459720"/>
      <w:bookmarkStart w:id="294" w:name="_Toc464460675"/>
      <w:bookmarkStart w:id="295" w:name="_Toc464463074"/>
      <w:bookmarkStart w:id="296" w:name="_Toc464464901"/>
      <w:bookmarkStart w:id="297" w:name="_Toc464465407"/>
      <w:bookmarkStart w:id="298" w:name="_Toc464465595"/>
      <w:bookmarkStart w:id="299" w:name="_Toc464466420"/>
      <w:bookmarkStart w:id="300" w:name="_Toc464466664"/>
      <w:bookmarkStart w:id="301" w:name="_Toc464644970"/>
      <w:bookmarkStart w:id="302" w:name="_Toc465205505"/>
      <w:bookmarkStart w:id="303" w:name="_Toc23337473"/>
      <w:bookmarkEnd w:id="286"/>
      <w:bookmarkEnd w:id="287"/>
      <w:r w:rsidRPr="00DE2BDB">
        <w:t>СРЕДНОСРОЧНИ ЦЕЛИ НА ФИСКАЛНАТА ПОЛИТИКА</w:t>
      </w:r>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p w:rsidR="00070767" w:rsidRDefault="00070767" w:rsidP="00C70181"/>
    <w:p w:rsidR="00070767" w:rsidRPr="00B328AF" w:rsidRDefault="00070767" w:rsidP="00070767">
      <w:r w:rsidRPr="00B328AF">
        <w:t xml:space="preserve">Провежданата последователна фискална политика през последните години дава надеждна основа за устойчивост на бюджетната рамка и възможност за определяне на бюджетните перспективи в средносрочен план, като се гради на основата на непроменената през последните години цел за постигане и поддържане на балансирана бюджетна позиция. Поетапното намаляване на дефицита и </w:t>
      </w:r>
      <w:r>
        <w:t>достигане</w:t>
      </w:r>
      <w:r w:rsidRPr="00B328AF">
        <w:t xml:space="preserve"> </w:t>
      </w:r>
      <w:r>
        <w:t xml:space="preserve">и поддържане </w:t>
      </w:r>
      <w:r w:rsidRPr="00B328AF">
        <w:t xml:space="preserve">на </w:t>
      </w:r>
      <w:r>
        <w:t>нулево</w:t>
      </w:r>
      <w:r w:rsidRPr="00B328AF">
        <w:t xml:space="preserve"> салдо </w:t>
      </w:r>
      <w:r>
        <w:t xml:space="preserve">в средносрочен план </w:t>
      </w:r>
      <w:r w:rsidRPr="00B328AF">
        <w:t>е позитивна тенденция.</w:t>
      </w:r>
      <w:r>
        <w:t xml:space="preserve"> </w:t>
      </w:r>
      <w:r w:rsidRPr="00A66888">
        <w:t>Следва да се има предвид, че с измененията и допълненията на ЗДБРБ за 2019 г. бяха увеличени разходи</w:t>
      </w:r>
      <w:r w:rsidR="00B6189F">
        <w:t>те</w:t>
      </w:r>
      <w:r w:rsidRPr="00A66888">
        <w:t>, свързан</w:t>
      </w:r>
      <w:r w:rsidR="00B6189F">
        <w:t>и с придобиването на нов тип бое</w:t>
      </w:r>
      <w:r w:rsidRPr="00A66888">
        <w:t>н</w:t>
      </w:r>
      <w:r w:rsidR="00B6189F">
        <w:t xml:space="preserve"> самолет</w:t>
      </w:r>
      <w:r w:rsidRPr="00A66888">
        <w:t xml:space="preserve"> за въоръжените сили на Република България, </w:t>
      </w:r>
      <w:r w:rsidRPr="007B3696">
        <w:t xml:space="preserve">вследствие на което салдото по КФП за настоящата година </w:t>
      </w:r>
      <w:r w:rsidR="007A7129" w:rsidRPr="007B3696">
        <w:t xml:space="preserve">беше коригирано </w:t>
      </w:r>
      <w:r w:rsidRPr="007B3696">
        <w:t>от дефицит в размер на 0,5% от БВП на дефицит в размер на 2,1% от БВП, което представлява еднократен ефект и не оказва въздействие върху фискалните цели</w:t>
      </w:r>
      <w:r w:rsidRPr="00A66888">
        <w:t xml:space="preserve"> за постигане и поддържане на балансирана бюджетна позиция за периода 2020-2022 г. в съответствие със СБП от пролетта на тази година.</w:t>
      </w:r>
      <w:r>
        <w:t xml:space="preserve"> </w:t>
      </w:r>
      <w:r w:rsidRPr="00B328AF">
        <w:t>Реалистичната прогноза за параметрите на бюджетната рамка дава възможност да се управляват външните и вътрешни рискове.</w:t>
      </w:r>
    </w:p>
    <w:p w:rsidR="00070767" w:rsidRPr="00B328AF" w:rsidRDefault="00070767" w:rsidP="00070767">
      <w:r w:rsidRPr="00B328AF">
        <w:t>От гледна точка на устойчивостта на публичните финанси през прогнозния период ще продължи тенденцията за определяне на реалистични цели за основните бюджетни параметри при спазване на установените фискални правила и ограничения, заложени в Закона за публичните финанси и произтичащи от изискванията на Директива 2011/85/ЕС на Съвета от 8 ноември 2011 г. относно изискванията за бюджетните рамки на държавите</w:t>
      </w:r>
      <w:r w:rsidR="00520971">
        <w:t xml:space="preserve"> </w:t>
      </w:r>
      <w:r w:rsidRPr="00B328AF">
        <w:t xml:space="preserve">членки (ОВ, L, 306/41 от 23 ноември 2011 г.) и Регламент (ЕО) № 1466/1997 на Съвета от 7 юли 1997 г. за засилване на надзора върху състоянието на бюджета и на надзора и координацията на икономическите политики. </w:t>
      </w:r>
    </w:p>
    <w:p w:rsidR="00C70181" w:rsidRPr="00070767" w:rsidRDefault="00070767" w:rsidP="00C70181">
      <w:r w:rsidRPr="00B328AF">
        <w:t>Параметрите на бюджетната рамка следват очертаните цели на фискалната политика и отчитат ефектите от провежданите политики както в приходната, така и в разходната част на бюджета, при съобразяване с приоритетите, целите и мерките, заложени в Програмата за управление на правителството на Република България за периода 2017-2021 г.</w:t>
      </w:r>
      <w:r>
        <w:t>, като</w:t>
      </w:r>
      <w:r w:rsidRPr="00B328AF">
        <w:t xml:space="preserve"> в нея е отчетена динамиката в развитието на секторните политики и необходимостта от финансовото им обезпечаване.</w:t>
      </w:r>
    </w:p>
    <w:p w:rsidR="00CF782E" w:rsidRDefault="00CF782E" w:rsidP="006C2144">
      <w:pPr>
        <w:rPr>
          <w:highlight w:val="lightGray"/>
        </w:rPr>
      </w:pPr>
    </w:p>
    <w:p w:rsidR="00262669" w:rsidRDefault="00262669" w:rsidP="00CF782E">
      <w:pPr>
        <w:pStyle w:val="Caption"/>
      </w:pPr>
      <w:bookmarkStart w:id="304" w:name="_Toc464644971"/>
      <w:bookmarkStart w:id="305" w:name="_Toc464646356"/>
      <w:bookmarkStart w:id="306" w:name="_Toc464737634"/>
    </w:p>
    <w:p w:rsidR="00262669" w:rsidRDefault="00262669" w:rsidP="00CF782E">
      <w:pPr>
        <w:pStyle w:val="Caption"/>
      </w:pPr>
    </w:p>
    <w:p w:rsidR="00CF782E" w:rsidRDefault="006C2144" w:rsidP="00CF782E">
      <w:pPr>
        <w:pStyle w:val="Caption"/>
        <w:rPr>
          <w:vertAlign w:val="superscript"/>
        </w:rPr>
      </w:pPr>
      <w:bookmarkStart w:id="307" w:name="_Toc23337516"/>
      <w:r>
        <w:t xml:space="preserve">Табл. </w:t>
      </w:r>
      <w:fldSimple w:instr=" STYLEREF 1 \s ">
        <w:r w:rsidR="0034195B">
          <w:rPr>
            <w:noProof/>
          </w:rPr>
          <w:t>II</w:t>
        </w:r>
      </w:fldSimple>
      <w:r>
        <w:noBreakHyphen/>
      </w:r>
      <w:fldSimple w:instr=" SEQ Табл. \* ARABIC \s 1 ">
        <w:r w:rsidR="0034195B">
          <w:rPr>
            <w:noProof/>
          </w:rPr>
          <w:t>1</w:t>
        </w:r>
      </w:fldSimple>
      <w:r w:rsidR="00D14E8A">
        <w:t>:</w:t>
      </w:r>
      <w:r w:rsidR="001977D8">
        <w:tab/>
      </w:r>
      <w:r w:rsidRPr="00322A45">
        <w:t>Основни показатели (% от БВП)</w:t>
      </w:r>
      <w:r w:rsidRPr="00322A45">
        <w:rPr>
          <w:vertAlign w:val="superscript"/>
        </w:rPr>
        <w:t xml:space="preserve"> </w:t>
      </w:r>
      <w:r w:rsidRPr="00616C7A">
        <w:rPr>
          <w:vertAlign w:val="superscript"/>
        </w:rPr>
        <w:footnoteReference w:id="12"/>
      </w:r>
      <w:bookmarkEnd w:id="304"/>
      <w:bookmarkEnd w:id="305"/>
      <w:bookmarkEnd w:id="306"/>
      <w:bookmarkEnd w:id="307"/>
    </w:p>
    <w:p w:rsidR="00262669" w:rsidRPr="00262669" w:rsidRDefault="00262669" w:rsidP="00262669"/>
    <w:tbl>
      <w:tblPr>
        <w:tblW w:w="5919" w:type="pct"/>
        <w:jc w:val="center"/>
        <w:tblBorders>
          <w:top w:val="single" w:sz="4" w:space="0" w:color="auto"/>
          <w:bottom w:val="single" w:sz="4" w:space="0" w:color="auto"/>
        </w:tblBorders>
        <w:tblLook w:val="04A0" w:firstRow="1" w:lastRow="0" w:firstColumn="1" w:lastColumn="0" w:noHBand="0" w:noVBand="1"/>
      </w:tblPr>
      <w:tblGrid>
        <w:gridCol w:w="1150"/>
        <w:gridCol w:w="950"/>
        <w:gridCol w:w="1122"/>
        <w:gridCol w:w="1279"/>
        <w:gridCol w:w="1070"/>
        <w:gridCol w:w="886"/>
        <w:gridCol w:w="1070"/>
        <w:gridCol w:w="1070"/>
        <w:gridCol w:w="1070"/>
        <w:gridCol w:w="1070"/>
      </w:tblGrid>
      <w:tr w:rsidR="00F6423D" w:rsidRPr="00904DEB" w:rsidTr="00143DB0">
        <w:trPr>
          <w:trHeight w:val="20"/>
          <w:jc w:val="center"/>
        </w:trPr>
        <w:tc>
          <w:tcPr>
            <w:tcW w:w="523" w:type="pct"/>
            <w:tcBorders>
              <w:top w:val="single" w:sz="4" w:space="0" w:color="auto"/>
              <w:bottom w:val="single" w:sz="4" w:space="0" w:color="auto"/>
            </w:tcBorders>
            <w:shd w:val="clear" w:color="auto" w:fill="auto"/>
          </w:tcPr>
          <w:p w:rsidR="009C451B" w:rsidRPr="00904DEB" w:rsidRDefault="009C451B" w:rsidP="00BF5BFC">
            <w:pPr>
              <w:spacing w:before="40" w:after="40" w:line="276" w:lineRule="auto"/>
              <w:jc w:val="left"/>
              <w:rPr>
                <w:rFonts w:eastAsia="Times New Roman"/>
                <w:b/>
                <w:sz w:val="20"/>
                <w:szCs w:val="20"/>
              </w:rPr>
            </w:pPr>
            <w:bookmarkStart w:id="308" w:name="_Toc464224778"/>
            <w:bookmarkStart w:id="309" w:name="_Toc464225428"/>
            <w:bookmarkStart w:id="310" w:name="_Toc464458975"/>
            <w:bookmarkStart w:id="311" w:name="_Toc464459721"/>
            <w:bookmarkStart w:id="312" w:name="_Toc464460676"/>
            <w:bookmarkStart w:id="313" w:name="_Toc464463075"/>
            <w:bookmarkStart w:id="314" w:name="_Toc464464902"/>
            <w:bookmarkStart w:id="315" w:name="_Toc464465408"/>
            <w:bookmarkStart w:id="316" w:name="_Toc464465596"/>
            <w:bookmarkStart w:id="317" w:name="_Toc464466421"/>
            <w:bookmarkStart w:id="318" w:name="_Toc464466665"/>
            <w:bookmarkStart w:id="319" w:name="_Toc464644972"/>
            <w:bookmarkStart w:id="320" w:name="_Toc465205506"/>
            <w:r w:rsidRPr="00904DEB">
              <w:rPr>
                <w:rFonts w:eastAsia="Times New Roman"/>
                <w:b/>
                <w:sz w:val="20"/>
                <w:szCs w:val="20"/>
              </w:rPr>
              <w:t>КФП</w:t>
            </w:r>
          </w:p>
        </w:tc>
        <w:tc>
          <w:tcPr>
            <w:tcW w:w="492" w:type="pct"/>
            <w:tcBorders>
              <w:top w:val="single" w:sz="4" w:space="0" w:color="auto"/>
              <w:bottom w:val="single" w:sz="4" w:space="0" w:color="auto"/>
            </w:tcBorders>
          </w:tcPr>
          <w:p w:rsidR="009C451B" w:rsidRPr="00904DEB" w:rsidRDefault="009C451B" w:rsidP="00BF5BFC">
            <w:pPr>
              <w:spacing w:before="40" w:after="40" w:line="276" w:lineRule="auto"/>
              <w:ind w:left="-2"/>
              <w:jc w:val="center"/>
              <w:rPr>
                <w:b/>
                <w:sz w:val="20"/>
                <w:szCs w:val="20"/>
                <w:lang w:val="en-US"/>
              </w:rPr>
            </w:pPr>
            <w:r w:rsidRPr="00904DEB">
              <w:rPr>
                <w:b/>
                <w:sz w:val="20"/>
                <w:szCs w:val="20"/>
              </w:rPr>
              <w:t>Отчет</w:t>
            </w:r>
          </w:p>
          <w:p w:rsidR="009C451B" w:rsidRPr="00904DEB" w:rsidRDefault="00904DEB" w:rsidP="00BF5BFC">
            <w:pPr>
              <w:spacing w:before="40" w:after="40" w:line="276" w:lineRule="auto"/>
              <w:ind w:left="-2"/>
              <w:jc w:val="center"/>
              <w:rPr>
                <w:b/>
                <w:sz w:val="20"/>
                <w:szCs w:val="20"/>
              </w:rPr>
            </w:pPr>
            <w:r w:rsidRPr="00904DEB">
              <w:rPr>
                <w:b/>
                <w:sz w:val="20"/>
                <w:szCs w:val="20"/>
              </w:rPr>
              <w:t>2018</w:t>
            </w:r>
          </w:p>
        </w:tc>
        <w:tc>
          <w:tcPr>
            <w:tcW w:w="510" w:type="pct"/>
            <w:tcBorders>
              <w:top w:val="single" w:sz="4" w:space="0" w:color="auto"/>
              <w:bottom w:val="single" w:sz="4" w:space="0" w:color="auto"/>
            </w:tcBorders>
            <w:shd w:val="clear" w:color="auto" w:fill="auto"/>
          </w:tcPr>
          <w:p w:rsidR="009C451B" w:rsidRPr="00976EED" w:rsidRDefault="00414742" w:rsidP="00BF5BFC">
            <w:pPr>
              <w:spacing w:before="40" w:after="40" w:line="276" w:lineRule="auto"/>
              <w:jc w:val="center"/>
              <w:rPr>
                <w:rFonts w:eastAsia="Times New Roman"/>
                <w:b/>
                <w:sz w:val="20"/>
                <w:szCs w:val="20"/>
                <w:lang w:val="ru-RU"/>
              </w:rPr>
            </w:pPr>
            <w:r w:rsidRPr="00904DEB">
              <w:rPr>
                <w:rFonts w:eastAsia="Times New Roman"/>
                <w:b/>
                <w:sz w:val="20"/>
                <w:szCs w:val="20"/>
              </w:rPr>
              <w:t>Програма</w:t>
            </w:r>
          </w:p>
          <w:p w:rsidR="009C451B" w:rsidRPr="00233689" w:rsidRDefault="00904DEB" w:rsidP="00BF5BFC">
            <w:pPr>
              <w:spacing w:before="40" w:after="40" w:line="276" w:lineRule="auto"/>
              <w:jc w:val="center"/>
              <w:rPr>
                <w:rFonts w:eastAsia="Times New Roman"/>
                <w:b/>
                <w:sz w:val="20"/>
                <w:szCs w:val="20"/>
                <w:lang w:val="ru-RU"/>
              </w:rPr>
            </w:pPr>
            <w:r w:rsidRPr="00233689">
              <w:rPr>
                <w:rFonts w:eastAsia="Times New Roman"/>
                <w:b/>
                <w:sz w:val="20"/>
                <w:szCs w:val="20"/>
              </w:rPr>
              <w:t>2019</w:t>
            </w:r>
          </w:p>
          <w:p w:rsidR="00414742" w:rsidRPr="00904DEB" w:rsidRDefault="00233689" w:rsidP="00233689">
            <w:pPr>
              <w:spacing w:before="40" w:after="40" w:line="276" w:lineRule="auto"/>
              <w:jc w:val="center"/>
              <w:rPr>
                <w:rFonts w:eastAsia="Times New Roman"/>
                <w:b/>
                <w:sz w:val="20"/>
                <w:szCs w:val="20"/>
              </w:rPr>
            </w:pPr>
            <w:r w:rsidRPr="00233689">
              <w:rPr>
                <w:rFonts w:eastAsia="Times New Roman"/>
                <w:b/>
                <w:sz w:val="20"/>
                <w:szCs w:val="20"/>
              </w:rPr>
              <w:t>Ревиз.</w:t>
            </w:r>
            <w:r w:rsidR="00976EED" w:rsidRPr="00233689">
              <w:rPr>
                <w:rFonts w:eastAsia="Times New Roman"/>
                <w:b/>
                <w:sz w:val="20"/>
                <w:szCs w:val="20"/>
              </w:rPr>
              <w:t xml:space="preserve"> </w:t>
            </w:r>
            <w:r w:rsidRPr="00233689">
              <w:rPr>
                <w:rFonts w:eastAsia="Times New Roman"/>
                <w:b/>
                <w:sz w:val="20"/>
                <w:szCs w:val="20"/>
              </w:rPr>
              <w:t>оценка</w:t>
            </w:r>
          </w:p>
        </w:tc>
        <w:tc>
          <w:tcPr>
            <w:tcW w:w="582" w:type="pct"/>
            <w:tcBorders>
              <w:top w:val="single" w:sz="4" w:space="0" w:color="auto"/>
              <w:bottom w:val="single" w:sz="4" w:space="0" w:color="auto"/>
            </w:tcBorders>
            <w:shd w:val="clear" w:color="auto" w:fill="auto"/>
          </w:tcPr>
          <w:p w:rsidR="009C451B" w:rsidRPr="00976EED" w:rsidRDefault="009C451B" w:rsidP="00BF5BFC">
            <w:pPr>
              <w:spacing w:before="40" w:after="40" w:line="276" w:lineRule="auto"/>
              <w:jc w:val="center"/>
              <w:rPr>
                <w:rFonts w:eastAsia="Times New Roman"/>
                <w:b/>
                <w:sz w:val="20"/>
                <w:szCs w:val="20"/>
                <w:lang w:val="ru-RU"/>
              </w:rPr>
            </w:pPr>
            <w:r w:rsidRPr="00904DEB">
              <w:rPr>
                <w:rFonts w:eastAsia="Times New Roman"/>
                <w:b/>
                <w:sz w:val="20"/>
                <w:szCs w:val="20"/>
              </w:rPr>
              <w:t>Очаквано</w:t>
            </w:r>
          </w:p>
          <w:p w:rsidR="009C451B" w:rsidRPr="00976EED" w:rsidRDefault="009C451B" w:rsidP="00BF5BFC">
            <w:pPr>
              <w:spacing w:before="40" w:after="40" w:line="276" w:lineRule="auto"/>
              <w:jc w:val="center"/>
              <w:rPr>
                <w:rFonts w:eastAsia="Times New Roman"/>
                <w:b/>
                <w:sz w:val="20"/>
                <w:szCs w:val="20"/>
                <w:lang w:val="ru-RU"/>
              </w:rPr>
            </w:pPr>
            <w:r w:rsidRPr="00904DEB">
              <w:rPr>
                <w:rFonts w:eastAsia="Times New Roman"/>
                <w:b/>
                <w:sz w:val="20"/>
                <w:szCs w:val="20"/>
              </w:rPr>
              <w:t>изпълнение</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2019</w:t>
            </w:r>
          </w:p>
        </w:tc>
        <w:tc>
          <w:tcPr>
            <w:tcW w:w="487" w:type="pct"/>
            <w:tcBorders>
              <w:top w:val="single" w:sz="4" w:space="0" w:color="auto"/>
              <w:bottom w:val="single" w:sz="4" w:space="0" w:color="auto"/>
            </w:tcBorders>
            <w:shd w:val="clear" w:color="auto" w:fill="auto"/>
          </w:tcPr>
          <w:p w:rsidR="009C451B" w:rsidRPr="00976EED" w:rsidRDefault="009C451B" w:rsidP="00BF5BFC">
            <w:pPr>
              <w:spacing w:before="40" w:after="40" w:line="276" w:lineRule="auto"/>
              <w:jc w:val="center"/>
              <w:rPr>
                <w:rFonts w:eastAsia="Times New Roman"/>
                <w:b/>
                <w:sz w:val="20"/>
                <w:szCs w:val="20"/>
                <w:lang w:val="ru-RU"/>
              </w:rPr>
            </w:pPr>
            <w:r w:rsidRPr="00904DEB">
              <w:rPr>
                <w:rFonts w:eastAsia="Times New Roman"/>
                <w:b/>
                <w:sz w:val="20"/>
                <w:szCs w:val="20"/>
              </w:rPr>
              <w:t>Прогноза</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2020</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м. април 2019</w:t>
            </w:r>
            <w:r w:rsidR="009C451B" w:rsidRPr="00904DEB">
              <w:rPr>
                <w:rFonts w:eastAsia="Times New Roman"/>
                <w:b/>
                <w:sz w:val="20"/>
                <w:szCs w:val="20"/>
              </w:rPr>
              <w:t> г.</w:t>
            </w:r>
          </w:p>
        </w:tc>
        <w:tc>
          <w:tcPr>
            <w:tcW w:w="458" w:type="pct"/>
            <w:tcBorders>
              <w:top w:val="single" w:sz="4" w:space="0" w:color="auto"/>
              <w:bottom w:val="single" w:sz="4" w:space="0" w:color="auto"/>
            </w:tcBorders>
            <w:shd w:val="clear" w:color="auto" w:fill="F2F2F2"/>
          </w:tcPr>
          <w:p w:rsidR="009C451B" w:rsidRPr="00904DEB" w:rsidRDefault="009C451B" w:rsidP="00BF5BFC">
            <w:pPr>
              <w:spacing w:before="40" w:after="40" w:line="276" w:lineRule="auto"/>
              <w:jc w:val="center"/>
              <w:rPr>
                <w:rFonts w:eastAsia="Times New Roman"/>
                <w:b/>
                <w:sz w:val="20"/>
                <w:szCs w:val="20"/>
              </w:rPr>
            </w:pPr>
            <w:r w:rsidRPr="00904DEB">
              <w:rPr>
                <w:rFonts w:eastAsia="Times New Roman"/>
                <w:b/>
                <w:sz w:val="20"/>
                <w:szCs w:val="20"/>
              </w:rPr>
              <w:t>Проект</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2020</w:t>
            </w:r>
          </w:p>
        </w:tc>
        <w:tc>
          <w:tcPr>
            <w:tcW w:w="487" w:type="pct"/>
            <w:tcBorders>
              <w:top w:val="single" w:sz="4" w:space="0" w:color="auto"/>
              <w:bottom w:val="single" w:sz="4" w:space="0" w:color="auto"/>
            </w:tcBorders>
            <w:shd w:val="clear" w:color="auto" w:fill="auto"/>
          </w:tcPr>
          <w:p w:rsidR="009C451B" w:rsidRPr="00976EED" w:rsidRDefault="009C451B" w:rsidP="00BF5BFC">
            <w:pPr>
              <w:spacing w:before="40" w:after="40" w:line="276" w:lineRule="auto"/>
              <w:jc w:val="center"/>
              <w:rPr>
                <w:rFonts w:eastAsia="Times New Roman"/>
                <w:b/>
                <w:sz w:val="20"/>
                <w:szCs w:val="20"/>
                <w:lang w:val="ru-RU"/>
              </w:rPr>
            </w:pPr>
            <w:r w:rsidRPr="00904DEB">
              <w:rPr>
                <w:rFonts w:eastAsia="Times New Roman"/>
                <w:b/>
                <w:sz w:val="20"/>
                <w:szCs w:val="20"/>
              </w:rPr>
              <w:t>Прогноза</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2021</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м. април 2019</w:t>
            </w:r>
            <w:r w:rsidR="009C451B" w:rsidRPr="00904DEB">
              <w:rPr>
                <w:rFonts w:eastAsia="Times New Roman"/>
                <w:b/>
                <w:sz w:val="20"/>
                <w:szCs w:val="20"/>
              </w:rPr>
              <w:t> г.</w:t>
            </w:r>
          </w:p>
        </w:tc>
        <w:tc>
          <w:tcPr>
            <w:tcW w:w="487" w:type="pct"/>
            <w:tcBorders>
              <w:top w:val="single" w:sz="4" w:space="0" w:color="auto"/>
              <w:bottom w:val="single" w:sz="4" w:space="0" w:color="auto"/>
            </w:tcBorders>
            <w:shd w:val="clear" w:color="auto" w:fill="auto"/>
          </w:tcPr>
          <w:p w:rsidR="009C451B" w:rsidRPr="006B3E7F" w:rsidRDefault="009C451B" w:rsidP="00BF5BFC">
            <w:pPr>
              <w:spacing w:before="40" w:after="40" w:line="276" w:lineRule="auto"/>
              <w:jc w:val="center"/>
              <w:rPr>
                <w:rFonts w:eastAsia="Times New Roman"/>
                <w:b/>
                <w:sz w:val="20"/>
                <w:szCs w:val="20"/>
              </w:rPr>
            </w:pPr>
            <w:r w:rsidRPr="00904DEB">
              <w:rPr>
                <w:rFonts w:eastAsia="Times New Roman"/>
                <w:b/>
                <w:sz w:val="20"/>
                <w:szCs w:val="20"/>
              </w:rPr>
              <w:t>Прогноза</w:t>
            </w:r>
          </w:p>
          <w:p w:rsidR="009C451B" w:rsidRPr="006B3E7F" w:rsidRDefault="00904DEB" w:rsidP="00BF5BFC">
            <w:pPr>
              <w:spacing w:before="40" w:after="40" w:line="276" w:lineRule="auto"/>
              <w:jc w:val="center"/>
              <w:rPr>
                <w:rFonts w:eastAsia="Times New Roman"/>
                <w:b/>
                <w:sz w:val="20"/>
                <w:szCs w:val="20"/>
              </w:rPr>
            </w:pPr>
            <w:r w:rsidRPr="00904DEB">
              <w:rPr>
                <w:rFonts w:eastAsia="Times New Roman"/>
                <w:b/>
                <w:sz w:val="20"/>
                <w:szCs w:val="20"/>
              </w:rPr>
              <w:t>2021</w:t>
            </w:r>
          </w:p>
        </w:tc>
        <w:tc>
          <w:tcPr>
            <w:tcW w:w="487" w:type="pct"/>
            <w:tcBorders>
              <w:top w:val="single" w:sz="4" w:space="0" w:color="auto"/>
              <w:bottom w:val="single" w:sz="4" w:space="0" w:color="auto"/>
            </w:tcBorders>
            <w:shd w:val="clear" w:color="auto" w:fill="auto"/>
          </w:tcPr>
          <w:p w:rsidR="009C451B" w:rsidRPr="00976EED" w:rsidRDefault="009C451B" w:rsidP="00BF5BFC">
            <w:pPr>
              <w:spacing w:before="40" w:after="40" w:line="276" w:lineRule="auto"/>
              <w:jc w:val="center"/>
              <w:rPr>
                <w:rFonts w:eastAsia="Times New Roman"/>
                <w:b/>
                <w:sz w:val="20"/>
                <w:szCs w:val="20"/>
                <w:lang w:val="ru-RU"/>
              </w:rPr>
            </w:pPr>
            <w:r w:rsidRPr="00904DEB">
              <w:rPr>
                <w:rFonts w:eastAsia="Times New Roman"/>
                <w:b/>
                <w:sz w:val="20"/>
                <w:szCs w:val="20"/>
              </w:rPr>
              <w:t>Прогноза</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2022</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м. април 2019</w:t>
            </w:r>
            <w:r w:rsidR="009C451B" w:rsidRPr="00904DEB">
              <w:rPr>
                <w:rFonts w:eastAsia="Times New Roman"/>
                <w:b/>
                <w:sz w:val="20"/>
                <w:szCs w:val="20"/>
              </w:rPr>
              <w:t> г.</w:t>
            </w:r>
          </w:p>
        </w:tc>
        <w:tc>
          <w:tcPr>
            <w:tcW w:w="487" w:type="pct"/>
            <w:tcBorders>
              <w:top w:val="single" w:sz="4" w:space="0" w:color="auto"/>
              <w:bottom w:val="single" w:sz="4" w:space="0" w:color="auto"/>
            </w:tcBorders>
            <w:shd w:val="clear" w:color="auto" w:fill="auto"/>
          </w:tcPr>
          <w:p w:rsidR="009C451B" w:rsidRPr="00904DEB" w:rsidRDefault="009C451B" w:rsidP="00BF5BFC">
            <w:pPr>
              <w:spacing w:before="40" w:after="40" w:line="276" w:lineRule="auto"/>
              <w:jc w:val="center"/>
              <w:rPr>
                <w:rFonts w:eastAsia="Times New Roman"/>
                <w:b/>
                <w:sz w:val="20"/>
                <w:szCs w:val="20"/>
                <w:lang w:val="en-US"/>
              </w:rPr>
            </w:pPr>
            <w:r w:rsidRPr="00904DEB">
              <w:rPr>
                <w:rFonts w:eastAsia="Times New Roman"/>
                <w:b/>
                <w:sz w:val="20"/>
                <w:szCs w:val="20"/>
              </w:rPr>
              <w:t>Прогноза</w:t>
            </w:r>
          </w:p>
          <w:p w:rsidR="009C451B" w:rsidRPr="00904DEB" w:rsidRDefault="00904DEB" w:rsidP="00BF5BFC">
            <w:pPr>
              <w:spacing w:before="40" w:after="40" w:line="276" w:lineRule="auto"/>
              <w:jc w:val="center"/>
              <w:rPr>
                <w:rFonts w:eastAsia="Times New Roman"/>
                <w:b/>
                <w:sz w:val="20"/>
                <w:szCs w:val="20"/>
              </w:rPr>
            </w:pPr>
            <w:r w:rsidRPr="00904DEB">
              <w:rPr>
                <w:rFonts w:eastAsia="Times New Roman"/>
                <w:b/>
                <w:sz w:val="20"/>
                <w:szCs w:val="20"/>
              </w:rPr>
              <w:t>2022</w:t>
            </w:r>
          </w:p>
        </w:tc>
      </w:tr>
      <w:tr w:rsidR="00F6423D" w:rsidRPr="00904DEB" w:rsidTr="00143DB0">
        <w:trPr>
          <w:trHeight w:val="20"/>
          <w:jc w:val="center"/>
        </w:trPr>
        <w:tc>
          <w:tcPr>
            <w:tcW w:w="523" w:type="pct"/>
            <w:tcBorders>
              <w:top w:val="single" w:sz="4" w:space="0" w:color="auto"/>
              <w:bottom w:val="nil"/>
            </w:tcBorders>
            <w:shd w:val="clear" w:color="auto" w:fill="auto"/>
            <w:vAlign w:val="center"/>
          </w:tcPr>
          <w:p w:rsidR="009C451B" w:rsidRPr="00E401B0" w:rsidRDefault="009C451B" w:rsidP="00433D2A">
            <w:pPr>
              <w:spacing w:before="120" w:after="120"/>
              <w:jc w:val="left"/>
              <w:rPr>
                <w:rFonts w:eastAsia="Times New Roman"/>
                <w:b/>
                <w:sz w:val="20"/>
                <w:szCs w:val="20"/>
              </w:rPr>
            </w:pPr>
            <w:r w:rsidRPr="00E401B0">
              <w:rPr>
                <w:rFonts w:eastAsia="Times New Roman"/>
                <w:b/>
                <w:sz w:val="20"/>
                <w:szCs w:val="20"/>
              </w:rPr>
              <w:t>Приходи</w:t>
            </w:r>
          </w:p>
        </w:tc>
        <w:tc>
          <w:tcPr>
            <w:tcW w:w="492" w:type="pct"/>
            <w:tcBorders>
              <w:top w:val="single" w:sz="4" w:space="0" w:color="auto"/>
              <w:bottom w:val="nil"/>
            </w:tcBorders>
            <w:vAlign w:val="center"/>
          </w:tcPr>
          <w:p w:rsidR="009C451B" w:rsidRPr="00904DEB" w:rsidRDefault="00C91405" w:rsidP="00433D2A">
            <w:pPr>
              <w:spacing w:before="120" w:after="120"/>
              <w:jc w:val="center"/>
              <w:rPr>
                <w:sz w:val="20"/>
                <w:szCs w:val="20"/>
              </w:rPr>
            </w:pPr>
            <w:r w:rsidRPr="00C91405">
              <w:rPr>
                <w:sz w:val="20"/>
                <w:szCs w:val="20"/>
              </w:rPr>
              <w:t>36,1%</w:t>
            </w:r>
          </w:p>
        </w:tc>
        <w:tc>
          <w:tcPr>
            <w:tcW w:w="510" w:type="pct"/>
            <w:tcBorders>
              <w:top w:val="single" w:sz="4" w:space="0" w:color="auto"/>
              <w:bottom w:val="nil"/>
            </w:tcBorders>
            <w:shd w:val="clear" w:color="auto" w:fill="auto"/>
            <w:vAlign w:val="center"/>
          </w:tcPr>
          <w:p w:rsidR="009C451B" w:rsidRPr="00904DEB" w:rsidRDefault="00233689" w:rsidP="00433D2A">
            <w:pPr>
              <w:spacing w:before="120" w:after="120"/>
              <w:jc w:val="center"/>
              <w:rPr>
                <w:sz w:val="20"/>
                <w:szCs w:val="20"/>
              </w:rPr>
            </w:pPr>
            <w:r>
              <w:rPr>
                <w:sz w:val="20"/>
                <w:szCs w:val="20"/>
              </w:rPr>
              <w:t>37</w:t>
            </w:r>
            <w:r w:rsidR="00C91405" w:rsidRPr="00C91405">
              <w:rPr>
                <w:sz w:val="20"/>
                <w:szCs w:val="20"/>
              </w:rPr>
              <w:t>,0%</w:t>
            </w:r>
          </w:p>
        </w:tc>
        <w:tc>
          <w:tcPr>
            <w:tcW w:w="582" w:type="pct"/>
            <w:tcBorders>
              <w:top w:val="single" w:sz="4" w:space="0" w:color="auto"/>
              <w:bottom w:val="nil"/>
            </w:tcBorders>
            <w:shd w:val="clear" w:color="auto" w:fill="auto"/>
            <w:vAlign w:val="center"/>
          </w:tcPr>
          <w:p w:rsidR="009C451B" w:rsidRPr="00904DEB" w:rsidRDefault="00C91405" w:rsidP="00433D2A">
            <w:pPr>
              <w:spacing w:before="120" w:after="120"/>
              <w:jc w:val="center"/>
              <w:rPr>
                <w:sz w:val="20"/>
                <w:szCs w:val="20"/>
              </w:rPr>
            </w:pPr>
            <w:r w:rsidRPr="00C91405">
              <w:rPr>
                <w:sz w:val="20"/>
                <w:szCs w:val="20"/>
              </w:rPr>
              <w:t>36,7%</w:t>
            </w:r>
          </w:p>
        </w:tc>
        <w:tc>
          <w:tcPr>
            <w:tcW w:w="487" w:type="pct"/>
            <w:tcBorders>
              <w:top w:val="single" w:sz="4" w:space="0" w:color="auto"/>
              <w:bottom w:val="nil"/>
            </w:tcBorders>
            <w:shd w:val="clear" w:color="auto" w:fill="auto"/>
            <w:vAlign w:val="center"/>
          </w:tcPr>
          <w:p w:rsidR="009C451B" w:rsidRPr="00904DEB" w:rsidRDefault="00181DC5" w:rsidP="00433D2A">
            <w:pPr>
              <w:spacing w:before="120" w:after="120"/>
              <w:jc w:val="center"/>
              <w:rPr>
                <w:sz w:val="20"/>
                <w:szCs w:val="20"/>
              </w:rPr>
            </w:pPr>
            <w:r w:rsidRPr="00181DC5">
              <w:rPr>
                <w:sz w:val="20"/>
                <w:szCs w:val="20"/>
              </w:rPr>
              <w:t>37,2%</w:t>
            </w:r>
          </w:p>
        </w:tc>
        <w:tc>
          <w:tcPr>
            <w:tcW w:w="458" w:type="pct"/>
            <w:tcBorders>
              <w:top w:val="single" w:sz="4" w:space="0" w:color="auto"/>
              <w:bottom w:val="nil"/>
            </w:tcBorders>
            <w:shd w:val="clear" w:color="auto" w:fill="F2F2F2"/>
            <w:vAlign w:val="center"/>
          </w:tcPr>
          <w:p w:rsidR="009C451B" w:rsidRPr="00904DEB" w:rsidRDefault="00181DC5" w:rsidP="00433D2A">
            <w:pPr>
              <w:spacing w:before="120" w:after="120"/>
              <w:jc w:val="center"/>
              <w:rPr>
                <w:sz w:val="20"/>
                <w:szCs w:val="20"/>
              </w:rPr>
            </w:pPr>
            <w:r w:rsidRPr="00181DC5">
              <w:rPr>
                <w:sz w:val="20"/>
                <w:szCs w:val="20"/>
              </w:rPr>
              <w:t>36,9%</w:t>
            </w:r>
          </w:p>
        </w:tc>
        <w:tc>
          <w:tcPr>
            <w:tcW w:w="487" w:type="pct"/>
            <w:tcBorders>
              <w:top w:val="single" w:sz="4" w:space="0" w:color="auto"/>
              <w:bottom w:val="nil"/>
            </w:tcBorders>
            <w:shd w:val="clear" w:color="auto" w:fill="auto"/>
            <w:vAlign w:val="center"/>
          </w:tcPr>
          <w:p w:rsidR="009C451B" w:rsidRPr="00904DEB" w:rsidRDefault="00181DC5" w:rsidP="00433D2A">
            <w:pPr>
              <w:spacing w:before="120" w:after="120"/>
              <w:jc w:val="center"/>
              <w:rPr>
                <w:sz w:val="20"/>
                <w:szCs w:val="20"/>
              </w:rPr>
            </w:pPr>
            <w:r w:rsidRPr="00181DC5">
              <w:rPr>
                <w:sz w:val="20"/>
                <w:szCs w:val="20"/>
              </w:rPr>
              <w:t>36,8%</w:t>
            </w:r>
          </w:p>
        </w:tc>
        <w:tc>
          <w:tcPr>
            <w:tcW w:w="487" w:type="pct"/>
            <w:tcBorders>
              <w:top w:val="single" w:sz="4" w:space="0" w:color="auto"/>
              <w:bottom w:val="nil"/>
            </w:tcBorders>
            <w:shd w:val="clear" w:color="auto" w:fill="auto"/>
            <w:vAlign w:val="center"/>
          </w:tcPr>
          <w:p w:rsidR="009C451B" w:rsidRPr="006B3E7F" w:rsidRDefault="00181DC5" w:rsidP="006B3E7F">
            <w:pPr>
              <w:spacing w:before="120" w:after="120"/>
              <w:jc w:val="center"/>
              <w:rPr>
                <w:sz w:val="20"/>
                <w:szCs w:val="20"/>
              </w:rPr>
            </w:pPr>
            <w:r w:rsidRPr="006B3E7F">
              <w:rPr>
                <w:sz w:val="20"/>
                <w:szCs w:val="20"/>
              </w:rPr>
              <w:t>35,9%</w:t>
            </w:r>
          </w:p>
        </w:tc>
        <w:tc>
          <w:tcPr>
            <w:tcW w:w="487" w:type="pct"/>
            <w:tcBorders>
              <w:top w:val="single" w:sz="4" w:space="0" w:color="auto"/>
              <w:bottom w:val="nil"/>
            </w:tcBorders>
            <w:shd w:val="clear" w:color="auto" w:fill="auto"/>
            <w:vAlign w:val="center"/>
          </w:tcPr>
          <w:p w:rsidR="009C451B" w:rsidRPr="00904DEB" w:rsidRDefault="00181DC5" w:rsidP="00433D2A">
            <w:pPr>
              <w:spacing w:before="120" w:after="120"/>
              <w:jc w:val="center"/>
              <w:rPr>
                <w:sz w:val="20"/>
                <w:szCs w:val="20"/>
              </w:rPr>
            </w:pPr>
            <w:r w:rsidRPr="00181DC5">
              <w:rPr>
                <w:sz w:val="20"/>
                <w:szCs w:val="20"/>
              </w:rPr>
              <w:t>36,0%</w:t>
            </w:r>
          </w:p>
        </w:tc>
        <w:tc>
          <w:tcPr>
            <w:tcW w:w="487" w:type="pct"/>
            <w:tcBorders>
              <w:top w:val="single" w:sz="4" w:space="0" w:color="auto"/>
              <w:bottom w:val="nil"/>
            </w:tcBorders>
            <w:shd w:val="clear" w:color="auto" w:fill="auto"/>
            <w:vAlign w:val="center"/>
          </w:tcPr>
          <w:p w:rsidR="009C451B" w:rsidRPr="00904DEB" w:rsidRDefault="00181DC5" w:rsidP="00433D2A">
            <w:pPr>
              <w:spacing w:before="120" w:after="120"/>
              <w:jc w:val="center"/>
              <w:rPr>
                <w:sz w:val="20"/>
                <w:szCs w:val="20"/>
              </w:rPr>
            </w:pPr>
            <w:r w:rsidRPr="00181DC5">
              <w:rPr>
                <w:sz w:val="20"/>
                <w:szCs w:val="20"/>
              </w:rPr>
              <w:t>35,0%</w:t>
            </w:r>
          </w:p>
        </w:tc>
      </w:tr>
      <w:tr w:rsidR="00F6423D" w:rsidRPr="00904DEB" w:rsidTr="00143DB0">
        <w:trPr>
          <w:trHeight w:val="20"/>
          <w:jc w:val="center"/>
        </w:trPr>
        <w:tc>
          <w:tcPr>
            <w:tcW w:w="523" w:type="pct"/>
            <w:tcBorders>
              <w:top w:val="nil"/>
            </w:tcBorders>
            <w:shd w:val="clear" w:color="auto" w:fill="auto"/>
            <w:vAlign w:val="center"/>
          </w:tcPr>
          <w:p w:rsidR="009C451B" w:rsidRPr="00E401B0" w:rsidRDefault="009C451B" w:rsidP="00433D2A">
            <w:pPr>
              <w:spacing w:before="120" w:after="120"/>
              <w:jc w:val="left"/>
              <w:rPr>
                <w:rFonts w:eastAsia="Times New Roman"/>
                <w:b/>
                <w:sz w:val="20"/>
                <w:szCs w:val="20"/>
              </w:rPr>
            </w:pPr>
            <w:r w:rsidRPr="00E401B0">
              <w:rPr>
                <w:rFonts w:eastAsia="Times New Roman"/>
                <w:b/>
                <w:sz w:val="20"/>
                <w:szCs w:val="20"/>
              </w:rPr>
              <w:t>Разходи</w:t>
            </w:r>
          </w:p>
        </w:tc>
        <w:tc>
          <w:tcPr>
            <w:tcW w:w="492" w:type="pct"/>
            <w:tcBorders>
              <w:top w:val="nil"/>
            </w:tcBorders>
            <w:vAlign w:val="center"/>
          </w:tcPr>
          <w:p w:rsidR="009C451B" w:rsidRPr="00904DEB" w:rsidRDefault="00C91405" w:rsidP="00433D2A">
            <w:pPr>
              <w:spacing w:before="120" w:after="120"/>
              <w:jc w:val="center"/>
              <w:rPr>
                <w:sz w:val="20"/>
                <w:szCs w:val="20"/>
              </w:rPr>
            </w:pPr>
            <w:r w:rsidRPr="00C91405">
              <w:rPr>
                <w:sz w:val="20"/>
                <w:szCs w:val="20"/>
              </w:rPr>
              <w:t>36,0%</w:t>
            </w:r>
          </w:p>
        </w:tc>
        <w:tc>
          <w:tcPr>
            <w:tcW w:w="510" w:type="pct"/>
            <w:tcBorders>
              <w:top w:val="nil"/>
            </w:tcBorders>
            <w:shd w:val="clear" w:color="auto" w:fill="auto"/>
            <w:vAlign w:val="center"/>
          </w:tcPr>
          <w:p w:rsidR="009C451B" w:rsidRPr="00904DEB" w:rsidRDefault="00233689" w:rsidP="00233689">
            <w:pPr>
              <w:spacing w:before="120" w:after="120"/>
              <w:jc w:val="center"/>
              <w:rPr>
                <w:sz w:val="20"/>
                <w:szCs w:val="20"/>
              </w:rPr>
            </w:pPr>
            <w:r>
              <w:rPr>
                <w:sz w:val="20"/>
                <w:szCs w:val="20"/>
              </w:rPr>
              <w:t>39</w:t>
            </w:r>
            <w:r w:rsidR="00C91405" w:rsidRPr="00C91405">
              <w:rPr>
                <w:sz w:val="20"/>
                <w:szCs w:val="20"/>
              </w:rPr>
              <w:t>,</w:t>
            </w:r>
            <w:r>
              <w:rPr>
                <w:sz w:val="20"/>
                <w:szCs w:val="20"/>
              </w:rPr>
              <w:t>0</w:t>
            </w:r>
            <w:r w:rsidR="00C91405" w:rsidRPr="00C91405">
              <w:rPr>
                <w:sz w:val="20"/>
                <w:szCs w:val="20"/>
              </w:rPr>
              <w:t>%</w:t>
            </w:r>
          </w:p>
        </w:tc>
        <w:tc>
          <w:tcPr>
            <w:tcW w:w="582" w:type="pct"/>
            <w:tcBorders>
              <w:top w:val="nil"/>
            </w:tcBorders>
            <w:shd w:val="clear" w:color="auto" w:fill="auto"/>
            <w:vAlign w:val="center"/>
          </w:tcPr>
          <w:p w:rsidR="009C451B" w:rsidRPr="00904DEB" w:rsidRDefault="00C91405" w:rsidP="00433D2A">
            <w:pPr>
              <w:spacing w:before="120" w:after="120"/>
              <w:jc w:val="center"/>
              <w:rPr>
                <w:sz w:val="20"/>
                <w:szCs w:val="20"/>
              </w:rPr>
            </w:pPr>
            <w:r w:rsidRPr="00C91405">
              <w:rPr>
                <w:sz w:val="20"/>
                <w:szCs w:val="20"/>
              </w:rPr>
              <w:t>38,8%</w:t>
            </w:r>
          </w:p>
        </w:tc>
        <w:tc>
          <w:tcPr>
            <w:tcW w:w="487" w:type="pct"/>
            <w:tcBorders>
              <w:top w:val="nil"/>
            </w:tcBorders>
            <w:shd w:val="clear" w:color="auto" w:fill="auto"/>
            <w:vAlign w:val="center"/>
          </w:tcPr>
          <w:p w:rsidR="009C451B" w:rsidRPr="00904DEB" w:rsidRDefault="00181DC5" w:rsidP="00433D2A">
            <w:pPr>
              <w:spacing w:before="120" w:after="120"/>
              <w:jc w:val="center"/>
              <w:rPr>
                <w:sz w:val="20"/>
                <w:szCs w:val="20"/>
              </w:rPr>
            </w:pPr>
            <w:r w:rsidRPr="00181DC5">
              <w:rPr>
                <w:sz w:val="20"/>
                <w:szCs w:val="20"/>
              </w:rPr>
              <w:t>37,2%</w:t>
            </w:r>
          </w:p>
        </w:tc>
        <w:tc>
          <w:tcPr>
            <w:tcW w:w="458" w:type="pct"/>
            <w:tcBorders>
              <w:top w:val="nil"/>
            </w:tcBorders>
            <w:shd w:val="clear" w:color="auto" w:fill="F2F2F2"/>
            <w:vAlign w:val="center"/>
          </w:tcPr>
          <w:p w:rsidR="009C451B" w:rsidRPr="00904DEB" w:rsidRDefault="00181DC5" w:rsidP="00433D2A">
            <w:pPr>
              <w:spacing w:before="120" w:after="120"/>
              <w:jc w:val="center"/>
              <w:rPr>
                <w:sz w:val="20"/>
                <w:szCs w:val="20"/>
              </w:rPr>
            </w:pPr>
            <w:r w:rsidRPr="00181DC5">
              <w:rPr>
                <w:sz w:val="20"/>
                <w:szCs w:val="20"/>
              </w:rPr>
              <w:t>36,9%</w:t>
            </w:r>
          </w:p>
        </w:tc>
        <w:tc>
          <w:tcPr>
            <w:tcW w:w="487" w:type="pct"/>
            <w:tcBorders>
              <w:top w:val="nil"/>
            </w:tcBorders>
            <w:shd w:val="clear" w:color="auto" w:fill="auto"/>
            <w:vAlign w:val="center"/>
          </w:tcPr>
          <w:p w:rsidR="009C451B" w:rsidRPr="00904DEB" w:rsidRDefault="00181DC5" w:rsidP="00433D2A">
            <w:pPr>
              <w:spacing w:before="120" w:after="120"/>
              <w:jc w:val="center"/>
              <w:rPr>
                <w:sz w:val="20"/>
                <w:szCs w:val="20"/>
              </w:rPr>
            </w:pPr>
            <w:r w:rsidRPr="00181DC5">
              <w:rPr>
                <w:sz w:val="20"/>
                <w:szCs w:val="20"/>
              </w:rPr>
              <w:t>36,8%</w:t>
            </w:r>
          </w:p>
        </w:tc>
        <w:tc>
          <w:tcPr>
            <w:tcW w:w="487" w:type="pct"/>
            <w:tcBorders>
              <w:top w:val="nil"/>
            </w:tcBorders>
            <w:shd w:val="clear" w:color="auto" w:fill="auto"/>
            <w:vAlign w:val="center"/>
          </w:tcPr>
          <w:p w:rsidR="009C451B" w:rsidRPr="006B3E7F" w:rsidRDefault="00181DC5" w:rsidP="006B3E7F">
            <w:pPr>
              <w:spacing w:before="120" w:after="120"/>
              <w:jc w:val="center"/>
              <w:rPr>
                <w:sz w:val="20"/>
                <w:szCs w:val="20"/>
              </w:rPr>
            </w:pPr>
            <w:r w:rsidRPr="006B3E7F">
              <w:rPr>
                <w:sz w:val="20"/>
                <w:szCs w:val="20"/>
              </w:rPr>
              <w:t>35,9%</w:t>
            </w:r>
          </w:p>
        </w:tc>
        <w:tc>
          <w:tcPr>
            <w:tcW w:w="487" w:type="pct"/>
            <w:tcBorders>
              <w:top w:val="nil"/>
            </w:tcBorders>
            <w:shd w:val="clear" w:color="auto" w:fill="auto"/>
            <w:vAlign w:val="center"/>
          </w:tcPr>
          <w:p w:rsidR="009C451B" w:rsidRPr="00904DEB" w:rsidRDefault="00181DC5" w:rsidP="00433D2A">
            <w:pPr>
              <w:spacing w:before="120" w:after="120"/>
              <w:jc w:val="center"/>
              <w:rPr>
                <w:sz w:val="20"/>
                <w:szCs w:val="20"/>
              </w:rPr>
            </w:pPr>
            <w:r w:rsidRPr="00181DC5">
              <w:rPr>
                <w:sz w:val="20"/>
                <w:szCs w:val="20"/>
              </w:rPr>
              <w:t>36,0%</w:t>
            </w:r>
          </w:p>
        </w:tc>
        <w:tc>
          <w:tcPr>
            <w:tcW w:w="487" w:type="pct"/>
            <w:tcBorders>
              <w:top w:val="nil"/>
            </w:tcBorders>
            <w:shd w:val="clear" w:color="auto" w:fill="auto"/>
            <w:vAlign w:val="center"/>
          </w:tcPr>
          <w:p w:rsidR="009C451B" w:rsidRPr="00904DEB" w:rsidRDefault="00181DC5" w:rsidP="00433D2A">
            <w:pPr>
              <w:spacing w:before="120" w:after="120"/>
              <w:jc w:val="center"/>
              <w:rPr>
                <w:sz w:val="20"/>
                <w:szCs w:val="20"/>
              </w:rPr>
            </w:pPr>
            <w:r w:rsidRPr="00181DC5">
              <w:rPr>
                <w:sz w:val="20"/>
                <w:szCs w:val="20"/>
              </w:rPr>
              <w:t>35,0%</w:t>
            </w:r>
          </w:p>
        </w:tc>
      </w:tr>
      <w:tr w:rsidR="00F6423D" w:rsidRPr="00FB0E14" w:rsidTr="00143DB0">
        <w:trPr>
          <w:trHeight w:val="20"/>
          <w:jc w:val="center"/>
        </w:trPr>
        <w:tc>
          <w:tcPr>
            <w:tcW w:w="523" w:type="pct"/>
            <w:tcBorders>
              <w:bottom w:val="single" w:sz="4" w:space="0" w:color="auto"/>
            </w:tcBorders>
            <w:shd w:val="clear" w:color="auto" w:fill="auto"/>
            <w:vAlign w:val="center"/>
          </w:tcPr>
          <w:p w:rsidR="00F6423D" w:rsidRPr="00E401B0" w:rsidRDefault="00F6423D" w:rsidP="005C33DC">
            <w:pPr>
              <w:spacing w:before="120" w:after="120"/>
              <w:jc w:val="left"/>
              <w:rPr>
                <w:rFonts w:eastAsia="Times New Roman"/>
                <w:b/>
                <w:sz w:val="20"/>
                <w:szCs w:val="20"/>
              </w:rPr>
            </w:pPr>
            <w:r w:rsidRPr="00E401B0">
              <w:rPr>
                <w:rFonts w:eastAsia="Times New Roman"/>
                <w:b/>
                <w:sz w:val="20"/>
                <w:szCs w:val="20"/>
              </w:rPr>
              <w:t>Бюджетно салдо</w:t>
            </w:r>
          </w:p>
        </w:tc>
        <w:tc>
          <w:tcPr>
            <w:tcW w:w="492" w:type="pct"/>
            <w:tcBorders>
              <w:bottom w:val="single" w:sz="4" w:space="0" w:color="auto"/>
            </w:tcBorders>
            <w:vAlign w:val="center"/>
          </w:tcPr>
          <w:p w:rsidR="00F6423D" w:rsidRPr="00904DEB" w:rsidRDefault="00F6423D" w:rsidP="005C33DC">
            <w:pPr>
              <w:spacing w:before="120" w:after="120"/>
              <w:jc w:val="center"/>
              <w:rPr>
                <w:sz w:val="20"/>
                <w:szCs w:val="20"/>
              </w:rPr>
            </w:pPr>
            <w:r w:rsidRPr="00C91405">
              <w:rPr>
                <w:sz w:val="20"/>
                <w:szCs w:val="20"/>
              </w:rPr>
              <w:t>0,1%</w:t>
            </w:r>
          </w:p>
        </w:tc>
        <w:tc>
          <w:tcPr>
            <w:tcW w:w="510" w:type="pct"/>
            <w:tcBorders>
              <w:bottom w:val="single" w:sz="4" w:space="0" w:color="auto"/>
            </w:tcBorders>
            <w:shd w:val="clear" w:color="auto" w:fill="auto"/>
            <w:vAlign w:val="center"/>
          </w:tcPr>
          <w:p w:rsidR="00F6423D" w:rsidRPr="00904DEB" w:rsidRDefault="00F6423D" w:rsidP="005C33DC">
            <w:pPr>
              <w:spacing w:before="120" w:after="120"/>
              <w:jc w:val="center"/>
              <w:rPr>
                <w:sz w:val="20"/>
                <w:szCs w:val="20"/>
              </w:rPr>
            </w:pPr>
            <w:r w:rsidRPr="00C91405">
              <w:rPr>
                <w:sz w:val="20"/>
                <w:szCs w:val="20"/>
              </w:rPr>
              <w:t>-2,1%</w:t>
            </w:r>
          </w:p>
        </w:tc>
        <w:tc>
          <w:tcPr>
            <w:tcW w:w="582" w:type="pct"/>
            <w:tcBorders>
              <w:bottom w:val="single" w:sz="4" w:space="0" w:color="auto"/>
            </w:tcBorders>
            <w:shd w:val="clear" w:color="auto" w:fill="auto"/>
            <w:vAlign w:val="center"/>
          </w:tcPr>
          <w:p w:rsidR="00F6423D" w:rsidRPr="00904DEB" w:rsidRDefault="00F6423D" w:rsidP="005C33DC">
            <w:pPr>
              <w:spacing w:before="120" w:after="120"/>
              <w:jc w:val="center"/>
              <w:rPr>
                <w:sz w:val="20"/>
                <w:szCs w:val="20"/>
              </w:rPr>
            </w:pPr>
            <w:r w:rsidRPr="00C91405">
              <w:rPr>
                <w:sz w:val="20"/>
                <w:szCs w:val="20"/>
              </w:rPr>
              <w:t>-2,0%</w:t>
            </w:r>
          </w:p>
        </w:tc>
        <w:tc>
          <w:tcPr>
            <w:tcW w:w="487" w:type="pct"/>
            <w:tcBorders>
              <w:bottom w:val="single" w:sz="4" w:space="0" w:color="auto"/>
            </w:tcBorders>
            <w:shd w:val="clear" w:color="auto" w:fill="auto"/>
            <w:vAlign w:val="center"/>
          </w:tcPr>
          <w:p w:rsidR="00F6423D" w:rsidRPr="00904DEB" w:rsidRDefault="00F6423D" w:rsidP="005C33DC">
            <w:pPr>
              <w:spacing w:before="120" w:after="120"/>
              <w:jc w:val="center"/>
              <w:rPr>
                <w:sz w:val="20"/>
                <w:szCs w:val="20"/>
              </w:rPr>
            </w:pPr>
            <w:r w:rsidRPr="00181DC5">
              <w:rPr>
                <w:sz w:val="20"/>
                <w:szCs w:val="20"/>
              </w:rPr>
              <w:t>0,0%</w:t>
            </w:r>
          </w:p>
        </w:tc>
        <w:tc>
          <w:tcPr>
            <w:tcW w:w="458" w:type="pct"/>
            <w:tcBorders>
              <w:bottom w:val="single" w:sz="4" w:space="0" w:color="auto"/>
            </w:tcBorders>
            <w:shd w:val="clear" w:color="auto" w:fill="F2F2F2"/>
            <w:vAlign w:val="center"/>
          </w:tcPr>
          <w:p w:rsidR="00F6423D" w:rsidRPr="00904DEB" w:rsidRDefault="00F6423D" w:rsidP="005C33DC">
            <w:pPr>
              <w:spacing w:before="120" w:after="120"/>
              <w:jc w:val="center"/>
              <w:rPr>
                <w:sz w:val="20"/>
                <w:szCs w:val="20"/>
              </w:rPr>
            </w:pPr>
            <w:r w:rsidRPr="00181DC5">
              <w:rPr>
                <w:sz w:val="20"/>
                <w:szCs w:val="20"/>
              </w:rPr>
              <w:t>0,0%</w:t>
            </w:r>
          </w:p>
        </w:tc>
        <w:tc>
          <w:tcPr>
            <w:tcW w:w="487" w:type="pct"/>
            <w:tcBorders>
              <w:bottom w:val="single" w:sz="4" w:space="0" w:color="auto"/>
            </w:tcBorders>
            <w:shd w:val="clear" w:color="auto" w:fill="auto"/>
            <w:vAlign w:val="center"/>
          </w:tcPr>
          <w:p w:rsidR="00F6423D" w:rsidRPr="00904DEB" w:rsidRDefault="00F6423D" w:rsidP="005C33DC">
            <w:pPr>
              <w:spacing w:before="120" w:after="120"/>
              <w:jc w:val="center"/>
              <w:rPr>
                <w:sz w:val="20"/>
                <w:szCs w:val="20"/>
              </w:rPr>
            </w:pPr>
            <w:r w:rsidRPr="00181DC5">
              <w:rPr>
                <w:sz w:val="20"/>
                <w:szCs w:val="20"/>
              </w:rPr>
              <w:t>0,0%</w:t>
            </w:r>
          </w:p>
        </w:tc>
        <w:tc>
          <w:tcPr>
            <w:tcW w:w="487" w:type="pct"/>
            <w:tcBorders>
              <w:bottom w:val="single" w:sz="4" w:space="0" w:color="auto"/>
            </w:tcBorders>
            <w:shd w:val="clear" w:color="auto" w:fill="auto"/>
            <w:vAlign w:val="center"/>
          </w:tcPr>
          <w:p w:rsidR="00F6423D" w:rsidRPr="006B3E7F" w:rsidRDefault="00F6423D" w:rsidP="005C33DC">
            <w:pPr>
              <w:spacing w:before="120" w:after="120"/>
              <w:jc w:val="center"/>
              <w:rPr>
                <w:sz w:val="20"/>
                <w:szCs w:val="20"/>
              </w:rPr>
            </w:pPr>
            <w:r w:rsidRPr="006B3E7F">
              <w:rPr>
                <w:sz w:val="20"/>
                <w:szCs w:val="20"/>
              </w:rPr>
              <w:t>0,0%</w:t>
            </w:r>
          </w:p>
        </w:tc>
        <w:tc>
          <w:tcPr>
            <w:tcW w:w="487" w:type="pct"/>
            <w:tcBorders>
              <w:bottom w:val="single" w:sz="4" w:space="0" w:color="auto"/>
            </w:tcBorders>
            <w:shd w:val="clear" w:color="auto" w:fill="auto"/>
            <w:vAlign w:val="center"/>
          </w:tcPr>
          <w:p w:rsidR="00F6423D" w:rsidRPr="00904DEB" w:rsidRDefault="00F6423D" w:rsidP="005C33DC">
            <w:pPr>
              <w:spacing w:before="120" w:after="120"/>
              <w:jc w:val="center"/>
              <w:rPr>
                <w:sz w:val="20"/>
                <w:szCs w:val="20"/>
              </w:rPr>
            </w:pPr>
            <w:r w:rsidRPr="00181DC5">
              <w:rPr>
                <w:sz w:val="20"/>
                <w:szCs w:val="20"/>
              </w:rPr>
              <w:t>0,0%</w:t>
            </w:r>
          </w:p>
        </w:tc>
        <w:tc>
          <w:tcPr>
            <w:tcW w:w="487" w:type="pct"/>
            <w:tcBorders>
              <w:bottom w:val="single" w:sz="4" w:space="0" w:color="auto"/>
            </w:tcBorders>
            <w:shd w:val="clear" w:color="auto" w:fill="auto"/>
            <w:vAlign w:val="center"/>
          </w:tcPr>
          <w:p w:rsidR="00F6423D" w:rsidRPr="00CF782E" w:rsidRDefault="00F6423D" w:rsidP="005C33DC">
            <w:pPr>
              <w:spacing w:before="120" w:after="120"/>
              <w:jc w:val="center"/>
              <w:rPr>
                <w:sz w:val="20"/>
                <w:szCs w:val="20"/>
              </w:rPr>
            </w:pPr>
            <w:r w:rsidRPr="00181DC5">
              <w:rPr>
                <w:sz w:val="20"/>
                <w:szCs w:val="20"/>
              </w:rPr>
              <w:t>0,0%</w:t>
            </w:r>
          </w:p>
        </w:tc>
      </w:tr>
      <w:tr w:rsidR="00F6423D" w:rsidRPr="00FB0E14" w:rsidTr="00143DB0">
        <w:trPr>
          <w:trHeight w:val="20"/>
          <w:jc w:val="center"/>
        </w:trPr>
        <w:tc>
          <w:tcPr>
            <w:tcW w:w="523" w:type="pct"/>
            <w:tcBorders>
              <w:top w:val="single" w:sz="4" w:space="0" w:color="auto"/>
              <w:bottom w:val="single" w:sz="4" w:space="0" w:color="auto"/>
            </w:tcBorders>
            <w:shd w:val="clear" w:color="auto" w:fill="auto"/>
            <w:vAlign w:val="center"/>
          </w:tcPr>
          <w:p w:rsidR="009C451B" w:rsidRPr="00F6423D" w:rsidRDefault="00F6423D" w:rsidP="00433D2A">
            <w:pPr>
              <w:spacing w:before="120" w:after="120"/>
              <w:jc w:val="left"/>
              <w:rPr>
                <w:rFonts w:eastAsia="Times New Roman"/>
                <w:b/>
                <w:sz w:val="20"/>
                <w:szCs w:val="20"/>
              </w:rPr>
            </w:pPr>
            <w:r w:rsidRPr="00F6423D">
              <w:rPr>
                <w:rFonts w:eastAsia="Times New Roman"/>
                <w:b/>
                <w:sz w:val="20"/>
                <w:szCs w:val="20"/>
              </w:rPr>
              <w:t>БВП</w:t>
            </w:r>
            <w:r>
              <w:rPr>
                <w:rFonts w:eastAsia="Times New Roman"/>
                <w:b/>
                <w:sz w:val="20"/>
                <w:szCs w:val="20"/>
              </w:rPr>
              <w:t xml:space="preserve">            </w:t>
            </w:r>
            <w:r w:rsidRPr="00F6423D">
              <w:rPr>
                <w:rFonts w:eastAsia="Times New Roman"/>
                <w:sz w:val="20"/>
                <w:szCs w:val="20"/>
              </w:rPr>
              <w:t>млн. лв.</w:t>
            </w:r>
          </w:p>
        </w:tc>
        <w:tc>
          <w:tcPr>
            <w:tcW w:w="492" w:type="pct"/>
            <w:tcBorders>
              <w:top w:val="single" w:sz="4" w:space="0" w:color="auto"/>
              <w:bottom w:val="single" w:sz="4" w:space="0" w:color="auto"/>
            </w:tcBorders>
            <w:vAlign w:val="center"/>
          </w:tcPr>
          <w:p w:rsidR="009C451B" w:rsidRPr="00F6423D" w:rsidRDefault="00F6423D" w:rsidP="00433D2A">
            <w:pPr>
              <w:spacing w:before="120" w:after="120"/>
              <w:jc w:val="center"/>
              <w:rPr>
                <w:b/>
                <w:sz w:val="18"/>
                <w:szCs w:val="18"/>
              </w:rPr>
            </w:pPr>
            <w:r w:rsidRPr="00F6423D">
              <w:rPr>
                <w:b/>
                <w:sz w:val="18"/>
                <w:szCs w:val="18"/>
              </w:rPr>
              <w:t>109 694,8</w:t>
            </w:r>
          </w:p>
        </w:tc>
        <w:tc>
          <w:tcPr>
            <w:tcW w:w="510" w:type="pct"/>
            <w:tcBorders>
              <w:top w:val="single" w:sz="4" w:space="0" w:color="auto"/>
              <w:bottom w:val="single" w:sz="4" w:space="0" w:color="auto"/>
            </w:tcBorders>
            <w:shd w:val="clear" w:color="auto" w:fill="auto"/>
            <w:vAlign w:val="center"/>
          </w:tcPr>
          <w:p w:rsidR="009C451B" w:rsidRPr="00F6423D" w:rsidRDefault="00233689" w:rsidP="00433D2A">
            <w:pPr>
              <w:spacing w:before="120" w:after="120"/>
              <w:jc w:val="center"/>
              <w:rPr>
                <w:b/>
                <w:sz w:val="18"/>
                <w:szCs w:val="18"/>
              </w:rPr>
            </w:pPr>
            <w:r w:rsidRPr="00143DB0">
              <w:rPr>
                <w:b/>
                <w:sz w:val="18"/>
                <w:szCs w:val="18"/>
              </w:rPr>
              <w:t>118 624,6</w:t>
            </w:r>
          </w:p>
        </w:tc>
        <w:tc>
          <w:tcPr>
            <w:tcW w:w="582" w:type="pct"/>
            <w:tcBorders>
              <w:top w:val="single" w:sz="4" w:space="0" w:color="auto"/>
              <w:bottom w:val="single" w:sz="4" w:space="0" w:color="auto"/>
            </w:tcBorders>
            <w:shd w:val="clear" w:color="auto" w:fill="auto"/>
            <w:vAlign w:val="center"/>
          </w:tcPr>
          <w:p w:rsidR="009C451B" w:rsidRPr="00F6423D" w:rsidRDefault="00143DB0" w:rsidP="00433D2A">
            <w:pPr>
              <w:spacing w:before="120" w:after="120"/>
              <w:jc w:val="center"/>
              <w:rPr>
                <w:b/>
                <w:sz w:val="18"/>
                <w:szCs w:val="18"/>
              </w:rPr>
            </w:pPr>
            <w:r w:rsidRPr="00143DB0">
              <w:rPr>
                <w:b/>
                <w:sz w:val="18"/>
                <w:szCs w:val="18"/>
              </w:rPr>
              <w:t>118 624,6</w:t>
            </w:r>
          </w:p>
        </w:tc>
        <w:tc>
          <w:tcPr>
            <w:tcW w:w="487" w:type="pct"/>
            <w:tcBorders>
              <w:top w:val="single" w:sz="4" w:space="0" w:color="auto"/>
              <w:bottom w:val="single" w:sz="4" w:space="0" w:color="auto"/>
            </w:tcBorders>
            <w:shd w:val="clear" w:color="auto" w:fill="auto"/>
            <w:vAlign w:val="center"/>
          </w:tcPr>
          <w:p w:rsidR="009C451B" w:rsidRPr="00F6423D" w:rsidRDefault="00143DB0" w:rsidP="00433D2A">
            <w:pPr>
              <w:spacing w:before="120" w:after="120"/>
              <w:jc w:val="center"/>
              <w:rPr>
                <w:b/>
                <w:sz w:val="18"/>
                <w:szCs w:val="18"/>
              </w:rPr>
            </w:pPr>
            <w:r w:rsidRPr="00143DB0">
              <w:rPr>
                <w:b/>
                <w:sz w:val="18"/>
                <w:szCs w:val="18"/>
              </w:rPr>
              <w:t>122 826,6</w:t>
            </w:r>
          </w:p>
        </w:tc>
        <w:tc>
          <w:tcPr>
            <w:tcW w:w="458" w:type="pct"/>
            <w:tcBorders>
              <w:top w:val="single" w:sz="4" w:space="0" w:color="auto"/>
              <w:bottom w:val="single" w:sz="4" w:space="0" w:color="auto"/>
            </w:tcBorders>
            <w:shd w:val="clear" w:color="auto" w:fill="F2F2F2"/>
            <w:vAlign w:val="center"/>
          </w:tcPr>
          <w:p w:rsidR="009C451B" w:rsidRPr="00F6423D" w:rsidRDefault="00143DB0" w:rsidP="00433D2A">
            <w:pPr>
              <w:spacing w:before="120" w:after="120"/>
              <w:jc w:val="center"/>
              <w:rPr>
                <w:b/>
                <w:sz w:val="18"/>
                <w:szCs w:val="18"/>
              </w:rPr>
            </w:pPr>
            <w:r w:rsidRPr="00143DB0">
              <w:rPr>
                <w:b/>
                <w:sz w:val="18"/>
                <w:szCs w:val="18"/>
              </w:rPr>
              <w:t>126 769,1</w:t>
            </w:r>
          </w:p>
        </w:tc>
        <w:tc>
          <w:tcPr>
            <w:tcW w:w="487" w:type="pct"/>
            <w:tcBorders>
              <w:top w:val="single" w:sz="4" w:space="0" w:color="auto"/>
              <w:bottom w:val="single" w:sz="4" w:space="0" w:color="auto"/>
            </w:tcBorders>
            <w:shd w:val="clear" w:color="auto" w:fill="auto"/>
            <w:vAlign w:val="center"/>
          </w:tcPr>
          <w:p w:rsidR="009C451B" w:rsidRPr="00F6423D" w:rsidRDefault="00143DB0" w:rsidP="00433D2A">
            <w:pPr>
              <w:spacing w:before="120" w:after="120"/>
              <w:jc w:val="center"/>
              <w:rPr>
                <w:b/>
                <w:sz w:val="18"/>
                <w:szCs w:val="18"/>
              </w:rPr>
            </w:pPr>
            <w:r w:rsidRPr="00143DB0">
              <w:rPr>
                <w:b/>
                <w:sz w:val="18"/>
                <w:szCs w:val="18"/>
              </w:rPr>
              <w:t>130 463,9</w:t>
            </w:r>
          </w:p>
        </w:tc>
        <w:tc>
          <w:tcPr>
            <w:tcW w:w="487" w:type="pct"/>
            <w:tcBorders>
              <w:top w:val="single" w:sz="4" w:space="0" w:color="auto"/>
              <w:bottom w:val="single" w:sz="4" w:space="0" w:color="auto"/>
            </w:tcBorders>
            <w:shd w:val="clear" w:color="auto" w:fill="auto"/>
            <w:vAlign w:val="center"/>
          </w:tcPr>
          <w:p w:rsidR="009C451B" w:rsidRPr="00F6423D" w:rsidRDefault="00143DB0" w:rsidP="006B3E7F">
            <w:pPr>
              <w:spacing w:before="120" w:after="120"/>
              <w:jc w:val="center"/>
              <w:rPr>
                <w:b/>
                <w:sz w:val="18"/>
                <w:szCs w:val="18"/>
              </w:rPr>
            </w:pPr>
            <w:r w:rsidRPr="00143DB0">
              <w:rPr>
                <w:b/>
                <w:sz w:val="18"/>
                <w:szCs w:val="18"/>
              </w:rPr>
              <w:t>134 915,2</w:t>
            </w:r>
          </w:p>
        </w:tc>
        <w:tc>
          <w:tcPr>
            <w:tcW w:w="487" w:type="pct"/>
            <w:tcBorders>
              <w:top w:val="single" w:sz="4" w:space="0" w:color="auto"/>
              <w:bottom w:val="single" w:sz="4" w:space="0" w:color="auto"/>
            </w:tcBorders>
            <w:shd w:val="clear" w:color="auto" w:fill="auto"/>
            <w:vAlign w:val="center"/>
          </w:tcPr>
          <w:p w:rsidR="009C451B" w:rsidRPr="00F6423D" w:rsidRDefault="00143DB0" w:rsidP="00433D2A">
            <w:pPr>
              <w:spacing w:before="120" w:after="120"/>
              <w:jc w:val="center"/>
              <w:rPr>
                <w:b/>
                <w:sz w:val="18"/>
                <w:szCs w:val="18"/>
              </w:rPr>
            </w:pPr>
            <w:r w:rsidRPr="00143DB0">
              <w:rPr>
                <w:b/>
                <w:sz w:val="18"/>
                <w:szCs w:val="18"/>
              </w:rPr>
              <w:t>138 432,6</w:t>
            </w:r>
          </w:p>
        </w:tc>
        <w:tc>
          <w:tcPr>
            <w:tcW w:w="487" w:type="pct"/>
            <w:tcBorders>
              <w:top w:val="single" w:sz="4" w:space="0" w:color="auto"/>
              <w:bottom w:val="single" w:sz="4" w:space="0" w:color="auto"/>
            </w:tcBorders>
            <w:shd w:val="clear" w:color="auto" w:fill="auto"/>
            <w:vAlign w:val="center"/>
          </w:tcPr>
          <w:p w:rsidR="009C451B" w:rsidRPr="00F6423D" w:rsidRDefault="00143DB0" w:rsidP="00433D2A">
            <w:pPr>
              <w:spacing w:before="120" w:after="120"/>
              <w:jc w:val="center"/>
              <w:rPr>
                <w:b/>
                <w:sz w:val="18"/>
                <w:szCs w:val="18"/>
              </w:rPr>
            </w:pPr>
            <w:r w:rsidRPr="00143DB0">
              <w:rPr>
                <w:b/>
                <w:sz w:val="18"/>
                <w:szCs w:val="18"/>
              </w:rPr>
              <w:t>143 355,4</w:t>
            </w:r>
          </w:p>
        </w:tc>
      </w:tr>
    </w:tbl>
    <w:p w:rsidR="00454210" w:rsidRPr="0043574D" w:rsidRDefault="00454210" w:rsidP="008A3BB6">
      <w:pPr>
        <w:spacing w:before="240" w:after="120"/>
      </w:pPr>
      <w:r w:rsidRPr="0043574D">
        <w:t>Следва да се отбележи, че параметрите по основните показатели на КФП за съответните години са отнесени към актуалната оценка за номиналния размер на БВП за съответната година от есенната макроикономическа прогноза, като параметрите за Прогноза 20</w:t>
      </w:r>
      <w:r w:rsidR="0043574D" w:rsidRPr="0043574D">
        <w:t>20</w:t>
      </w:r>
      <w:r w:rsidRPr="0043574D">
        <w:t>, 202</w:t>
      </w:r>
      <w:r w:rsidR="0043574D" w:rsidRPr="0043574D">
        <w:t>1</w:t>
      </w:r>
      <w:r w:rsidRPr="0043574D">
        <w:t xml:space="preserve"> и 202</w:t>
      </w:r>
      <w:r w:rsidR="0043574D" w:rsidRPr="0043574D">
        <w:t>2</w:t>
      </w:r>
      <w:r w:rsidRPr="0043574D">
        <w:t xml:space="preserve"> г. от м. април 201</w:t>
      </w:r>
      <w:r w:rsidR="0043574D" w:rsidRPr="0043574D">
        <w:t>9</w:t>
      </w:r>
      <w:r w:rsidRPr="0043574D">
        <w:t xml:space="preserve"> г. са съгласно РМС № </w:t>
      </w:r>
      <w:r w:rsidR="0043574D">
        <w:t>195</w:t>
      </w:r>
      <w:r w:rsidRPr="0043574D">
        <w:t xml:space="preserve"> от 201</w:t>
      </w:r>
      <w:r w:rsidR="0043574D">
        <w:t>9</w:t>
      </w:r>
      <w:r w:rsidRPr="0043574D">
        <w:t xml:space="preserve"> г. за одобряване на СБП за периода 20</w:t>
      </w:r>
      <w:r w:rsidR="0043574D">
        <w:t>20</w:t>
      </w:r>
      <w:r w:rsidRPr="0043574D">
        <w:t>-202</w:t>
      </w:r>
      <w:r w:rsidR="0043574D">
        <w:t>2</w:t>
      </w:r>
      <w:r w:rsidRPr="0043574D">
        <w:t xml:space="preserve"> г.</w:t>
      </w:r>
    </w:p>
    <w:p w:rsidR="004F12A1" w:rsidRPr="007B3696" w:rsidRDefault="004F12A1" w:rsidP="008A3BB6">
      <w:pPr>
        <w:spacing w:after="120"/>
        <w:rPr>
          <w:b/>
          <w:color w:val="852010" w:themeColor="accent3" w:themeShade="BF"/>
          <w:szCs w:val="24"/>
        </w:rPr>
      </w:pPr>
      <w:r w:rsidRPr="00AD38A3">
        <w:rPr>
          <w:szCs w:val="24"/>
        </w:rPr>
        <w:t>За 201</w:t>
      </w:r>
      <w:r w:rsidR="00AD38A3" w:rsidRPr="00AD38A3">
        <w:rPr>
          <w:szCs w:val="24"/>
        </w:rPr>
        <w:t>8</w:t>
      </w:r>
      <w:r w:rsidRPr="00AD38A3">
        <w:rPr>
          <w:szCs w:val="24"/>
        </w:rPr>
        <w:t xml:space="preserve"> г. </w:t>
      </w:r>
      <w:r w:rsidRPr="008C3AC2">
        <w:rPr>
          <w:szCs w:val="24"/>
        </w:rPr>
        <w:t>отчетните данн</w:t>
      </w:r>
      <w:r w:rsidR="00AD38A3" w:rsidRPr="008C3AC2">
        <w:rPr>
          <w:szCs w:val="24"/>
        </w:rPr>
        <w:t xml:space="preserve">и показват излишък по КФП от </w:t>
      </w:r>
      <w:r w:rsidR="00AD38A3" w:rsidRPr="008C3AC2">
        <w:rPr>
          <w:rFonts w:eastAsia="Batang"/>
        </w:rPr>
        <w:t>0,1</w:t>
      </w:r>
      <w:r w:rsidRPr="008C3AC2">
        <w:rPr>
          <w:rFonts w:eastAsia="Batang"/>
        </w:rPr>
        <w:t>%</w:t>
      </w:r>
      <w:r w:rsidRPr="008C3AC2">
        <w:rPr>
          <w:szCs w:val="24"/>
        </w:rPr>
        <w:t xml:space="preserve"> от БВП спрямо планирания дефицит от </w:t>
      </w:r>
      <w:r w:rsidRPr="008C3AC2">
        <w:rPr>
          <w:rFonts w:eastAsia="Batang"/>
        </w:rPr>
        <w:t>1,</w:t>
      </w:r>
      <w:r w:rsidR="00AD38A3" w:rsidRPr="008C3AC2">
        <w:rPr>
          <w:rFonts w:eastAsia="Batang"/>
        </w:rPr>
        <w:t>0</w:t>
      </w:r>
      <w:r w:rsidRPr="008C3AC2">
        <w:rPr>
          <w:rFonts w:eastAsia="Batang"/>
        </w:rPr>
        <w:t>%</w:t>
      </w:r>
      <w:r w:rsidRPr="008C3AC2">
        <w:rPr>
          <w:szCs w:val="24"/>
        </w:rPr>
        <w:t xml:space="preserve"> от БВП. </w:t>
      </w:r>
      <w:r w:rsidR="005E5198" w:rsidRPr="008C3AC2">
        <w:rPr>
          <w:bCs/>
          <w:iCs/>
          <w:szCs w:val="24"/>
        </w:rPr>
        <w:t xml:space="preserve">Факторите за това подобрение са свързани </w:t>
      </w:r>
      <w:r w:rsidR="005E5198" w:rsidRPr="005E5198">
        <w:rPr>
          <w:bCs/>
          <w:iCs/>
          <w:szCs w:val="24"/>
        </w:rPr>
        <w:t>основно с</w:t>
      </w:r>
      <w:r w:rsidRPr="005E5198">
        <w:rPr>
          <w:bCs/>
          <w:iCs/>
          <w:szCs w:val="24"/>
        </w:rPr>
        <w:t xml:space="preserve"> преизпълнението на разчетите за годината при някои от основни</w:t>
      </w:r>
      <w:r w:rsidR="005E5198" w:rsidRPr="005E5198">
        <w:rPr>
          <w:bCs/>
          <w:iCs/>
          <w:szCs w:val="24"/>
        </w:rPr>
        <w:t>те данъци и осигурителни вноски</w:t>
      </w:r>
      <w:r w:rsidRPr="005E5198">
        <w:rPr>
          <w:bCs/>
          <w:iCs/>
          <w:szCs w:val="24"/>
        </w:rPr>
        <w:t>.</w:t>
      </w:r>
      <w:r w:rsidRPr="005E5198">
        <w:rPr>
          <w:szCs w:val="24"/>
        </w:rPr>
        <w:t xml:space="preserve"> Повече</w:t>
      </w:r>
      <w:r w:rsidRPr="00AD38A3">
        <w:rPr>
          <w:szCs w:val="24"/>
        </w:rPr>
        <w:t xml:space="preserve"> информация за изпълнението на КФП за 201</w:t>
      </w:r>
      <w:r w:rsidR="00AD38A3" w:rsidRPr="00AD38A3">
        <w:rPr>
          <w:szCs w:val="24"/>
        </w:rPr>
        <w:t>8</w:t>
      </w:r>
      <w:r w:rsidRPr="00AD38A3">
        <w:rPr>
          <w:szCs w:val="24"/>
        </w:rPr>
        <w:t xml:space="preserve"> г. се </w:t>
      </w:r>
      <w:r w:rsidRPr="007B3696">
        <w:rPr>
          <w:szCs w:val="24"/>
        </w:rPr>
        <w:t xml:space="preserve">съдържа в прегледа по </w:t>
      </w:r>
      <w:r w:rsidRPr="007B3696">
        <w:rPr>
          <w:b/>
          <w:color w:val="852010" w:themeColor="accent3" w:themeShade="BF"/>
          <w:szCs w:val="24"/>
        </w:rPr>
        <w:t>приложение № 1.</w:t>
      </w:r>
    </w:p>
    <w:p w:rsidR="007B3696" w:rsidRDefault="00616025" w:rsidP="007B3696">
      <w:pPr>
        <w:spacing w:after="120"/>
        <w:rPr>
          <w:spacing w:val="-4"/>
        </w:rPr>
      </w:pPr>
      <w:r w:rsidRPr="007B3696">
        <w:t xml:space="preserve">Прогнозите очертават изпълнение на разчетите за 2019 г. при данъчно-осигурителните приходи, като може да се очаква известно </w:t>
      </w:r>
      <w:r w:rsidR="000A0661" w:rsidRPr="007B3696">
        <w:t xml:space="preserve">преизпълнение </w:t>
      </w:r>
      <w:r w:rsidRPr="007B3696">
        <w:t xml:space="preserve">на плана за годината. Параметрите по разходите се развиват съобразно </w:t>
      </w:r>
      <w:r w:rsidR="000A0661" w:rsidRPr="007B3696">
        <w:rPr>
          <w:spacing w:val="-4"/>
        </w:rPr>
        <w:t>ревизираната оценка на програмата за 2019 г.</w:t>
      </w:r>
    </w:p>
    <w:p w:rsidR="00454210" w:rsidRPr="00361C87" w:rsidRDefault="00454210" w:rsidP="007B3696">
      <w:pPr>
        <w:spacing w:after="120"/>
      </w:pPr>
      <w:r w:rsidRPr="00361C87">
        <w:t>Отчетните данни и очакваните параметри на основните бюджетни показатели са ориентир при определяне на прогнозните параметри на бюджетната рамка,</w:t>
      </w:r>
      <w:r w:rsidRPr="00361C87" w:rsidDel="00B5447C">
        <w:t xml:space="preserve"> </w:t>
      </w:r>
      <w:r w:rsidRPr="00361C87">
        <w:t xml:space="preserve">като разчетите в настоящата прогноза са обвързани с актуалните оценки за ефектите от реализирането на дискреционните мерки и основните допускания, макроикономическите параметри и тенденциите за развитието на секторните политики. </w:t>
      </w:r>
    </w:p>
    <w:p w:rsidR="00454210" w:rsidRPr="00525942" w:rsidRDefault="00454210" w:rsidP="00C70181">
      <w:pPr>
        <w:spacing w:after="120"/>
        <w:rPr>
          <w:rFonts w:eastAsia="Times New Roman" w:cs="Times New Roman"/>
        </w:rPr>
      </w:pPr>
      <w:r w:rsidRPr="00525942">
        <w:rPr>
          <w:rFonts w:eastAsia="Times New Roman" w:cs="Times New Roman"/>
        </w:rPr>
        <w:t xml:space="preserve">Продължаващите положителни очаквания за икономическото развитие на страната, залегнали в есенната макроикономическа прогноза, са отчетени при подготовката на настоящата бюджетна прогноза, като наблюдаваните разлики при параметрите на основните бюджетни показатели за приходите и разходите по КФП, изразени като процент от БВП, спрямо прогнозите от пролетта на тази година </w:t>
      </w:r>
      <w:r w:rsidRPr="007B3696">
        <w:rPr>
          <w:rFonts w:eastAsia="Times New Roman" w:cs="Times New Roman"/>
        </w:rPr>
        <w:t>се дължат в значителна степен на новата оценка за номиналния размер на БВП за годините от периода.</w:t>
      </w:r>
    </w:p>
    <w:p w:rsidR="00DE2123" w:rsidRPr="00DE2123" w:rsidRDefault="00DE2123" w:rsidP="00C70181">
      <w:pPr>
        <w:spacing w:after="120"/>
        <w:rPr>
          <w:rFonts w:eastAsia="Times New Roman" w:cs="Times New Roman"/>
        </w:rPr>
      </w:pPr>
      <w:r w:rsidRPr="00DE2123">
        <w:rPr>
          <w:rFonts w:eastAsia="Times New Roman" w:cs="Times New Roman"/>
        </w:rPr>
        <w:t xml:space="preserve">В настоящата прогноза се запазват </w:t>
      </w:r>
      <w:r w:rsidRPr="00DE2123">
        <w:rPr>
          <w:rFonts w:eastAsia="Times New Roman" w:cs="Times New Roman"/>
          <w:b/>
        </w:rPr>
        <w:t>целите за бюджетното салдо</w:t>
      </w:r>
      <w:r w:rsidRPr="00DE2123">
        <w:rPr>
          <w:rFonts w:eastAsia="Times New Roman" w:cs="Times New Roman"/>
        </w:rPr>
        <w:t xml:space="preserve">, заложени в СБП за периода 2020-2022 г. - достигане до балансирана бюджетна позиция през 2020 г. и запазването ѝ през следващите години. Целта за постигане и поддържане на балансиран бюджет остава непроменена в продължение на няколко поредни цикъла на подготовка на бюджета. </w:t>
      </w:r>
    </w:p>
    <w:p w:rsidR="00454210" w:rsidRPr="00DE2123" w:rsidRDefault="00454210" w:rsidP="00C70181">
      <w:pPr>
        <w:spacing w:after="120"/>
        <w:rPr>
          <w:rFonts w:eastAsia="Times New Roman" w:cs="Times New Roman"/>
          <w:spacing w:val="-4"/>
        </w:rPr>
      </w:pPr>
      <w:r w:rsidRPr="00DE2123">
        <w:rPr>
          <w:rFonts w:eastAsia="Times New Roman" w:cs="Times New Roman"/>
          <w:spacing w:val="-4"/>
        </w:rPr>
        <w:t>В прогнозата за приходите са отчетени потвърждаващите се и в есенната макроикономическа прогноза положителни тенденции за растеж на националната икономика и предвидените промени в областта на данъчно</w:t>
      </w:r>
      <w:r w:rsidR="000665D9" w:rsidRPr="00DE2123">
        <w:rPr>
          <w:rFonts w:eastAsia="Times New Roman" w:cs="Times New Roman"/>
          <w:spacing w:val="-4"/>
        </w:rPr>
        <w:t>-</w:t>
      </w:r>
      <w:r w:rsidRPr="00DE2123">
        <w:rPr>
          <w:rFonts w:eastAsia="Times New Roman" w:cs="Times New Roman"/>
          <w:spacing w:val="-4"/>
        </w:rPr>
        <w:t>осигурителната политика и оценките за ефекта от приходните дискреционни мерки.</w:t>
      </w:r>
    </w:p>
    <w:p w:rsidR="00C60E7D" w:rsidRPr="00D142D3" w:rsidRDefault="00C60E7D" w:rsidP="00C60E7D">
      <w:pPr>
        <w:spacing w:after="120"/>
        <w:rPr>
          <w:rFonts w:eastAsia="Times New Roman" w:cs="Times New Roman"/>
          <w:lang w:val="ru-RU"/>
        </w:rPr>
      </w:pPr>
      <w:r w:rsidRPr="00176560">
        <w:rPr>
          <w:rFonts w:eastAsia="Times New Roman" w:cs="Times New Roman"/>
        </w:rPr>
        <w:t xml:space="preserve">В сравнение с разчетите на приходите от пролетната СБП в настоящата прогноза се наблюдава номинален ръст на приходите за всяка от годините от прогнозния период, вариращ </w:t>
      </w:r>
      <w:r w:rsidRPr="00D142D3">
        <w:rPr>
          <w:rFonts w:eastAsia="Times New Roman" w:cs="Times New Roman"/>
        </w:rPr>
        <w:t xml:space="preserve">между </w:t>
      </w:r>
      <w:r w:rsidRPr="00D142D3">
        <w:rPr>
          <w:rFonts w:eastAsia="Batang"/>
        </w:rPr>
        <w:t>0,3</w:t>
      </w:r>
      <w:r w:rsidRPr="00D142D3">
        <w:rPr>
          <w:rFonts w:eastAsia="Times New Roman" w:cs="Times New Roman"/>
        </w:rPr>
        <w:t xml:space="preserve"> и </w:t>
      </w:r>
      <w:r w:rsidRPr="00D142D3">
        <w:rPr>
          <w:rFonts w:eastAsia="Batang"/>
        </w:rPr>
        <w:t>1,1</w:t>
      </w:r>
      <w:r w:rsidRPr="00D142D3">
        <w:rPr>
          <w:rFonts w:eastAsia="Times New Roman" w:cs="Times New Roman"/>
        </w:rPr>
        <w:t xml:space="preserve"> млрд. лв. Ръстът при данъчно-осигурителните приходи е в размер на около </w:t>
      </w:r>
      <w:r w:rsidRPr="00D142D3">
        <w:rPr>
          <w:rFonts w:eastAsia="Batang"/>
        </w:rPr>
        <w:t xml:space="preserve">0,7-0,8 </w:t>
      </w:r>
      <w:r w:rsidRPr="00D142D3">
        <w:rPr>
          <w:rFonts w:eastAsia="Times New Roman" w:cs="Times New Roman"/>
        </w:rPr>
        <w:t xml:space="preserve">млрд. лв. за всяка година, дължащ се както на прекия ефект от актуалните дискреционни приходни мерки, а косвено и на дискреционни разходни мерки, които променят базата за облагане, така и на актуализираната оценка за макроикономически очаквания и за събираемостта. </w:t>
      </w:r>
    </w:p>
    <w:p w:rsidR="00C60E7D" w:rsidRPr="007B3696" w:rsidRDefault="00C60E7D" w:rsidP="00C60E7D">
      <w:pPr>
        <w:spacing w:after="120"/>
        <w:rPr>
          <w:rFonts w:eastAsia="Times New Roman" w:cs="Times New Roman"/>
        </w:rPr>
      </w:pPr>
      <w:r w:rsidRPr="00D142D3">
        <w:rPr>
          <w:rFonts w:eastAsia="Times New Roman" w:cs="Times New Roman"/>
        </w:rPr>
        <w:t xml:space="preserve">При неданъчните приходи за 2020 г. има нетно увеличение от </w:t>
      </w:r>
      <w:r w:rsidRPr="00D142D3">
        <w:rPr>
          <w:rFonts w:eastAsia="Batang"/>
        </w:rPr>
        <w:t>0,3</w:t>
      </w:r>
      <w:r w:rsidRPr="00D142D3">
        <w:rPr>
          <w:rFonts w:eastAsia="Times New Roman" w:cs="Times New Roman"/>
        </w:rPr>
        <w:t xml:space="preserve"> млрд. лв. </w:t>
      </w:r>
      <w:r w:rsidR="009E4B38" w:rsidRPr="00D142D3">
        <w:rPr>
          <w:rFonts w:eastAsia="Times New Roman" w:cs="Times New Roman"/>
        </w:rPr>
        <w:t xml:space="preserve">спрямо пролетната СБП </w:t>
      </w:r>
      <w:r w:rsidRPr="00D142D3">
        <w:rPr>
          <w:rFonts w:eastAsia="Times New Roman" w:cs="Times New Roman"/>
        </w:rPr>
        <w:t xml:space="preserve">основно във връзка с </w:t>
      </w:r>
      <w:r w:rsidRPr="00D142D3">
        <w:t xml:space="preserve">очаквания допълнителен приход от заплащане на първоначално концесионно възнаграждение при сключване на договор </w:t>
      </w:r>
      <w:r w:rsidRPr="007B3696">
        <w:t>за възлагане на концесия за строителство за обект „Гражданско летище за обществено ползване София“ и</w:t>
      </w:r>
      <w:r w:rsidRPr="007B3696">
        <w:rPr>
          <w:rFonts w:eastAsia="Times New Roman" w:cs="Times New Roman"/>
        </w:rPr>
        <w:t xml:space="preserve"> спад на приходите на Фонд „Сигурност на електроенергийната система“ във връзка с новото ценово решение на КЕВР, според което цената „задължение към обществото“ намалява спрямо ценовия период 2018/2019 г. от 36,75 лв./MWh на 19,57 лв./M</w:t>
      </w:r>
      <w:r>
        <w:rPr>
          <w:rFonts w:eastAsia="Times New Roman" w:cs="Times New Roman"/>
        </w:rPr>
        <w:t>Wh за ценовия период 2019/2020 </w:t>
      </w:r>
      <w:r w:rsidRPr="007B3696">
        <w:rPr>
          <w:rFonts w:eastAsia="Times New Roman" w:cs="Times New Roman"/>
        </w:rPr>
        <w:t>г.</w:t>
      </w:r>
    </w:p>
    <w:p w:rsidR="00C60E7D" w:rsidRPr="00D142D3" w:rsidRDefault="00C60E7D" w:rsidP="00C60E7D">
      <w:pPr>
        <w:spacing w:after="120"/>
        <w:rPr>
          <w:rFonts w:eastAsia="Times New Roman" w:cs="Times New Roman"/>
        </w:rPr>
      </w:pPr>
      <w:r w:rsidRPr="007B3696">
        <w:rPr>
          <w:rFonts w:eastAsia="Times New Roman" w:cs="Times New Roman"/>
        </w:rPr>
        <w:t xml:space="preserve">През 2021-2022 г. се наблюдава спад </w:t>
      </w:r>
      <w:r w:rsidRPr="00D142D3">
        <w:rPr>
          <w:rFonts w:eastAsia="Times New Roman" w:cs="Times New Roman"/>
        </w:rPr>
        <w:t>от</w:t>
      </w:r>
      <w:r w:rsidRPr="00D142D3">
        <w:rPr>
          <w:rFonts w:eastAsia="Batang"/>
        </w:rPr>
        <w:t xml:space="preserve"> 0,4-0,5</w:t>
      </w:r>
      <w:r w:rsidRPr="00D142D3">
        <w:rPr>
          <w:rFonts w:eastAsia="Times New Roman" w:cs="Times New Roman"/>
        </w:rPr>
        <w:t xml:space="preserve"> млрд. лв. в неданъчните приходи спрямо пролетната СБП поради намаление на приходите на Фонд „Сигурност на електроенергийната система“.</w:t>
      </w:r>
    </w:p>
    <w:p w:rsidR="00C60E7D" w:rsidRPr="00D142D3" w:rsidRDefault="00C60E7D" w:rsidP="00C60E7D">
      <w:pPr>
        <w:spacing w:after="120"/>
        <w:rPr>
          <w:highlight w:val="yellow"/>
        </w:rPr>
      </w:pPr>
      <w:r w:rsidRPr="00D142D3">
        <w:rPr>
          <w:spacing w:val="-4"/>
        </w:rPr>
        <w:t xml:space="preserve">През 2020 г. номиналният ръст в приходната част на бюджета спрямо ревизираната оценка на програмата за 2019 г. е от около </w:t>
      </w:r>
      <w:r w:rsidR="009E4B38" w:rsidRPr="00D142D3">
        <w:rPr>
          <w:rFonts w:eastAsia="Batang"/>
        </w:rPr>
        <w:t>3</w:t>
      </w:r>
      <w:r w:rsidRPr="00D142D3">
        <w:rPr>
          <w:rFonts w:eastAsia="Batang"/>
        </w:rPr>
        <w:t>,</w:t>
      </w:r>
      <w:r w:rsidR="009E4B38" w:rsidRPr="00D142D3">
        <w:rPr>
          <w:rFonts w:eastAsia="Batang"/>
        </w:rPr>
        <w:t>0</w:t>
      </w:r>
      <w:r w:rsidRPr="00D142D3">
        <w:rPr>
          <w:lang w:eastAsia="zh-CN"/>
        </w:rPr>
        <w:t> </w:t>
      </w:r>
      <w:r w:rsidRPr="00D142D3">
        <w:rPr>
          <w:spacing w:val="-4"/>
        </w:rPr>
        <w:t xml:space="preserve">млрд. лв., като ръстът на данъчно-осигурителните приходи е над </w:t>
      </w:r>
      <w:r w:rsidRPr="00D142D3">
        <w:rPr>
          <w:rFonts w:eastAsia="Batang"/>
        </w:rPr>
        <w:t>2,8</w:t>
      </w:r>
      <w:r w:rsidRPr="00D142D3">
        <w:rPr>
          <w:lang w:eastAsia="zh-CN"/>
        </w:rPr>
        <w:t> </w:t>
      </w:r>
      <w:r w:rsidRPr="00D142D3">
        <w:rPr>
          <w:spacing w:val="-4"/>
        </w:rPr>
        <w:t>млрд. лв., което е в резултат както от положителната динамика на макроикономическите показатели, така и от предприетите мерки от страна на приходните агенции за борба с данъчните измами и повишаване на събираемостта.</w:t>
      </w:r>
    </w:p>
    <w:p w:rsidR="00C60E7D" w:rsidRPr="00D142D3" w:rsidRDefault="00C60E7D" w:rsidP="00C60E7D">
      <w:pPr>
        <w:spacing w:after="120"/>
        <w:rPr>
          <w:spacing w:val="-4"/>
        </w:rPr>
      </w:pPr>
      <w:r w:rsidRPr="00D142D3">
        <w:t xml:space="preserve">През 2021-2022 г. ръстовете </w:t>
      </w:r>
      <w:r w:rsidRPr="00D142D3">
        <w:rPr>
          <w:spacing w:val="-4"/>
        </w:rPr>
        <w:t xml:space="preserve">в приходната част на бюджета спрямо предходната година са съответно около </w:t>
      </w:r>
      <w:r w:rsidRPr="00D142D3">
        <w:rPr>
          <w:rFonts w:eastAsia="Batang"/>
        </w:rPr>
        <w:t xml:space="preserve">1,6 </w:t>
      </w:r>
      <w:r w:rsidRPr="00D142D3">
        <w:rPr>
          <w:spacing w:val="-4"/>
        </w:rPr>
        <w:t>и</w:t>
      </w:r>
      <w:r w:rsidRPr="00D142D3">
        <w:rPr>
          <w:rFonts w:eastAsia="Batang"/>
        </w:rPr>
        <w:t xml:space="preserve"> 1,8</w:t>
      </w:r>
      <w:r w:rsidRPr="00D142D3">
        <w:rPr>
          <w:lang w:eastAsia="zh-CN"/>
        </w:rPr>
        <w:t> </w:t>
      </w:r>
      <w:r w:rsidRPr="00D142D3">
        <w:rPr>
          <w:spacing w:val="-4"/>
        </w:rPr>
        <w:t xml:space="preserve">млрд. лв., от които ръстовете на данъчно-осигурителните приходи са около </w:t>
      </w:r>
      <w:r w:rsidRPr="00D142D3">
        <w:rPr>
          <w:rFonts w:eastAsia="Batang"/>
        </w:rPr>
        <w:t xml:space="preserve">1,9 </w:t>
      </w:r>
      <w:r w:rsidRPr="00D142D3">
        <w:rPr>
          <w:spacing w:val="-4"/>
        </w:rPr>
        <w:t xml:space="preserve">млрд. лв. </w:t>
      </w:r>
    </w:p>
    <w:p w:rsidR="00083361" w:rsidRDefault="00C60E7D" w:rsidP="003D69EC">
      <w:pPr>
        <w:spacing w:after="120"/>
      </w:pPr>
      <w:r w:rsidRPr="00D142D3">
        <w:rPr>
          <w:rFonts w:eastAsia="Times New Roman" w:cs="Times New Roman"/>
        </w:rPr>
        <w:t xml:space="preserve">Изразени като процент от БВП, при </w:t>
      </w:r>
      <w:r w:rsidRPr="00D142D3">
        <w:rPr>
          <w:rFonts w:eastAsia="Times New Roman" w:cs="Times New Roman"/>
          <w:b/>
        </w:rPr>
        <w:t>приходите</w:t>
      </w:r>
      <w:r w:rsidRPr="00D142D3">
        <w:rPr>
          <w:rFonts w:eastAsia="Times New Roman" w:cs="Times New Roman"/>
        </w:rPr>
        <w:t xml:space="preserve"> за периода 2020-2022 г. се наблюдава тенденция за спад от 36,9% до 35,0%, а в номинален размер те се увеличават, като от </w:t>
      </w:r>
      <w:r w:rsidRPr="00D142D3">
        <w:rPr>
          <w:rFonts w:eastAsia="Batang"/>
        </w:rPr>
        <w:t>46  8</w:t>
      </w:r>
      <w:r w:rsidRPr="00D142D3">
        <w:rPr>
          <w:rFonts w:eastAsia="Batang"/>
          <w:lang w:val="ru-RU"/>
        </w:rPr>
        <w:t>26</w:t>
      </w:r>
      <w:r w:rsidRPr="00D142D3">
        <w:rPr>
          <w:rFonts w:eastAsia="Batang"/>
        </w:rPr>
        <w:t>,</w:t>
      </w:r>
      <w:r w:rsidRPr="00D142D3">
        <w:rPr>
          <w:rFonts w:eastAsia="Batang"/>
          <w:lang w:val="ru-RU"/>
        </w:rPr>
        <w:t>5</w:t>
      </w:r>
      <w:r w:rsidRPr="00D142D3">
        <w:rPr>
          <w:rFonts w:eastAsia="Times New Roman" w:cs="Times New Roman"/>
        </w:rPr>
        <w:t xml:space="preserve"> млн. лв. за 2020 г. се очаква да достигнат </w:t>
      </w:r>
      <w:r w:rsidRPr="00D142D3">
        <w:rPr>
          <w:rFonts w:eastAsia="Batang"/>
        </w:rPr>
        <w:t>50 14</w:t>
      </w:r>
      <w:r w:rsidRPr="00D142D3">
        <w:rPr>
          <w:rFonts w:eastAsia="Batang"/>
          <w:lang w:val="ru-RU"/>
        </w:rPr>
        <w:t>2</w:t>
      </w:r>
      <w:r w:rsidRPr="00D142D3">
        <w:rPr>
          <w:rFonts w:eastAsia="Batang"/>
        </w:rPr>
        <w:t>,</w:t>
      </w:r>
      <w:r w:rsidRPr="00D142D3">
        <w:rPr>
          <w:rFonts w:eastAsia="Batang"/>
          <w:lang w:val="ru-RU"/>
        </w:rPr>
        <w:t>9</w:t>
      </w:r>
      <w:r w:rsidRPr="00D142D3">
        <w:rPr>
          <w:rFonts w:eastAsia="Times New Roman" w:cs="Times New Roman"/>
        </w:rPr>
        <w:t xml:space="preserve"> млн. лв. </w:t>
      </w:r>
      <w:r>
        <w:rPr>
          <w:rFonts w:eastAsia="Times New Roman" w:cs="Times New Roman"/>
        </w:rPr>
        <w:t>през 2022</w:t>
      </w:r>
      <w:r w:rsidRPr="0043574D">
        <w:rPr>
          <w:rFonts w:eastAsia="Times New Roman" w:cs="Times New Roman"/>
        </w:rPr>
        <w:t xml:space="preserve"> г.</w:t>
      </w:r>
      <w:bookmarkStart w:id="321" w:name="_Toc464644973"/>
      <w:bookmarkStart w:id="322" w:name="_Toc464646357"/>
      <w:bookmarkStart w:id="323" w:name="_Toc464737635"/>
      <w:bookmarkStart w:id="324" w:name="_Toc23337517"/>
      <w:bookmarkEnd w:id="308"/>
      <w:bookmarkEnd w:id="309"/>
      <w:bookmarkEnd w:id="310"/>
      <w:bookmarkEnd w:id="311"/>
      <w:bookmarkEnd w:id="312"/>
      <w:bookmarkEnd w:id="313"/>
      <w:bookmarkEnd w:id="314"/>
      <w:bookmarkEnd w:id="315"/>
      <w:bookmarkEnd w:id="316"/>
      <w:bookmarkEnd w:id="317"/>
      <w:bookmarkEnd w:id="318"/>
      <w:bookmarkEnd w:id="319"/>
      <w:bookmarkEnd w:id="320"/>
      <w:r w:rsidR="00F27608" w:rsidRPr="001D14B4">
        <w:t xml:space="preserve">Табл. </w:t>
      </w:r>
      <w:fldSimple w:instr=" STYLEREF 1 \s ">
        <w:r w:rsidR="0034195B">
          <w:rPr>
            <w:noProof/>
          </w:rPr>
          <w:t>II</w:t>
        </w:r>
      </w:fldSimple>
      <w:r w:rsidR="00927CD5" w:rsidRPr="001D14B4">
        <w:noBreakHyphen/>
      </w:r>
      <w:fldSimple w:instr=" SEQ Табл. \* ARABIC \s 1 ">
        <w:r w:rsidR="0034195B">
          <w:rPr>
            <w:noProof/>
          </w:rPr>
          <w:t>2</w:t>
        </w:r>
      </w:fldSimple>
      <w:r w:rsidR="00D14E8A" w:rsidRPr="001D14B4">
        <w:t>:</w:t>
      </w:r>
      <w:r w:rsidR="001977D8" w:rsidRPr="001D14B4">
        <w:tab/>
      </w:r>
      <w:r w:rsidR="00A306AE">
        <w:t xml:space="preserve"> </w:t>
      </w:r>
      <w:r w:rsidR="00083361" w:rsidRPr="001D14B4">
        <w:t xml:space="preserve">Принос на основните приходни категории в консолидацията на </w:t>
      </w:r>
      <w:r w:rsidR="00393D2D">
        <w:t>бюджетното салдо</w:t>
      </w:r>
      <w:r w:rsidR="00083361" w:rsidRPr="001D14B4">
        <w:t xml:space="preserve"> по КФП за </w:t>
      </w:r>
      <w:r w:rsidR="00773D90" w:rsidRPr="00773D90">
        <w:t>2020</w:t>
      </w:r>
      <w:r w:rsidR="003E1413">
        <w:t xml:space="preserve"> г. и поддържане на бюджетната позиция до 2022 г.</w:t>
      </w:r>
      <w:bookmarkEnd w:id="321"/>
      <w:bookmarkEnd w:id="322"/>
      <w:bookmarkEnd w:id="323"/>
      <w:bookmarkEnd w:id="324"/>
    </w:p>
    <w:tbl>
      <w:tblPr>
        <w:tblW w:w="5000" w:type="pct"/>
        <w:tblCellMar>
          <w:left w:w="70" w:type="dxa"/>
          <w:right w:w="70" w:type="dxa"/>
        </w:tblCellMar>
        <w:tblLook w:val="04A0" w:firstRow="1" w:lastRow="0" w:firstColumn="1" w:lastColumn="0" w:noHBand="0" w:noVBand="1"/>
      </w:tblPr>
      <w:tblGrid>
        <w:gridCol w:w="4477"/>
        <w:gridCol w:w="1030"/>
        <w:gridCol w:w="1228"/>
        <w:gridCol w:w="1148"/>
        <w:gridCol w:w="1187"/>
      </w:tblGrid>
      <w:tr w:rsidR="00A306AE" w:rsidRPr="00A306AE" w:rsidTr="003D69EC">
        <w:trPr>
          <w:trHeight w:val="255"/>
          <w:tblHeader/>
        </w:trPr>
        <w:tc>
          <w:tcPr>
            <w:tcW w:w="2424" w:type="pct"/>
            <w:vMerge w:val="restart"/>
            <w:tcBorders>
              <w:top w:val="single" w:sz="4" w:space="0" w:color="595959"/>
              <w:left w:val="nil"/>
              <w:bottom w:val="single" w:sz="4" w:space="0" w:color="000000"/>
              <w:right w:val="nil"/>
            </w:tcBorders>
            <w:shd w:val="clear" w:color="000000" w:fill="auto"/>
            <w:vAlign w:val="center"/>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Показатели</w:t>
            </w:r>
            <w:r w:rsidRPr="00A306AE">
              <w:rPr>
                <w:rFonts w:eastAsia="Times New Roman" w:cs="Times New Roman"/>
                <w:b/>
                <w:bCs/>
                <w:sz w:val="18"/>
                <w:szCs w:val="18"/>
              </w:rPr>
              <w:br/>
              <w:t xml:space="preserve">в % от БВП </w:t>
            </w:r>
          </w:p>
        </w:tc>
        <w:tc>
          <w:tcPr>
            <w:tcW w:w="579" w:type="pct"/>
            <w:vMerge w:val="restart"/>
            <w:tcBorders>
              <w:top w:val="single" w:sz="4" w:space="0" w:color="595959"/>
              <w:left w:val="nil"/>
              <w:bottom w:val="single" w:sz="4" w:space="0" w:color="000000"/>
              <w:right w:val="nil"/>
            </w:tcBorders>
            <w:shd w:val="clear" w:color="000000" w:fill="auto"/>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Изменение 2020/2019 Ревиз. оценка пр.п.</w:t>
            </w:r>
          </w:p>
        </w:tc>
        <w:tc>
          <w:tcPr>
            <w:tcW w:w="688" w:type="pct"/>
            <w:vMerge w:val="restart"/>
            <w:tcBorders>
              <w:top w:val="single" w:sz="4" w:space="0" w:color="595959"/>
              <w:left w:val="nil"/>
              <w:bottom w:val="single" w:sz="4" w:space="0" w:color="000000"/>
              <w:right w:val="nil"/>
            </w:tcBorders>
            <w:shd w:val="clear" w:color="000000" w:fill="auto"/>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Изменение 2020/2019 очакв. изп.  пр.п.</w:t>
            </w:r>
          </w:p>
        </w:tc>
        <w:tc>
          <w:tcPr>
            <w:tcW w:w="644" w:type="pct"/>
            <w:vMerge w:val="restart"/>
            <w:tcBorders>
              <w:top w:val="single" w:sz="4" w:space="0" w:color="595959"/>
              <w:left w:val="nil"/>
              <w:bottom w:val="single" w:sz="4" w:space="0" w:color="000000"/>
              <w:right w:val="nil"/>
            </w:tcBorders>
            <w:shd w:val="clear" w:color="000000" w:fill="auto"/>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Изменение 2021/2020 пр.п.</w:t>
            </w:r>
          </w:p>
        </w:tc>
        <w:tc>
          <w:tcPr>
            <w:tcW w:w="665" w:type="pct"/>
            <w:vMerge w:val="restart"/>
            <w:tcBorders>
              <w:top w:val="single" w:sz="4" w:space="0" w:color="595959"/>
              <w:left w:val="nil"/>
              <w:bottom w:val="single" w:sz="4" w:space="0" w:color="000000"/>
              <w:right w:val="nil"/>
            </w:tcBorders>
            <w:shd w:val="clear" w:color="000000" w:fill="auto"/>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Изменение 2022/2021 пр.п.</w:t>
            </w:r>
          </w:p>
        </w:tc>
      </w:tr>
      <w:tr w:rsidR="00A306AE" w:rsidRPr="00A306AE" w:rsidTr="003D69EC">
        <w:trPr>
          <w:trHeight w:val="975"/>
          <w:tblHeader/>
        </w:trPr>
        <w:tc>
          <w:tcPr>
            <w:tcW w:w="2424"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c>
          <w:tcPr>
            <w:tcW w:w="579"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c>
          <w:tcPr>
            <w:tcW w:w="688"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c>
          <w:tcPr>
            <w:tcW w:w="644"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c>
          <w:tcPr>
            <w:tcW w:w="665"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jc w:val="left"/>
              <w:rPr>
                <w:rFonts w:eastAsia="Times New Roman" w:cs="Times New Roman"/>
                <w:b/>
                <w:bCs/>
                <w:sz w:val="18"/>
                <w:szCs w:val="18"/>
              </w:rPr>
            </w:pPr>
            <w:r w:rsidRPr="007B3615">
              <w:rPr>
                <w:rFonts w:eastAsia="Times New Roman" w:cs="Times New Roman"/>
                <w:b/>
                <w:bCs/>
                <w:sz w:val="18"/>
                <w:szCs w:val="18"/>
              </w:rPr>
              <w:t>Приходи, помощи и дарения</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0,0</w:t>
            </w:r>
          </w:p>
        </w:tc>
        <w:tc>
          <w:tcPr>
            <w:tcW w:w="688"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0,2</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-1,1</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-0,9</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791845">
            <w:pPr>
              <w:spacing w:after="0"/>
              <w:ind w:firstLineChars="100" w:firstLine="180"/>
              <w:jc w:val="left"/>
              <w:rPr>
                <w:rFonts w:eastAsia="Times New Roman" w:cs="Times New Roman"/>
                <w:b/>
                <w:bCs/>
                <w:sz w:val="18"/>
                <w:szCs w:val="18"/>
              </w:rPr>
            </w:pPr>
            <w:r w:rsidRPr="007B3615">
              <w:rPr>
                <w:rFonts w:eastAsia="Times New Roman" w:cs="Times New Roman"/>
                <w:b/>
                <w:bCs/>
                <w:sz w:val="18"/>
                <w:szCs w:val="18"/>
              </w:rPr>
              <w:t>Данъчно-осигурителни приходи</w:t>
            </w:r>
          </w:p>
        </w:tc>
        <w:tc>
          <w:tcPr>
            <w:tcW w:w="579"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0,3</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0,0</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-0,4</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-0,4</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791845">
            <w:pPr>
              <w:spacing w:after="0"/>
              <w:ind w:firstLineChars="100" w:firstLine="180"/>
              <w:jc w:val="left"/>
              <w:rPr>
                <w:rFonts w:eastAsia="Times New Roman" w:cs="Times New Roman"/>
                <w:b/>
                <w:bCs/>
                <w:i/>
                <w:iCs/>
                <w:sz w:val="18"/>
                <w:szCs w:val="18"/>
              </w:rPr>
            </w:pPr>
            <w:r w:rsidRPr="007B3615">
              <w:rPr>
                <w:rFonts w:eastAsia="Times New Roman" w:cs="Times New Roman"/>
                <w:b/>
                <w:bCs/>
                <w:i/>
                <w:iCs/>
                <w:sz w:val="18"/>
                <w:szCs w:val="18"/>
              </w:rPr>
              <w:t xml:space="preserve">  Преки данъци</w:t>
            </w:r>
          </w:p>
        </w:tc>
        <w:tc>
          <w:tcPr>
            <w:tcW w:w="579"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c>
          <w:tcPr>
            <w:tcW w:w="688"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0,0</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0,0</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200" w:firstLine="360"/>
              <w:jc w:val="left"/>
              <w:rPr>
                <w:rFonts w:eastAsia="Times New Roman" w:cs="Times New Roman"/>
                <w:sz w:val="18"/>
                <w:szCs w:val="18"/>
              </w:rPr>
            </w:pPr>
            <w:r w:rsidRPr="007B3615">
              <w:rPr>
                <w:rFonts w:eastAsia="Times New Roman" w:cs="Times New Roman"/>
                <w:sz w:val="18"/>
                <w:szCs w:val="18"/>
              </w:rPr>
              <w:t>Корпоративни данъци</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r>
      <w:tr w:rsidR="007B3615" w:rsidRPr="00A306AE" w:rsidTr="003D69EC">
        <w:trPr>
          <w:trHeight w:val="27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100" w:firstLine="180"/>
              <w:jc w:val="left"/>
              <w:rPr>
                <w:rFonts w:eastAsia="Times New Roman" w:cs="Times New Roman"/>
                <w:sz w:val="18"/>
                <w:szCs w:val="18"/>
              </w:rPr>
            </w:pPr>
            <w:r w:rsidRPr="007B3615">
              <w:rPr>
                <w:rFonts w:eastAsia="Times New Roman" w:cs="Times New Roman"/>
                <w:sz w:val="18"/>
                <w:szCs w:val="18"/>
              </w:rPr>
              <w:t xml:space="preserve">   Данъци върху доходите на физическите лица</w:t>
            </w:r>
          </w:p>
        </w:tc>
        <w:tc>
          <w:tcPr>
            <w:tcW w:w="579"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0,2</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r>
      <w:tr w:rsidR="007B3615" w:rsidRPr="00A306AE" w:rsidTr="003D69EC">
        <w:trPr>
          <w:trHeight w:val="285"/>
        </w:trPr>
        <w:tc>
          <w:tcPr>
            <w:tcW w:w="2424" w:type="pct"/>
            <w:tcBorders>
              <w:top w:val="nil"/>
              <w:left w:val="nil"/>
              <w:bottom w:val="nil"/>
              <w:right w:val="nil"/>
            </w:tcBorders>
            <w:shd w:val="clear" w:color="000000" w:fill="auto"/>
            <w:noWrap/>
            <w:vAlign w:val="center"/>
            <w:hideMark/>
          </w:tcPr>
          <w:p w:rsidR="007B3615" w:rsidRPr="007B3615" w:rsidRDefault="007B3615" w:rsidP="00791845">
            <w:pPr>
              <w:spacing w:after="0"/>
              <w:ind w:firstLineChars="200" w:firstLine="360"/>
              <w:jc w:val="left"/>
              <w:rPr>
                <w:rFonts w:eastAsia="Times New Roman" w:cs="Times New Roman"/>
                <w:b/>
                <w:bCs/>
                <w:i/>
                <w:iCs/>
                <w:sz w:val="18"/>
                <w:szCs w:val="18"/>
              </w:rPr>
            </w:pPr>
            <w:r w:rsidRPr="007B3615">
              <w:rPr>
                <w:rFonts w:eastAsia="Times New Roman" w:cs="Times New Roman"/>
                <w:b/>
                <w:bCs/>
                <w:i/>
                <w:iCs/>
                <w:sz w:val="18"/>
                <w:szCs w:val="18"/>
              </w:rPr>
              <w:t>Приходи на социалното и здравното осигуряване</w:t>
            </w:r>
          </w:p>
        </w:tc>
        <w:tc>
          <w:tcPr>
            <w:tcW w:w="579"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c>
          <w:tcPr>
            <w:tcW w:w="688"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791845">
            <w:pPr>
              <w:spacing w:after="0"/>
              <w:ind w:firstLineChars="200" w:firstLine="360"/>
              <w:jc w:val="left"/>
              <w:rPr>
                <w:rFonts w:eastAsia="Times New Roman" w:cs="Times New Roman"/>
                <w:b/>
                <w:bCs/>
                <w:i/>
                <w:iCs/>
                <w:sz w:val="18"/>
                <w:szCs w:val="18"/>
              </w:rPr>
            </w:pPr>
            <w:r w:rsidRPr="007B3615">
              <w:rPr>
                <w:rFonts w:eastAsia="Times New Roman" w:cs="Times New Roman"/>
                <w:b/>
                <w:bCs/>
                <w:i/>
                <w:iCs/>
                <w:sz w:val="18"/>
                <w:szCs w:val="18"/>
              </w:rPr>
              <w:t>Косвени данъци</w:t>
            </w:r>
          </w:p>
        </w:tc>
        <w:tc>
          <w:tcPr>
            <w:tcW w:w="579"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-0,3</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-0,2</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300" w:firstLine="540"/>
              <w:jc w:val="left"/>
              <w:rPr>
                <w:rFonts w:eastAsia="Times New Roman" w:cs="Times New Roman"/>
                <w:sz w:val="18"/>
                <w:szCs w:val="18"/>
              </w:rPr>
            </w:pPr>
            <w:r w:rsidRPr="007B3615">
              <w:rPr>
                <w:rFonts w:eastAsia="Times New Roman" w:cs="Times New Roman"/>
                <w:sz w:val="18"/>
                <w:szCs w:val="18"/>
              </w:rPr>
              <w:t xml:space="preserve">ДДС </w:t>
            </w:r>
          </w:p>
        </w:tc>
        <w:tc>
          <w:tcPr>
            <w:tcW w:w="579"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88" w:type="pct"/>
            <w:tcBorders>
              <w:top w:val="nil"/>
              <w:left w:val="nil"/>
              <w:bottom w:val="nil"/>
              <w:right w:val="nil"/>
            </w:tcBorders>
            <w:shd w:val="clear" w:color="auto"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300" w:firstLine="540"/>
              <w:jc w:val="left"/>
              <w:rPr>
                <w:rFonts w:eastAsia="Times New Roman" w:cs="Times New Roman"/>
                <w:sz w:val="18"/>
                <w:szCs w:val="18"/>
              </w:rPr>
            </w:pPr>
            <w:r w:rsidRPr="007B3615">
              <w:rPr>
                <w:rFonts w:eastAsia="Times New Roman" w:cs="Times New Roman"/>
                <w:sz w:val="18"/>
                <w:szCs w:val="18"/>
              </w:rPr>
              <w:t>Акцизи</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-0,2</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-0,2</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300" w:firstLine="540"/>
              <w:jc w:val="left"/>
              <w:rPr>
                <w:rFonts w:eastAsia="Times New Roman" w:cs="Times New Roman"/>
                <w:sz w:val="18"/>
                <w:szCs w:val="18"/>
              </w:rPr>
            </w:pPr>
            <w:r w:rsidRPr="007B3615">
              <w:rPr>
                <w:rFonts w:eastAsia="Times New Roman" w:cs="Times New Roman"/>
                <w:sz w:val="18"/>
                <w:szCs w:val="18"/>
              </w:rPr>
              <w:t>Мита и митнически такси</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791845">
            <w:pPr>
              <w:spacing w:after="0"/>
              <w:ind w:firstLineChars="200" w:firstLine="360"/>
              <w:jc w:val="left"/>
              <w:rPr>
                <w:rFonts w:eastAsia="Times New Roman" w:cs="Times New Roman"/>
                <w:b/>
                <w:bCs/>
                <w:i/>
                <w:iCs/>
                <w:sz w:val="18"/>
                <w:szCs w:val="18"/>
              </w:rPr>
            </w:pPr>
            <w:r w:rsidRPr="007B3615">
              <w:rPr>
                <w:rFonts w:eastAsia="Times New Roman" w:cs="Times New Roman"/>
                <w:b/>
                <w:bCs/>
                <w:i/>
                <w:iCs/>
                <w:sz w:val="18"/>
                <w:szCs w:val="18"/>
              </w:rPr>
              <w:t>Други данъци</w:t>
            </w:r>
          </w:p>
        </w:tc>
        <w:tc>
          <w:tcPr>
            <w:tcW w:w="579" w:type="pct"/>
            <w:tcBorders>
              <w:top w:val="nil"/>
              <w:left w:val="nil"/>
              <w:bottom w:val="nil"/>
              <w:right w:val="nil"/>
            </w:tcBorders>
            <w:shd w:val="clear" w:color="auto"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0,0</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0,0</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0,0</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0,0</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791845">
            <w:pPr>
              <w:spacing w:after="0"/>
              <w:ind w:firstLineChars="100" w:firstLine="180"/>
              <w:jc w:val="left"/>
              <w:rPr>
                <w:rFonts w:eastAsia="Times New Roman" w:cs="Times New Roman"/>
                <w:b/>
                <w:bCs/>
                <w:sz w:val="18"/>
                <w:szCs w:val="18"/>
              </w:rPr>
            </w:pPr>
            <w:r w:rsidRPr="007B3615">
              <w:rPr>
                <w:rFonts w:eastAsia="Times New Roman" w:cs="Times New Roman"/>
                <w:b/>
                <w:bCs/>
                <w:sz w:val="18"/>
                <w:szCs w:val="18"/>
              </w:rPr>
              <w:t xml:space="preserve">Неданъчни приходи </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-0,2</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-0,1</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-0,6</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-0,3</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791845">
            <w:pPr>
              <w:spacing w:after="0"/>
              <w:ind w:firstLineChars="100" w:firstLine="180"/>
              <w:jc w:val="left"/>
              <w:rPr>
                <w:rFonts w:eastAsia="Times New Roman" w:cs="Times New Roman"/>
                <w:b/>
                <w:bCs/>
                <w:i/>
                <w:iCs/>
                <w:sz w:val="18"/>
                <w:szCs w:val="18"/>
              </w:rPr>
            </w:pPr>
            <w:r w:rsidRPr="007B3615">
              <w:rPr>
                <w:rFonts w:eastAsia="Times New Roman" w:cs="Times New Roman"/>
                <w:b/>
                <w:bCs/>
                <w:i/>
                <w:iCs/>
                <w:sz w:val="18"/>
                <w:szCs w:val="18"/>
              </w:rPr>
              <w:t>Други</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-0,2</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-0,1</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-0,6</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i/>
                <w:iCs/>
                <w:sz w:val="18"/>
                <w:szCs w:val="18"/>
              </w:rPr>
            </w:pPr>
            <w:r w:rsidRPr="007B3615">
              <w:rPr>
                <w:rFonts w:eastAsia="Times New Roman" w:cs="Times New Roman"/>
                <w:b/>
                <w:bCs/>
                <w:i/>
                <w:iCs/>
                <w:sz w:val="18"/>
                <w:szCs w:val="18"/>
              </w:rPr>
              <w:t>-0,3</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200" w:firstLine="360"/>
              <w:jc w:val="left"/>
              <w:rPr>
                <w:rFonts w:eastAsia="Times New Roman" w:cs="Times New Roman"/>
                <w:sz w:val="18"/>
                <w:szCs w:val="18"/>
              </w:rPr>
            </w:pPr>
            <w:r w:rsidRPr="007B3615">
              <w:rPr>
                <w:rFonts w:eastAsia="Times New Roman" w:cs="Times New Roman"/>
                <w:sz w:val="18"/>
                <w:szCs w:val="18"/>
              </w:rPr>
              <w:t>Приходи от такси</w:t>
            </w:r>
          </w:p>
        </w:tc>
        <w:tc>
          <w:tcPr>
            <w:tcW w:w="579"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44"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-0,2</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200" w:firstLine="360"/>
              <w:jc w:val="left"/>
              <w:rPr>
                <w:rFonts w:eastAsia="Times New Roman" w:cs="Times New Roman"/>
                <w:sz w:val="18"/>
                <w:szCs w:val="18"/>
              </w:rPr>
            </w:pPr>
            <w:r w:rsidRPr="007B3615">
              <w:rPr>
                <w:rFonts w:eastAsia="Times New Roman" w:cs="Times New Roman"/>
                <w:sz w:val="18"/>
                <w:szCs w:val="18"/>
              </w:rPr>
              <w:t>Приходи и доходи от собственост</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r>
      <w:tr w:rsidR="007B3615" w:rsidRPr="00A306AE" w:rsidTr="003D69EC">
        <w:trPr>
          <w:trHeight w:val="27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200" w:firstLine="360"/>
              <w:jc w:val="left"/>
              <w:rPr>
                <w:rFonts w:eastAsia="Times New Roman" w:cs="Times New Roman"/>
                <w:sz w:val="18"/>
                <w:szCs w:val="18"/>
              </w:rPr>
            </w:pPr>
            <w:r w:rsidRPr="007B3615">
              <w:rPr>
                <w:rFonts w:eastAsia="Times New Roman" w:cs="Times New Roman"/>
                <w:sz w:val="18"/>
                <w:szCs w:val="18"/>
              </w:rPr>
              <w:t>Глоби, санкции и наказателни лихви</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r>
      <w:tr w:rsidR="007B3615" w:rsidRPr="00A306AE" w:rsidTr="003D69EC">
        <w:trPr>
          <w:trHeight w:val="27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200" w:firstLine="360"/>
              <w:jc w:val="left"/>
              <w:rPr>
                <w:rFonts w:eastAsia="Times New Roman" w:cs="Times New Roman"/>
                <w:sz w:val="18"/>
                <w:szCs w:val="18"/>
              </w:rPr>
            </w:pPr>
            <w:r w:rsidRPr="007B3615">
              <w:rPr>
                <w:rFonts w:eastAsia="Times New Roman" w:cs="Times New Roman"/>
                <w:sz w:val="18"/>
                <w:szCs w:val="18"/>
              </w:rPr>
              <w:t>Постъпления от продажба на нефинансови активи</w:t>
            </w:r>
          </w:p>
        </w:tc>
        <w:tc>
          <w:tcPr>
            <w:tcW w:w="579"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-0,1</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200" w:firstLine="360"/>
              <w:jc w:val="left"/>
              <w:rPr>
                <w:rFonts w:eastAsia="Times New Roman" w:cs="Times New Roman"/>
                <w:sz w:val="18"/>
                <w:szCs w:val="18"/>
              </w:rPr>
            </w:pPr>
            <w:r w:rsidRPr="007B3615">
              <w:rPr>
                <w:rFonts w:eastAsia="Times New Roman" w:cs="Times New Roman"/>
                <w:sz w:val="18"/>
                <w:szCs w:val="18"/>
              </w:rPr>
              <w:t>Приходи от концесии</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88" w:type="pct"/>
            <w:tcBorders>
              <w:top w:val="nil"/>
              <w:left w:val="nil"/>
              <w:bottom w:val="nil"/>
              <w:right w:val="nil"/>
            </w:tcBorders>
            <w:shd w:val="clear" w:color="000000" w:fill="F2F2F2"/>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0,5</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-0,5</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r>
      <w:tr w:rsidR="007B3615" w:rsidRPr="00A306AE" w:rsidTr="003D69EC">
        <w:trPr>
          <w:trHeight w:val="240"/>
        </w:trPr>
        <w:tc>
          <w:tcPr>
            <w:tcW w:w="2424" w:type="pct"/>
            <w:tcBorders>
              <w:top w:val="nil"/>
              <w:left w:val="nil"/>
              <w:bottom w:val="nil"/>
              <w:right w:val="nil"/>
            </w:tcBorders>
            <w:shd w:val="clear" w:color="000000" w:fill="auto"/>
            <w:noWrap/>
            <w:vAlign w:val="center"/>
            <w:hideMark/>
          </w:tcPr>
          <w:p w:rsidR="007B3615" w:rsidRPr="007B3615" w:rsidRDefault="007B3615" w:rsidP="00D43AB4">
            <w:pPr>
              <w:spacing w:after="0"/>
              <w:ind w:firstLineChars="200" w:firstLine="360"/>
              <w:jc w:val="left"/>
              <w:rPr>
                <w:rFonts w:eastAsia="Times New Roman" w:cs="Times New Roman"/>
                <w:sz w:val="18"/>
                <w:szCs w:val="18"/>
              </w:rPr>
            </w:pPr>
            <w:r w:rsidRPr="007B3615">
              <w:rPr>
                <w:rFonts w:eastAsia="Times New Roman" w:cs="Times New Roman"/>
                <w:sz w:val="18"/>
                <w:szCs w:val="18"/>
              </w:rPr>
              <w:t>Други приходи</w:t>
            </w:r>
          </w:p>
        </w:tc>
        <w:tc>
          <w:tcPr>
            <w:tcW w:w="579"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-0,4</w:t>
            </w:r>
          </w:p>
        </w:tc>
        <w:tc>
          <w:tcPr>
            <w:tcW w:w="688"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-0,6</w:t>
            </w:r>
          </w:p>
        </w:tc>
        <w:tc>
          <w:tcPr>
            <w:tcW w:w="644"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c>
          <w:tcPr>
            <w:tcW w:w="665" w:type="pct"/>
            <w:tcBorders>
              <w:top w:val="nil"/>
              <w:left w:val="nil"/>
              <w:bottom w:val="nil"/>
              <w:right w:val="nil"/>
            </w:tcBorders>
            <w:shd w:val="clear" w:color="000000" w:fill="auto"/>
            <w:noWrap/>
            <w:vAlign w:val="center"/>
            <w:hideMark/>
          </w:tcPr>
          <w:p w:rsidR="007B3615" w:rsidRPr="007B3615" w:rsidRDefault="007B3615" w:rsidP="00D43AB4">
            <w:pPr>
              <w:spacing w:after="0"/>
              <w:jc w:val="right"/>
              <w:rPr>
                <w:rFonts w:eastAsia="Times New Roman" w:cs="Times New Roman"/>
                <w:sz w:val="18"/>
                <w:szCs w:val="18"/>
              </w:rPr>
            </w:pPr>
            <w:r w:rsidRPr="007B3615">
              <w:rPr>
                <w:rFonts w:eastAsia="Times New Roman" w:cs="Times New Roman"/>
                <w:sz w:val="18"/>
                <w:szCs w:val="18"/>
              </w:rPr>
              <w:t>0,0</w:t>
            </w:r>
          </w:p>
        </w:tc>
      </w:tr>
      <w:tr w:rsidR="007B3615" w:rsidRPr="00A306AE" w:rsidTr="003D69EC">
        <w:trPr>
          <w:trHeight w:val="240"/>
        </w:trPr>
        <w:tc>
          <w:tcPr>
            <w:tcW w:w="2424" w:type="pct"/>
            <w:tcBorders>
              <w:top w:val="nil"/>
              <w:left w:val="nil"/>
              <w:bottom w:val="single" w:sz="4" w:space="0" w:color="595959"/>
              <w:right w:val="nil"/>
            </w:tcBorders>
            <w:shd w:val="clear" w:color="000000" w:fill="auto"/>
            <w:noWrap/>
            <w:vAlign w:val="center"/>
            <w:hideMark/>
          </w:tcPr>
          <w:p w:rsidR="007B3615" w:rsidRPr="007B3615" w:rsidRDefault="007B3615" w:rsidP="00D43AB4">
            <w:pPr>
              <w:spacing w:after="0"/>
              <w:jc w:val="left"/>
              <w:rPr>
                <w:rFonts w:eastAsia="Times New Roman" w:cs="Times New Roman"/>
                <w:b/>
                <w:bCs/>
                <w:sz w:val="18"/>
                <w:szCs w:val="18"/>
              </w:rPr>
            </w:pPr>
            <w:r w:rsidRPr="007B3615">
              <w:rPr>
                <w:rFonts w:eastAsia="Times New Roman" w:cs="Times New Roman"/>
                <w:b/>
                <w:bCs/>
                <w:sz w:val="18"/>
                <w:szCs w:val="18"/>
              </w:rPr>
              <w:t xml:space="preserve"> Помощи и дарения</w:t>
            </w:r>
          </w:p>
        </w:tc>
        <w:tc>
          <w:tcPr>
            <w:tcW w:w="579" w:type="pct"/>
            <w:tcBorders>
              <w:top w:val="nil"/>
              <w:left w:val="nil"/>
              <w:bottom w:val="single" w:sz="4" w:space="0" w:color="595959"/>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-0,1</w:t>
            </w:r>
          </w:p>
        </w:tc>
        <w:tc>
          <w:tcPr>
            <w:tcW w:w="688" w:type="pct"/>
            <w:tcBorders>
              <w:top w:val="nil"/>
              <w:left w:val="nil"/>
              <w:bottom w:val="single" w:sz="4" w:space="0" w:color="595959"/>
              <w:right w:val="nil"/>
            </w:tcBorders>
            <w:shd w:val="clear" w:color="000000" w:fill="F2F2F2"/>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0,3</w:t>
            </w:r>
          </w:p>
        </w:tc>
        <w:tc>
          <w:tcPr>
            <w:tcW w:w="644" w:type="pct"/>
            <w:tcBorders>
              <w:top w:val="nil"/>
              <w:left w:val="nil"/>
              <w:bottom w:val="single" w:sz="4" w:space="0" w:color="595959"/>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-0,1</w:t>
            </w:r>
          </w:p>
        </w:tc>
        <w:tc>
          <w:tcPr>
            <w:tcW w:w="665" w:type="pct"/>
            <w:tcBorders>
              <w:top w:val="nil"/>
              <w:left w:val="nil"/>
              <w:bottom w:val="single" w:sz="4" w:space="0" w:color="595959"/>
              <w:right w:val="nil"/>
            </w:tcBorders>
            <w:shd w:val="clear" w:color="000000" w:fill="auto"/>
            <w:noWrap/>
            <w:vAlign w:val="center"/>
            <w:hideMark/>
          </w:tcPr>
          <w:p w:rsidR="007B3615" w:rsidRPr="007B3615" w:rsidRDefault="007B3615" w:rsidP="00D43AB4">
            <w:pPr>
              <w:spacing w:after="0"/>
              <w:jc w:val="right"/>
              <w:rPr>
                <w:rFonts w:eastAsia="Times New Roman" w:cs="Times New Roman"/>
                <w:b/>
                <w:bCs/>
                <w:sz w:val="18"/>
                <w:szCs w:val="18"/>
              </w:rPr>
            </w:pPr>
            <w:r w:rsidRPr="007B3615">
              <w:rPr>
                <w:rFonts w:eastAsia="Times New Roman" w:cs="Times New Roman"/>
                <w:b/>
                <w:bCs/>
                <w:sz w:val="18"/>
                <w:szCs w:val="18"/>
              </w:rPr>
              <w:t>-0,2</w:t>
            </w:r>
          </w:p>
        </w:tc>
      </w:tr>
    </w:tbl>
    <w:p w:rsidR="00C60E7D" w:rsidRPr="008C3AC2" w:rsidRDefault="00C60E7D" w:rsidP="00C60E7D">
      <w:pPr>
        <w:spacing w:before="240" w:after="120"/>
        <w:rPr>
          <w:rFonts w:eastAsia="Times New Roman" w:cs="Times New Roman"/>
        </w:rPr>
      </w:pPr>
      <w:r w:rsidRPr="008F1FBC">
        <w:rPr>
          <w:rFonts w:eastAsia="Times New Roman" w:cs="Times New Roman"/>
        </w:rPr>
        <w:t xml:space="preserve">В сравнение с разчетите на разходите от пролетната СБП в настоящата прогноза се наблюдава номинален ръст на </w:t>
      </w:r>
      <w:r w:rsidRPr="008C3AC2">
        <w:rPr>
          <w:rFonts w:eastAsia="Times New Roman" w:cs="Times New Roman"/>
        </w:rPr>
        <w:t xml:space="preserve">разходите за всяка от годините от прогнозния период, вариращ в същите граници, както при приходите - между </w:t>
      </w:r>
      <w:r w:rsidRPr="008C3AC2">
        <w:rPr>
          <w:rFonts w:eastAsia="Batang"/>
        </w:rPr>
        <w:t>0,3</w:t>
      </w:r>
      <w:r w:rsidRPr="008C3AC2">
        <w:rPr>
          <w:rFonts w:eastAsia="Times New Roman" w:cs="Times New Roman"/>
        </w:rPr>
        <w:t xml:space="preserve"> и </w:t>
      </w:r>
      <w:r w:rsidRPr="008C3AC2">
        <w:rPr>
          <w:rFonts w:eastAsia="Batang"/>
        </w:rPr>
        <w:t>1,1</w:t>
      </w:r>
      <w:r w:rsidRPr="008C3AC2">
        <w:rPr>
          <w:rFonts w:eastAsia="Times New Roman" w:cs="Times New Roman"/>
        </w:rPr>
        <w:t xml:space="preserve"> млрд. лв. Основният ръст е обусловен от новите политики и мерки за 2020 г., които не са с еднократен ефект и се пренасят и в следващите години и намират отражение в разходите за персонал и в социалните и здравноосигурителни плащания.</w:t>
      </w:r>
    </w:p>
    <w:p w:rsidR="00C60E7D" w:rsidRPr="008C3AC2" w:rsidRDefault="00C60E7D" w:rsidP="00C60E7D">
      <w:pPr>
        <w:spacing w:after="120"/>
        <w:rPr>
          <w:rFonts w:eastAsia="Times New Roman" w:cs="Times New Roman"/>
        </w:rPr>
      </w:pPr>
      <w:r w:rsidRPr="008C3AC2">
        <w:rPr>
          <w:rFonts w:eastAsia="Times New Roman" w:cs="Times New Roman"/>
          <w:b/>
        </w:rPr>
        <w:t>Разходите</w:t>
      </w:r>
      <w:r w:rsidRPr="008C3AC2">
        <w:rPr>
          <w:rFonts w:eastAsia="Times New Roman" w:cs="Times New Roman"/>
        </w:rPr>
        <w:t>, изразени като процент от БВП, за периода 20</w:t>
      </w:r>
      <w:r w:rsidRPr="008C3AC2">
        <w:rPr>
          <w:rFonts w:eastAsia="Times New Roman" w:cs="Times New Roman"/>
          <w:lang w:val="ru-RU"/>
        </w:rPr>
        <w:t>20</w:t>
      </w:r>
      <w:r w:rsidRPr="008C3AC2">
        <w:rPr>
          <w:rFonts w:eastAsia="Times New Roman" w:cs="Times New Roman"/>
        </w:rPr>
        <w:t>-202</w:t>
      </w:r>
      <w:r w:rsidRPr="008C3AC2">
        <w:rPr>
          <w:rFonts w:eastAsia="Times New Roman" w:cs="Times New Roman"/>
          <w:lang w:val="ru-RU"/>
        </w:rPr>
        <w:t>2</w:t>
      </w:r>
      <w:r w:rsidRPr="008C3AC2">
        <w:rPr>
          <w:rFonts w:eastAsia="Times New Roman" w:cs="Times New Roman"/>
        </w:rPr>
        <w:t xml:space="preserve"> г. също бележат спад от 36,9% до 35,0%, което представлява средногодишна консолидационна стъпка от около 0,9 пр.п. от БВП и имат основен консолидационен принос за постигане на целите за бюджетното салдо. В номинален размер разходите се увеличават, като от 46 8</w:t>
      </w:r>
      <w:r w:rsidRPr="008C3AC2">
        <w:rPr>
          <w:rFonts w:eastAsia="Times New Roman" w:cs="Times New Roman"/>
          <w:lang w:val="ru-RU"/>
        </w:rPr>
        <w:t>26,5</w:t>
      </w:r>
      <w:r w:rsidRPr="008C3AC2">
        <w:rPr>
          <w:rFonts w:eastAsia="Times New Roman" w:cs="Times New Roman"/>
        </w:rPr>
        <w:t xml:space="preserve"> млн. лв. за 2020 г. се очаква да достигнат 50 14</w:t>
      </w:r>
      <w:r w:rsidRPr="008C3AC2">
        <w:rPr>
          <w:rFonts w:eastAsia="Times New Roman" w:cs="Times New Roman"/>
          <w:lang w:val="ru-RU"/>
        </w:rPr>
        <w:t>2</w:t>
      </w:r>
      <w:r w:rsidRPr="008C3AC2">
        <w:rPr>
          <w:rFonts w:eastAsia="Times New Roman" w:cs="Times New Roman"/>
        </w:rPr>
        <w:t>,</w:t>
      </w:r>
      <w:r w:rsidRPr="008C3AC2">
        <w:rPr>
          <w:rFonts w:eastAsia="Times New Roman" w:cs="Times New Roman"/>
          <w:lang w:val="ru-RU"/>
        </w:rPr>
        <w:t>9</w:t>
      </w:r>
      <w:r w:rsidRPr="008C3AC2">
        <w:rPr>
          <w:rFonts w:eastAsia="Times New Roman" w:cs="Times New Roman"/>
        </w:rPr>
        <w:t xml:space="preserve"> млн. лв. през 2022 г. Ръстът за 2020 г. спрямо ревизираната оценка на програмата за 2019 г. (0,5 млрд. лв.), както беше споменато по-горе, се дължи на</w:t>
      </w:r>
      <w:r w:rsidRPr="008C3AC2">
        <w:rPr>
          <w:rFonts w:eastAsia="Times New Roman" w:cs="Times New Roman"/>
          <w:lang w:val="ru-RU"/>
        </w:rPr>
        <w:t xml:space="preserve"> </w:t>
      </w:r>
      <w:r w:rsidRPr="008C3AC2">
        <w:rPr>
          <w:rFonts w:eastAsia="Times New Roman" w:cs="Times New Roman"/>
        </w:rPr>
        <w:t>ръста на разходите за персонал и за социални и здравноосигурителни плащания, а спрямо очакваното изпълнение - и допълнителен ръст от 0,3 млрд. лв., дължащ се на изместване на разходи, нереализирани през 2019 г.</w:t>
      </w:r>
    </w:p>
    <w:p w:rsidR="008F1FBC" w:rsidRPr="008C3AC2" w:rsidRDefault="00C60E7D" w:rsidP="00C60E7D">
      <w:pPr>
        <w:spacing w:before="200" w:after="120"/>
        <w:rPr>
          <w:rFonts w:eastAsia="Batang"/>
        </w:rPr>
      </w:pPr>
      <w:r w:rsidRPr="008C3AC2">
        <w:rPr>
          <w:rFonts w:eastAsia="Batang"/>
        </w:rPr>
        <w:t xml:space="preserve">За 2020 г. разходите намаляват с </w:t>
      </w:r>
      <w:r w:rsidRPr="008C3AC2">
        <w:rPr>
          <w:rFonts w:eastAsia="Times New Roman" w:cs="Times New Roman"/>
        </w:rPr>
        <w:t>2,1</w:t>
      </w:r>
      <w:r w:rsidRPr="008C3AC2">
        <w:rPr>
          <w:rFonts w:eastAsia="Batang"/>
        </w:rPr>
        <w:t xml:space="preserve"> пр.п. спрямо </w:t>
      </w:r>
      <w:r w:rsidRPr="008C3AC2">
        <w:rPr>
          <w:rFonts w:eastAsia="Times New Roman" w:cs="Times New Roman"/>
        </w:rPr>
        <w:t xml:space="preserve">ревизираната оценка на програмата </w:t>
      </w:r>
      <w:r w:rsidRPr="008C3AC2">
        <w:rPr>
          <w:rFonts w:eastAsia="Batang"/>
        </w:rPr>
        <w:t xml:space="preserve">за 2019 г. основно във връзка с извършения през 2019 г. еднократен първоначален депозит за цялата сума по договорите, свързани с придобиването на нов тип боен самолет. За 2021 и 2022 г. разходите намаляват съответно с </w:t>
      </w:r>
      <w:r w:rsidRPr="008C3AC2">
        <w:rPr>
          <w:rFonts w:eastAsia="Times New Roman" w:cs="Times New Roman"/>
        </w:rPr>
        <w:t>1,1</w:t>
      </w:r>
      <w:r w:rsidRPr="008C3AC2">
        <w:rPr>
          <w:rFonts w:eastAsia="Batang"/>
        </w:rPr>
        <w:t xml:space="preserve"> пр.п. и с </w:t>
      </w:r>
      <w:r w:rsidRPr="008C3AC2">
        <w:rPr>
          <w:rFonts w:eastAsia="Times New Roman" w:cs="Times New Roman"/>
        </w:rPr>
        <w:t>0,9</w:t>
      </w:r>
      <w:r w:rsidRPr="008C3AC2">
        <w:rPr>
          <w:rFonts w:eastAsia="Batang"/>
        </w:rPr>
        <w:t xml:space="preserve"> пр.п.</w:t>
      </w:r>
      <w:r w:rsidR="008F1FBC" w:rsidRPr="008C3AC2">
        <w:rPr>
          <w:rFonts w:eastAsia="Batang"/>
        </w:rPr>
        <w:t xml:space="preserve"> </w:t>
      </w:r>
    </w:p>
    <w:p w:rsidR="003E1413" w:rsidRDefault="00F27608" w:rsidP="003E1413">
      <w:pPr>
        <w:pStyle w:val="Caption"/>
        <w:ind w:left="1134" w:hanging="1134"/>
      </w:pPr>
      <w:bookmarkStart w:id="325" w:name="_Toc23337518"/>
      <w:bookmarkStart w:id="326" w:name="_Toc464644974"/>
      <w:bookmarkStart w:id="327" w:name="_Toc464646358"/>
      <w:bookmarkStart w:id="328" w:name="_Toc464737636"/>
      <w:r w:rsidRPr="001D14B4">
        <w:t xml:space="preserve">Табл. </w:t>
      </w:r>
      <w:fldSimple w:instr=" STYLEREF 1 \s ">
        <w:r w:rsidR="0034195B">
          <w:rPr>
            <w:noProof/>
          </w:rPr>
          <w:t>II</w:t>
        </w:r>
      </w:fldSimple>
      <w:r w:rsidR="00927CD5" w:rsidRPr="001D14B4">
        <w:noBreakHyphen/>
      </w:r>
      <w:fldSimple w:instr=" SEQ Табл. \* ARABIC \s 1 ">
        <w:r w:rsidR="0034195B">
          <w:rPr>
            <w:noProof/>
          </w:rPr>
          <w:t>3</w:t>
        </w:r>
      </w:fldSimple>
      <w:r w:rsidR="00D14E8A" w:rsidRPr="001D14B4">
        <w:t>:</w:t>
      </w:r>
      <w:r w:rsidR="001977D8" w:rsidRPr="001D14B4">
        <w:tab/>
      </w:r>
      <w:r w:rsidR="00A306AE">
        <w:t xml:space="preserve"> </w:t>
      </w:r>
      <w:r w:rsidR="00083361" w:rsidRPr="001D14B4">
        <w:t>Принос на основните разходни категории в консолидацията на бюджетн</w:t>
      </w:r>
      <w:r w:rsidR="00393D2D">
        <w:t xml:space="preserve">ото салдо </w:t>
      </w:r>
      <w:r w:rsidR="00083361" w:rsidRPr="001D14B4">
        <w:t xml:space="preserve">по КФП за </w:t>
      </w:r>
      <w:r w:rsidR="00773D90" w:rsidRPr="00773D90">
        <w:t>2020</w:t>
      </w:r>
      <w:r w:rsidR="003E1413" w:rsidRPr="003E1413">
        <w:t xml:space="preserve"> </w:t>
      </w:r>
      <w:r w:rsidR="003E1413">
        <w:t>г. и поддържане на бюджетната позиция до 2022 г.</w:t>
      </w:r>
      <w:bookmarkEnd w:id="325"/>
    </w:p>
    <w:tbl>
      <w:tblPr>
        <w:tblW w:w="5000" w:type="pct"/>
        <w:tblCellMar>
          <w:left w:w="70" w:type="dxa"/>
          <w:right w:w="70" w:type="dxa"/>
        </w:tblCellMar>
        <w:tblLook w:val="04A0" w:firstRow="1" w:lastRow="0" w:firstColumn="1" w:lastColumn="0" w:noHBand="0" w:noVBand="1"/>
      </w:tblPr>
      <w:tblGrid>
        <w:gridCol w:w="5142"/>
        <w:gridCol w:w="982"/>
        <w:gridCol w:w="982"/>
        <w:gridCol w:w="982"/>
        <w:gridCol w:w="982"/>
      </w:tblGrid>
      <w:tr w:rsidR="00A306AE" w:rsidRPr="00A306AE" w:rsidTr="00D142D3">
        <w:trPr>
          <w:trHeight w:val="255"/>
          <w:tblHeader/>
        </w:trPr>
        <w:tc>
          <w:tcPr>
            <w:tcW w:w="2772" w:type="pct"/>
            <w:vMerge w:val="restart"/>
            <w:tcBorders>
              <w:top w:val="single" w:sz="4" w:space="0" w:color="595959"/>
              <w:left w:val="nil"/>
              <w:bottom w:val="single" w:sz="4" w:space="0" w:color="000000"/>
              <w:right w:val="nil"/>
            </w:tcBorders>
            <w:shd w:val="clear" w:color="000000" w:fill="auto"/>
            <w:vAlign w:val="center"/>
            <w:hideMark/>
          </w:tcPr>
          <w:bookmarkEnd w:id="326"/>
          <w:bookmarkEnd w:id="327"/>
          <w:bookmarkEnd w:id="328"/>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Показатели</w:t>
            </w:r>
            <w:r w:rsidRPr="00A306AE">
              <w:rPr>
                <w:rFonts w:eastAsia="Times New Roman" w:cs="Times New Roman"/>
                <w:b/>
                <w:bCs/>
                <w:sz w:val="18"/>
                <w:szCs w:val="18"/>
              </w:rPr>
              <w:br/>
              <w:t xml:space="preserve">в % от БВП </w:t>
            </w:r>
          </w:p>
        </w:tc>
        <w:tc>
          <w:tcPr>
            <w:tcW w:w="555" w:type="pct"/>
            <w:vMerge w:val="restart"/>
            <w:tcBorders>
              <w:top w:val="single" w:sz="4" w:space="0" w:color="595959"/>
              <w:left w:val="nil"/>
              <w:bottom w:val="single" w:sz="4" w:space="0" w:color="000000"/>
              <w:right w:val="nil"/>
            </w:tcBorders>
            <w:shd w:val="clear" w:color="000000" w:fill="auto"/>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Изменение 2020/2019 Ревиз. оценка пр.п.</w:t>
            </w:r>
          </w:p>
        </w:tc>
        <w:tc>
          <w:tcPr>
            <w:tcW w:w="564" w:type="pct"/>
            <w:vMerge w:val="restart"/>
            <w:tcBorders>
              <w:top w:val="single" w:sz="4" w:space="0" w:color="595959"/>
              <w:left w:val="nil"/>
              <w:bottom w:val="single" w:sz="4" w:space="0" w:color="000000"/>
              <w:right w:val="nil"/>
            </w:tcBorders>
            <w:shd w:val="clear" w:color="000000" w:fill="auto"/>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Изменение 2020/2019 очакв. изп.  пр.п.</w:t>
            </w:r>
          </w:p>
        </w:tc>
        <w:tc>
          <w:tcPr>
            <w:tcW w:w="555" w:type="pct"/>
            <w:vMerge w:val="restart"/>
            <w:tcBorders>
              <w:top w:val="single" w:sz="4" w:space="0" w:color="595959"/>
              <w:left w:val="nil"/>
              <w:bottom w:val="single" w:sz="4" w:space="0" w:color="000000"/>
              <w:right w:val="nil"/>
            </w:tcBorders>
            <w:shd w:val="clear" w:color="000000" w:fill="auto"/>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Изменение 2021/2020 пр.п.</w:t>
            </w:r>
          </w:p>
        </w:tc>
        <w:tc>
          <w:tcPr>
            <w:tcW w:w="555" w:type="pct"/>
            <w:vMerge w:val="restart"/>
            <w:tcBorders>
              <w:top w:val="single" w:sz="4" w:space="0" w:color="595959"/>
              <w:left w:val="nil"/>
              <w:bottom w:val="single" w:sz="4" w:space="0" w:color="000000"/>
              <w:right w:val="nil"/>
            </w:tcBorders>
            <w:shd w:val="clear" w:color="000000" w:fill="auto"/>
            <w:hideMark/>
          </w:tcPr>
          <w:p w:rsidR="00A306AE" w:rsidRPr="00A306AE" w:rsidRDefault="00A306AE" w:rsidP="00A306AE">
            <w:pPr>
              <w:spacing w:after="0"/>
              <w:jc w:val="center"/>
              <w:rPr>
                <w:rFonts w:eastAsia="Times New Roman" w:cs="Times New Roman"/>
                <w:b/>
                <w:bCs/>
                <w:sz w:val="18"/>
                <w:szCs w:val="18"/>
              </w:rPr>
            </w:pPr>
            <w:r w:rsidRPr="00A306AE">
              <w:rPr>
                <w:rFonts w:eastAsia="Times New Roman" w:cs="Times New Roman"/>
                <w:b/>
                <w:bCs/>
                <w:sz w:val="18"/>
                <w:szCs w:val="18"/>
              </w:rPr>
              <w:t>Изменение 2022/2021 пр.п.</w:t>
            </w:r>
          </w:p>
        </w:tc>
      </w:tr>
      <w:tr w:rsidR="00A306AE" w:rsidRPr="00A306AE" w:rsidTr="00D142D3">
        <w:trPr>
          <w:trHeight w:val="1110"/>
          <w:tblHeader/>
        </w:trPr>
        <w:tc>
          <w:tcPr>
            <w:tcW w:w="2772"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c>
          <w:tcPr>
            <w:tcW w:w="555"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c>
          <w:tcPr>
            <w:tcW w:w="564"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c>
          <w:tcPr>
            <w:tcW w:w="555"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c>
          <w:tcPr>
            <w:tcW w:w="555" w:type="pct"/>
            <w:vMerge/>
            <w:tcBorders>
              <w:top w:val="single" w:sz="4" w:space="0" w:color="595959"/>
              <w:left w:val="nil"/>
              <w:bottom w:val="single" w:sz="4" w:space="0" w:color="000000"/>
              <w:right w:val="nil"/>
            </w:tcBorders>
            <w:vAlign w:val="center"/>
            <w:hideMark/>
          </w:tcPr>
          <w:p w:rsidR="00A306AE" w:rsidRPr="00A306AE" w:rsidRDefault="00A306AE" w:rsidP="00A306AE">
            <w:pPr>
              <w:spacing w:after="0"/>
              <w:jc w:val="left"/>
              <w:rPr>
                <w:rFonts w:eastAsia="Times New Roman" w:cs="Times New Roman"/>
                <w:b/>
                <w:bCs/>
                <w:sz w:val="18"/>
                <w:szCs w:val="18"/>
              </w:rPr>
            </w:pP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jc w:val="left"/>
              <w:rPr>
                <w:rFonts w:eastAsia="Times New Roman" w:cs="Times New Roman"/>
                <w:b/>
                <w:bCs/>
                <w:sz w:val="18"/>
                <w:szCs w:val="18"/>
              </w:rPr>
            </w:pPr>
            <w:r w:rsidRPr="00CA49D3">
              <w:rPr>
                <w:rFonts w:eastAsia="Times New Roman" w:cs="Times New Roman"/>
                <w:b/>
                <w:bCs/>
                <w:sz w:val="18"/>
                <w:szCs w:val="18"/>
              </w:rPr>
              <w:t>Общо разходи и Вноска в бюджета на ЕС</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-2,1</w:t>
            </w:r>
          </w:p>
        </w:tc>
        <w:tc>
          <w:tcPr>
            <w:tcW w:w="564"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-1,8</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-1,1</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-0,9</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791845">
            <w:pPr>
              <w:spacing w:after="0"/>
              <w:ind w:firstLineChars="100" w:firstLine="180"/>
              <w:jc w:val="left"/>
              <w:rPr>
                <w:rFonts w:eastAsia="Times New Roman" w:cs="Times New Roman"/>
                <w:b/>
                <w:bCs/>
                <w:i/>
                <w:iCs/>
                <w:sz w:val="18"/>
                <w:szCs w:val="18"/>
              </w:rPr>
            </w:pPr>
            <w:r w:rsidRPr="00CA49D3">
              <w:rPr>
                <w:rFonts w:eastAsia="Times New Roman" w:cs="Times New Roman"/>
                <w:b/>
                <w:bCs/>
                <w:i/>
                <w:iCs/>
                <w:sz w:val="18"/>
                <w:szCs w:val="18"/>
              </w:rPr>
              <w:t>Текущи нелихвени разходи</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-0,2</w:t>
            </w:r>
          </w:p>
        </w:tc>
        <w:tc>
          <w:tcPr>
            <w:tcW w:w="564"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-0,3</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-0,6</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-0,9</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ind w:firstLineChars="200" w:firstLine="360"/>
              <w:jc w:val="left"/>
              <w:rPr>
                <w:rFonts w:eastAsia="Times New Roman" w:cs="Times New Roman"/>
                <w:sz w:val="18"/>
                <w:szCs w:val="18"/>
              </w:rPr>
            </w:pPr>
            <w:r w:rsidRPr="00CA49D3">
              <w:rPr>
                <w:rFonts w:eastAsia="Times New Roman" w:cs="Times New Roman"/>
                <w:sz w:val="18"/>
                <w:szCs w:val="18"/>
              </w:rPr>
              <w:t>Персонал</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0,4</w:t>
            </w:r>
          </w:p>
        </w:tc>
        <w:tc>
          <w:tcPr>
            <w:tcW w:w="564"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0,2</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-0,5</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ind w:firstLineChars="200" w:firstLine="360"/>
              <w:jc w:val="left"/>
              <w:rPr>
                <w:rFonts w:eastAsia="Times New Roman" w:cs="Times New Roman"/>
                <w:sz w:val="18"/>
                <w:szCs w:val="18"/>
              </w:rPr>
            </w:pPr>
            <w:r w:rsidRPr="00CA49D3">
              <w:rPr>
                <w:rFonts w:eastAsia="Times New Roman" w:cs="Times New Roman"/>
                <w:sz w:val="18"/>
                <w:szCs w:val="18"/>
              </w:rPr>
              <w:t>Издръжка - общо</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-0,2</w:t>
            </w:r>
          </w:p>
        </w:tc>
        <w:tc>
          <w:tcPr>
            <w:tcW w:w="564"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-0,2</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ind w:firstLineChars="200" w:firstLine="360"/>
              <w:jc w:val="left"/>
              <w:rPr>
                <w:rFonts w:eastAsia="Times New Roman" w:cs="Times New Roman"/>
                <w:sz w:val="18"/>
                <w:szCs w:val="18"/>
              </w:rPr>
            </w:pPr>
            <w:r w:rsidRPr="00CA49D3">
              <w:rPr>
                <w:rFonts w:eastAsia="Times New Roman" w:cs="Times New Roman"/>
                <w:sz w:val="18"/>
                <w:szCs w:val="18"/>
              </w:rPr>
              <w:t xml:space="preserve">Стипендии </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64"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ind w:firstLineChars="200" w:firstLine="360"/>
              <w:jc w:val="left"/>
              <w:rPr>
                <w:rFonts w:eastAsia="Times New Roman" w:cs="Times New Roman"/>
                <w:sz w:val="18"/>
                <w:szCs w:val="18"/>
              </w:rPr>
            </w:pPr>
            <w:r w:rsidRPr="00CA49D3">
              <w:rPr>
                <w:rFonts w:eastAsia="Times New Roman" w:cs="Times New Roman"/>
                <w:sz w:val="18"/>
                <w:szCs w:val="18"/>
              </w:rPr>
              <w:t>Субсидии и други текущи трансфери - общо</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-0,4</w:t>
            </w:r>
          </w:p>
        </w:tc>
        <w:tc>
          <w:tcPr>
            <w:tcW w:w="564"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-0,4</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-0,2</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-0,2</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ind w:firstLineChars="200" w:firstLine="360"/>
              <w:jc w:val="left"/>
              <w:rPr>
                <w:rFonts w:eastAsia="Times New Roman" w:cs="Times New Roman"/>
                <w:sz w:val="18"/>
                <w:szCs w:val="18"/>
              </w:rPr>
            </w:pPr>
            <w:r w:rsidRPr="00CA49D3">
              <w:rPr>
                <w:rFonts w:eastAsia="Times New Roman" w:cs="Times New Roman"/>
                <w:sz w:val="18"/>
                <w:szCs w:val="18"/>
              </w:rPr>
              <w:t xml:space="preserve">Социални и здравноосигурителни плащания </w:t>
            </w:r>
          </w:p>
        </w:tc>
        <w:tc>
          <w:tcPr>
            <w:tcW w:w="555" w:type="pct"/>
            <w:tcBorders>
              <w:top w:val="nil"/>
              <w:left w:val="nil"/>
              <w:bottom w:val="nil"/>
              <w:right w:val="nil"/>
            </w:tcBorders>
            <w:shd w:val="clear" w:color="auto"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64" w:type="pct"/>
            <w:tcBorders>
              <w:top w:val="nil"/>
              <w:left w:val="nil"/>
              <w:bottom w:val="nil"/>
              <w:right w:val="nil"/>
            </w:tcBorders>
            <w:shd w:val="clear" w:color="auto"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ind w:firstLineChars="300" w:firstLine="540"/>
              <w:jc w:val="left"/>
              <w:rPr>
                <w:rFonts w:eastAsia="Times New Roman" w:cs="Times New Roman"/>
                <w:sz w:val="18"/>
                <w:szCs w:val="18"/>
              </w:rPr>
            </w:pPr>
            <w:r w:rsidRPr="00CA49D3">
              <w:rPr>
                <w:rFonts w:eastAsia="Times New Roman" w:cs="Times New Roman"/>
                <w:sz w:val="18"/>
                <w:szCs w:val="18"/>
              </w:rPr>
              <w:t>Пенсии</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c>
          <w:tcPr>
            <w:tcW w:w="564" w:type="pct"/>
            <w:tcBorders>
              <w:top w:val="nil"/>
              <w:left w:val="nil"/>
              <w:bottom w:val="nil"/>
              <w:right w:val="nil"/>
            </w:tcBorders>
            <w:shd w:val="clear" w:color="auto"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ind w:firstLineChars="300" w:firstLine="540"/>
              <w:jc w:val="left"/>
              <w:rPr>
                <w:rFonts w:eastAsia="Times New Roman" w:cs="Times New Roman"/>
                <w:sz w:val="18"/>
                <w:szCs w:val="18"/>
              </w:rPr>
            </w:pPr>
            <w:r w:rsidRPr="00CA49D3">
              <w:rPr>
                <w:rFonts w:eastAsia="Times New Roman" w:cs="Times New Roman"/>
                <w:sz w:val="18"/>
                <w:szCs w:val="18"/>
              </w:rPr>
              <w:t>Текущи трансфери, обезщетения и помощи за домакинствата</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64"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c>
          <w:tcPr>
            <w:tcW w:w="555" w:type="pct"/>
            <w:tcBorders>
              <w:top w:val="nil"/>
              <w:left w:val="nil"/>
              <w:bottom w:val="nil"/>
              <w:right w:val="nil"/>
            </w:tcBorders>
            <w:shd w:val="clear" w:color="000000" w:fill="F2F2F2"/>
            <w:noWrap/>
            <w:vAlign w:val="bottom"/>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D43AB4">
            <w:pPr>
              <w:spacing w:after="0"/>
              <w:ind w:firstLineChars="300" w:firstLine="540"/>
              <w:jc w:val="left"/>
              <w:rPr>
                <w:rFonts w:eastAsia="Times New Roman" w:cs="Times New Roman"/>
                <w:sz w:val="18"/>
                <w:szCs w:val="18"/>
              </w:rPr>
            </w:pPr>
            <w:r w:rsidRPr="00CA49D3">
              <w:rPr>
                <w:rFonts w:eastAsia="Times New Roman" w:cs="Times New Roman"/>
                <w:sz w:val="18"/>
                <w:szCs w:val="18"/>
              </w:rPr>
              <w:t>Здравноосигурителни плащания</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64"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0,1</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sz w:val="18"/>
                <w:szCs w:val="18"/>
              </w:rPr>
            </w:pPr>
            <w:r w:rsidRPr="00CA49D3">
              <w:rPr>
                <w:rFonts w:eastAsia="Times New Roman" w:cs="Times New Roman"/>
                <w:sz w:val="18"/>
                <w:szCs w:val="18"/>
              </w:rPr>
              <w:t>0,0</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791845">
            <w:pPr>
              <w:spacing w:after="0"/>
              <w:ind w:firstLineChars="100" w:firstLine="180"/>
              <w:jc w:val="left"/>
              <w:rPr>
                <w:rFonts w:eastAsia="Times New Roman" w:cs="Times New Roman"/>
                <w:b/>
                <w:bCs/>
                <w:i/>
                <w:iCs/>
                <w:sz w:val="18"/>
                <w:szCs w:val="18"/>
              </w:rPr>
            </w:pPr>
            <w:r w:rsidRPr="00CA49D3">
              <w:rPr>
                <w:rFonts w:eastAsia="Times New Roman" w:cs="Times New Roman"/>
                <w:b/>
                <w:bCs/>
                <w:i/>
                <w:iCs/>
                <w:sz w:val="18"/>
                <w:szCs w:val="18"/>
              </w:rPr>
              <w:t>Капиталови разходи</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-1,9</w:t>
            </w:r>
          </w:p>
        </w:tc>
        <w:tc>
          <w:tcPr>
            <w:tcW w:w="564"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-1,5</w:t>
            </w:r>
          </w:p>
        </w:tc>
        <w:tc>
          <w:tcPr>
            <w:tcW w:w="555" w:type="pct"/>
            <w:tcBorders>
              <w:top w:val="nil"/>
              <w:left w:val="nil"/>
              <w:bottom w:val="nil"/>
              <w:right w:val="nil"/>
            </w:tcBorders>
            <w:shd w:val="clear" w:color="000000" w:fill="F2F2F2"/>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-0,5</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791845">
            <w:pPr>
              <w:spacing w:after="0"/>
              <w:ind w:firstLineChars="100" w:firstLine="180"/>
              <w:jc w:val="left"/>
              <w:rPr>
                <w:rFonts w:eastAsia="Times New Roman" w:cs="Times New Roman"/>
                <w:b/>
                <w:bCs/>
                <w:i/>
                <w:iCs/>
                <w:sz w:val="18"/>
                <w:szCs w:val="18"/>
              </w:rPr>
            </w:pPr>
            <w:r w:rsidRPr="00CA49D3">
              <w:rPr>
                <w:rFonts w:eastAsia="Times New Roman" w:cs="Times New Roman"/>
                <w:b/>
                <w:bCs/>
                <w:i/>
                <w:iCs/>
                <w:sz w:val="18"/>
                <w:szCs w:val="18"/>
              </w:rPr>
              <w:t>Резерв за непредвидени и/или неотложни разходи</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c>
          <w:tcPr>
            <w:tcW w:w="564"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791845">
            <w:pPr>
              <w:spacing w:after="0"/>
              <w:ind w:firstLineChars="100" w:firstLine="180"/>
              <w:jc w:val="left"/>
              <w:rPr>
                <w:rFonts w:eastAsia="Times New Roman" w:cs="Times New Roman"/>
                <w:b/>
                <w:bCs/>
                <w:i/>
                <w:iCs/>
                <w:sz w:val="18"/>
                <w:szCs w:val="18"/>
              </w:rPr>
            </w:pPr>
            <w:r w:rsidRPr="00CA49D3">
              <w:rPr>
                <w:rFonts w:eastAsia="Times New Roman" w:cs="Times New Roman"/>
                <w:b/>
                <w:bCs/>
                <w:i/>
                <w:iCs/>
                <w:sz w:val="18"/>
                <w:szCs w:val="18"/>
              </w:rPr>
              <w:t>Лихви</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c>
          <w:tcPr>
            <w:tcW w:w="564"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i/>
                <w:iCs/>
                <w:sz w:val="18"/>
                <w:szCs w:val="18"/>
              </w:rPr>
            </w:pPr>
            <w:r w:rsidRPr="00CA49D3">
              <w:rPr>
                <w:rFonts w:eastAsia="Times New Roman" w:cs="Times New Roman"/>
                <w:b/>
                <w:bCs/>
                <w:i/>
                <w:iCs/>
                <w:sz w:val="18"/>
                <w:szCs w:val="18"/>
              </w:rPr>
              <w:t>0,0</w:t>
            </w:r>
          </w:p>
        </w:tc>
      </w:tr>
      <w:tr w:rsidR="00CE00E5" w:rsidRPr="00A306AE" w:rsidTr="00D142D3">
        <w:trPr>
          <w:trHeight w:val="240"/>
        </w:trPr>
        <w:tc>
          <w:tcPr>
            <w:tcW w:w="2772" w:type="pct"/>
            <w:tcBorders>
              <w:top w:val="nil"/>
              <w:left w:val="nil"/>
              <w:bottom w:val="nil"/>
              <w:right w:val="nil"/>
            </w:tcBorders>
            <w:shd w:val="clear" w:color="000000" w:fill="auto"/>
            <w:noWrap/>
            <w:vAlign w:val="center"/>
            <w:hideMark/>
          </w:tcPr>
          <w:p w:rsidR="00CE00E5" w:rsidRPr="00CA49D3" w:rsidRDefault="00CE00E5" w:rsidP="00791845">
            <w:pPr>
              <w:spacing w:after="0"/>
              <w:ind w:firstLineChars="100" w:firstLine="180"/>
              <w:jc w:val="left"/>
              <w:rPr>
                <w:rFonts w:eastAsia="Times New Roman" w:cs="Times New Roman"/>
                <w:b/>
                <w:bCs/>
                <w:sz w:val="18"/>
                <w:szCs w:val="18"/>
              </w:rPr>
            </w:pPr>
            <w:r w:rsidRPr="00CA49D3">
              <w:rPr>
                <w:rFonts w:eastAsia="Times New Roman" w:cs="Times New Roman"/>
                <w:b/>
                <w:bCs/>
                <w:sz w:val="18"/>
                <w:szCs w:val="18"/>
              </w:rPr>
              <w:t>Вноска в бюджета на ЕС</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0,0</w:t>
            </w:r>
          </w:p>
        </w:tc>
        <w:tc>
          <w:tcPr>
            <w:tcW w:w="564"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0,0</w:t>
            </w:r>
          </w:p>
        </w:tc>
        <w:tc>
          <w:tcPr>
            <w:tcW w:w="555" w:type="pct"/>
            <w:tcBorders>
              <w:top w:val="nil"/>
              <w:left w:val="nil"/>
              <w:bottom w:val="nil"/>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0,0</w:t>
            </w:r>
          </w:p>
        </w:tc>
      </w:tr>
      <w:tr w:rsidR="00CE00E5" w:rsidRPr="00A306AE" w:rsidTr="00D142D3">
        <w:trPr>
          <w:trHeight w:val="240"/>
        </w:trPr>
        <w:tc>
          <w:tcPr>
            <w:tcW w:w="2772" w:type="pct"/>
            <w:tcBorders>
              <w:top w:val="nil"/>
              <w:left w:val="nil"/>
              <w:bottom w:val="single" w:sz="4" w:space="0" w:color="595959"/>
              <w:right w:val="nil"/>
            </w:tcBorders>
            <w:shd w:val="clear" w:color="000000" w:fill="auto"/>
            <w:noWrap/>
            <w:vAlign w:val="center"/>
            <w:hideMark/>
          </w:tcPr>
          <w:p w:rsidR="00CE00E5" w:rsidRPr="00CA49D3" w:rsidRDefault="00CE00E5" w:rsidP="00D43AB4">
            <w:pPr>
              <w:spacing w:after="0"/>
              <w:jc w:val="left"/>
              <w:rPr>
                <w:rFonts w:eastAsia="Times New Roman" w:cs="Times New Roman"/>
                <w:b/>
                <w:bCs/>
                <w:sz w:val="18"/>
                <w:szCs w:val="18"/>
              </w:rPr>
            </w:pPr>
            <w:r w:rsidRPr="00CA49D3">
              <w:rPr>
                <w:rFonts w:eastAsia="Times New Roman" w:cs="Times New Roman"/>
                <w:b/>
                <w:bCs/>
                <w:sz w:val="18"/>
                <w:szCs w:val="18"/>
              </w:rPr>
              <w:t>Бюджетно салдо (+/-)</w:t>
            </w:r>
          </w:p>
        </w:tc>
        <w:tc>
          <w:tcPr>
            <w:tcW w:w="555" w:type="pct"/>
            <w:tcBorders>
              <w:top w:val="nil"/>
              <w:left w:val="nil"/>
              <w:bottom w:val="single" w:sz="4" w:space="0" w:color="595959"/>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2,1</w:t>
            </w:r>
          </w:p>
        </w:tc>
        <w:tc>
          <w:tcPr>
            <w:tcW w:w="564" w:type="pct"/>
            <w:tcBorders>
              <w:top w:val="nil"/>
              <w:left w:val="nil"/>
              <w:bottom w:val="single" w:sz="4" w:space="0" w:color="595959"/>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2,0</w:t>
            </w:r>
          </w:p>
        </w:tc>
        <w:tc>
          <w:tcPr>
            <w:tcW w:w="555" w:type="pct"/>
            <w:tcBorders>
              <w:top w:val="nil"/>
              <w:left w:val="nil"/>
              <w:bottom w:val="single" w:sz="4" w:space="0" w:color="595959"/>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0,0</w:t>
            </w:r>
          </w:p>
        </w:tc>
        <w:tc>
          <w:tcPr>
            <w:tcW w:w="555" w:type="pct"/>
            <w:tcBorders>
              <w:top w:val="nil"/>
              <w:left w:val="nil"/>
              <w:bottom w:val="single" w:sz="4" w:space="0" w:color="595959"/>
              <w:right w:val="nil"/>
            </w:tcBorders>
            <w:shd w:val="clear" w:color="000000" w:fill="auto"/>
            <w:noWrap/>
            <w:vAlign w:val="center"/>
            <w:hideMark/>
          </w:tcPr>
          <w:p w:rsidR="00CE00E5" w:rsidRPr="00CA49D3" w:rsidRDefault="00CE00E5" w:rsidP="00D43AB4">
            <w:pPr>
              <w:spacing w:after="0"/>
              <w:jc w:val="right"/>
              <w:rPr>
                <w:rFonts w:eastAsia="Times New Roman" w:cs="Times New Roman"/>
                <w:b/>
                <w:bCs/>
                <w:sz w:val="18"/>
                <w:szCs w:val="18"/>
              </w:rPr>
            </w:pPr>
            <w:r w:rsidRPr="00CA49D3">
              <w:rPr>
                <w:rFonts w:eastAsia="Times New Roman" w:cs="Times New Roman"/>
                <w:b/>
                <w:bCs/>
                <w:sz w:val="18"/>
                <w:szCs w:val="18"/>
              </w:rPr>
              <w:t>0,0</w:t>
            </w:r>
          </w:p>
        </w:tc>
      </w:tr>
    </w:tbl>
    <w:p w:rsidR="00A306AE" w:rsidRDefault="00A306AE" w:rsidP="00A306AE"/>
    <w:p w:rsidR="00454210" w:rsidRPr="00B422C2" w:rsidRDefault="00454210" w:rsidP="008E6840">
      <w:pPr>
        <w:spacing w:before="120" w:after="0"/>
        <w:rPr>
          <w:rFonts w:eastAsia="Times New Roman" w:cs="Times New Roman"/>
        </w:rPr>
      </w:pPr>
      <w:r w:rsidRPr="00B422C2">
        <w:rPr>
          <w:rFonts w:eastAsia="Times New Roman" w:cs="Times New Roman"/>
        </w:rPr>
        <w:t>При тези прогнози балансиран бюджет ще се осъществи на ниво на преразпределение на публичните разходи, значително по-ниско от максимално допустимото ниво на разходите по КФП от 40 на сто от БВП съгласно Закона за публичните финанси.</w:t>
      </w:r>
    </w:p>
    <w:p w:rsidR="00B6189F" w:rsidRDefault="00B6189F" w:rsidP="00B6189F">
      <w:pPr>
        <w:spacing w:before="120" w:after="0"/>
        <w:rPr>
          <w:rFonts w:eastAsia="Times New Roman" w:cs="Times New Roman"/>
        </w:rPr>
      </w:pPr>
      <w:r w:rsidRPr="004B73D5">
        <w:rPr>
          <w:rFonts w:eastAsia="Times New Roman" w:cs="Times New Roman"/>
        </w:rPr>
        <w:t>Оценките за намаляващи рискове и стабилни перспективи за развитието на публичните финанси в България, които се отчитат в прегледите и прогнозите на Европейската комисия, на международните финансови институции и рейтинговите агенции, са ориентир за реалистичността на целите на фискалната политика и на бюджетните прогнози.</w:t>
      </w:r>
    </w:p>
    <w:p w:rsidR="00070767" w:rsidRDefault="000A1AEE" w:rsidP="008E6840">
      <w:pPr>
        <w:spacing w:before="120" w:after="0"/>
        <w:rPr>
          <w:rFonts w:eastAsia="Times New Roman" w:cs="Times New Roman"/>
        </w:rPr>
      </w:pPr>
      <w:r w:rsidRPr="007B3696">
        <w:rPr>
          <w:rFonts w:eastAsia="Times New Roman" w:cs="Times New Roman"/>
        </w:rPr>
        <w:t>Фискалната политика е един от основните критерии за оценка на състоянието и перспективите за развитие на икономиката, който формира кредитния рейтинг</w:t>
      </w:r>
      <w:r w:rsidR="00584F34">
        <w:rPr>
          <w:rFonts w:eastAsia="Times New Roman" w:cs="Times New Roman"/>
        </w:rPr>
        <w:t xml:space="preserve"> на страната</w:t>
      </w:r>
      <w:r w:rsidRPr="007B3696">
        <w:rPr>
          <w:rFonts w:eastAsia="Times New Roman" w:cs="Times New Roman"/>
        </w:rPr>
        <w:t>.</w:t>
      </w:r>
      <w:r w:rsidR="007B3696">
        <w:rPr>
          <w:rFonts w:eastAsia="Times New Roman" w:cs="Times New Roman"/>
        </w:rPr>
        <w:t xml:space="preserve"> </w:t>
      </w:r>
      <w:r w:rsidR="00070767" w:rsidRPr="00BF4C43">
        <w:rPr>
          <w:rFonts w:eastAsia="Times New Roman" w:cs="Times New Roman"/>
        </w:rPr>
        <w:t xml:space="preserve">Международната рейтингова агенция Fitch Ratings през м. август 2019 г. </w:t>
      </w:r>
      <w:r w:rsidR="00070767" w:rsidRPr="003A4B80">
        <w:rPr>
          <w:rFonts w:eastAsia="Times New Roman" w:cs="Times New Roman"/>
        </w:rPr>
        <w:t xml:space="preserve">потвърди дългосрочния кредитен рейтинг на България </w:t>
      </w:r>
      <w:r w:rsidR="00893B54">
        <w:rPr>
          <w:rFonts w:eastAsia="Times New Roman" w:cs="Times New Roman"/>
        </w:rPr>
        <w:t>в чуждестранна и местна валута „BBB“</w:t>
      </w:r>
      <w:r w:rsidR="00070767" w:rsidRPr="003A4B80">
        <w:rPr>
          <w:rFonts w:eastAsia="Times New Roman" w:cs="Times New Roman"/>
        </w:rPr>
        <w:t>. Перспективата остава положителна.</w:t>
      </w:r>
    </w:p>
    <w:p w:rsidR="00B6189F" w:rsidRDefault="00B6189F" w:rsidP="00B6189F">
      <w:pPr>
        <w:spacing w:before="120" w:after="0"/>
        <w:rPr>
          <w:rFonts w:eastAsia="Times New Roman" w:cs="Times New Roman"/>
        </w:rPr>
      </w:pPr>
      <w:r w:rsidRPr="00E27172">
        <w:rPr>
          <w:rFonts w:eastAsia="Times New Roman" w:cs="Times New Roman"/>
        </w:rPr>
        <w:t>Оценката за кредитния рейтинг е подкрепена от стабилните публични финанси</w:t>
      </w:r>
      <w:r>
        <w:rPr>
          <w:rFonts w:eastAsia="Times New Roman" w:cs="Times New Roman"/>
        </w:rPr>
        <w:t xml:space="preserve"> и външната позиция на страната</w:t>
      </w:r>
      <w:r w:rsidRPr="00E27172">
        <w:rPr>
          <w:rFonts w:eastAsia="Times New Roman" w:cs="Times New Roman"/>
        </w:rPr>
        <w:t xml:space="preserve">, благонадеждната политика за постепенно присъединяване към членство в еврозоната и перспективите за устойчив растеж. Агенцията счита, че българските власти и европейските партньори следват заявената готовност за финализиране на процеса по присъединяване към </w:t>
      </w:r>
      <w:r w:rsidR="009669F3" w:rsidRPr="009669F3">
        <w:rPr>
          <w:rFonts w:eastAsia="Times New Roman" w:cs="Times New Roman"/>
        </w:rPr>
        <w:t>Валутен механизъм II (ВМ II)</w:t>
      </w:r>
      <w:r w:rsidRPr="00E27172">
        <w:rPr>
          <w:rFonts w:eastAsia="Times New Roman" w:cs="Times New Roman"/>
        </w:rPr>
        <w:t xml:space="preserve"> и банковия съюз. Според анализаторите това ще се случи до края на 2019 г., а приемането на еврото - най-рано през </w:t>
      </w:r>
      <w:r w:rsidR="00A937A1">
        <w:rPr>
          <w:rFonts w:eastAsia="Times New Roman" w:cs="Times New Roman"/>
        </w:rPr>
        <w:t xml:space="preserve">м. </w:t>
      </w:r>
      <w:r w:rsidRPr="00E27172">
        <w:rPr>
          <w:rFonts w:eastAsia="Times New Roman" w:cs="Times New Roman"/>
        </w:rPr>
        <w:t>януари 2023 г.</w:t>
      </w:r>
    </w:p>
    <w:p w:rsidR="00070767" w:rsidRDefault="00547C8E" w:rsidP="008E6840">
      <w:pPr>
        <w:spacing w:before="120" w:after="0"/>
      </w:pPr>
      <w:r>
        <w:rPr>
          <w:bCs/>
        </w:rPr>
        <w:t>Standard &amp; Poor`</w:t>
      </w:r>
      <w:r w:rsidR="004B73D5" w:rsidRPr="004B73D5">
        <w:rPr>
          <w:bCs/>
        </w:rPr>
        <w:t>s</w:t>
      </w:r>
      <w:r w:rsidR="00070767" w:rsidRPr="00E27172">
        <w:t xml:space="preserve"> Global Ratings</w:t>
      </w:r>
      <w:r w:rsidR="00070767">
        <w:t xml:space="preserve"> през м. </w:t>
      </w:r>
      <w:r w:rsidR="00924EB2">
        <w:t>май</w:t>
      </w:r>
      <w:r w:rsidR="00070767">
        <w:t xml:space="preserve"> 2019 г. потвърди дългосрочния и краткосрочния кредитен рейтинг на България </w:t>
      </w:r>
      <w:r w:rsidR="00893B54">
        <w:t>в чуждестранна и местна валута „BBB-/A-3“</w:t>
      </w:r>
      <w:r w:rsidR="00070767">
        <w:t>. Перспективата пред рейтинга остава положителна.</w:t>
      </w:r>
    </w:p>
    <w:p w:rsidR="00070767" w:rsidRDefault="00070767" w:rsidP="008E6840">
      <w:pPr>
        <w:spacing w:before="120" w:after="0"/>
      </w:pPr>
      <w:r>
        <w:t xml:space="preserve">Според обобщената оценка на </w:t>
      </w:r>
      <w:r w:rsidR="00547C8E">
        <w:rPr>
          <w:bCs/>
        </w:rPr>
        <w:t>Standard &amp; Poor`</w:t>
      </w:r>
      <w:r w:rsidR="00547C8E" w:rsidRPr="00547C8E">
        <w:rPr>
          <w:bCs/>
        </w:rPr>
        <w:t>s</w:t>
      </w:r>
      <w:r>
        <w:t xml:space="preserve"> фискалната и външната позиция на страната остават силни, а очакванията за икономическия растеж се оценяват като благоприятни, независимо от структурните ограничения в дългосрочен план. Положителната перспектива пред рейтинга отразява значителната вероятност България да се присъ</w:t>
      </w:r>
      <w:r w:rsidR="009669F3">
        <w:t>едини към ВМ II</w:t>
      </w:r>
      <w:r>
        <w:t xml:space="preserve"> през следващите 12 месеца.</w:t>
      </w:r>
    </w:p>
    <w:p w:rsidR="00070767" w:rsidRDefault="00070767" w:rsidP="008E6840">
      <w:pPr>
        <w:spacing w:before="120" w:after="0"/>
      </w:pPr>
      <w:r w:rsidRPr="00E27172">
        <w:t>Moody’s Investors Service</w:t>
      </w:r>
      <w:r>
        <w:t xml:space="preserve"> през м. август 2019 г. повиши перспективата на кредитния рейтинг на България на положителна от стабилна и потвърди дългосрочния рейтинг на страната в чуждестранна и местна валута </w:t>
      </w:r>
      <w:r w:rsidR="00893B54">
        <w:t>„</w:t>
      </w:r>
      <w:r>
        <w:t>Baa2</w:t>
      </w:r>
      <w:r w:rsidR="00893B54">
        <w:t>“</w:t>
      </w:r>
      <w:r>
        <w:t>.</w:t>
      </w:r>
    </w:p>
    <w:p w:rsidR="00070767" w:rsidRPr="00E27172" w:rsidRDefault="00070767" w:rsidP="008E6840">
      <w:pPr>
        <w:spacing w:before="120" w:after="0"/>
        <w:rPr>
          <w:rFonts w:eastAsia="Times New Roman" w:cs="Times New Roman"/>
        </w:rPr>
      </w:pPr>
      <w:r>
        <w:t xml:space="preserve">Положителната промяна отразява силната фискална позиция и благоприятните перспективи пред икономическия растеж. Запазването на кредитния рейтинг на </w:t>
      </w:r>
      <w:r w:rsidR="00893B54">
        <w:t>„</w:t>
      </w:r>
      <w:r>
        <w:t>Baa2</w:t>
      </w:r>
      <w:r w:rsidR="00893B54">
        <w:t>“</w:t>
      </w:r>
      <w:r>
        <w:t xml:space="preserve"> отчита баланса между положителното фискално и макроикономическо развитие и заявената готовност за присъединяване към еврозоната и съществуващите предизвикателства пред страната, произтичащи от негативните демографски тенденции и наличието на слабости в някои области на политиката.</w:t>
      </w:r>
    </w:p>
    <w:p w:rsidR="00F90810" w:rsidRPr="00E27172" w:rsidRDefault="00F90810" w:rsidP="00F90810">
      <w:pPr>
        <w:spacing w:before="120" w:after="0"/>
        <w:rPr>
          <w:rFonts w:eastAsia="Times New Roman" w:cs="Times New Roman"/>
        </w:rPr>
      </w:pPr>
      <w:r>
        <w:t xml:space="preserve">Европейската комисия също наблюдава и оценява параметрите на бюджетната рамка на България, в т.ч. и на фискалната политика. </w:t>
      </w:r>
      <w:r w:rsidRPr="00E27172">
        <w:rPr>
          <w:rFonts w:eastAsia="Times New Roman" w:cs="Times New Roman"/>
        </w:rPr>
        <w:t xml:space="preserve">Данните </w:t>
      </w:r>
      <w:r>
        <w:rPr>
          <w:rFonts w:eastAsia="Times New Roman" w:cs="Times New Roman"/>
        </w:rPr>
        <w:t xml:space="preserve">за България в периода 2018-2020 </w:t>
      </w:r>
      <w:r w:rsidRPr="00E27172">
        <w:rPr>
          <w:rFonts w:eastAsia="Times New Roman" w:cs="Times New Roman"/>
        </w:rPr>
        <w:t xml:space="preserve">в публикуваната </w:t>
      </w:r>
      <w:r>
        <w:rPr>
          <w:rFonts w:eastAsia="Times New Roman" w:cs="Times New Roman"/>
        </w:rPr>
        <w:t>през</w:t>
      </w:r>
      <w:r w:rsidRPr="00E27172">
        <w:rPr>
          <w:rFonts w:eastAsia="Times New Roman" w:cs="Times New Roman"/>
        </w:rPr>
        <w:t xml:space="preserve"> месец май тази </w:t>
      </w:r>
      <w:r w:rsidRPr="00D142D3">
        <w:rPr>
          <w:rFonts w:eastAsia="Times New Roman" w:cs="Times New Roman"/>
        </w:rPr>
        <w:t>година Пролетна икономическа прогноза на ЕК</w:t>
      </w:r>
      <w:r w:rsidRPr="00E27172">
        <w:rPr>
          <w:rFonts w:eastAsia="Times New Roman" w:cs="Times New Roman"/>
        </w:rPr>
        <w:t xml:space="preserve"> показват положителни перспективи в бюджетен и макроикономически аспект, като се посочва, че рисковете са балансирани и са най-вече по линия на външната среда. </w:t>
      </w:r>
      <w:r w:rsidRPr="00ED2C13">
        <w:rPr>
          <w:rFonts w:eastAsia="Times New Roman" w:cs="Times New Roman"/>
        </w:rPr>
        <w:t>Прогнозира се балансът на сектор „Държавно управление“ да остане положителен, а публичният дълг да продължи да намалява.</w:t>
      </w:r>
    </w:p>
    <w:p w:rsidR="00070767" w:rsidRPr="00E27172" w:rsidRDefault="00070767" w:rsidP="008E6840">
      <w:pPr>
        <w:spacing w:before="120" w:after="0"/>
        <w:rPr>
          <w:rFonts w:eastAsia="Times New Roman" w:cs="Times New Roman"/>
        </w:rPr>
      </w:pPr>
      <w:r w:rsidRPr="007B3696">
        <w:rPr>
          <w:rFonts w:eastAsia="Times New Roman" w:cs="Times New Roman"/>
        </w:rPr>
        <w:t>В Препоръката на Съвета от 5 юни 2019 г. относно Националната програма за реформи на България за 2019 г. и съдържаща становище на Съвета относно Конвергентната програма на България за 2019 г.</w:t>
      </w:r>
      <w:r w:rsidRPr="007B3696" w:rsidDel="00C4277F">
        <w:rPr>
          <w:rFonts w:eastAsia="Times New Roman" w:cs="Times New Roman"/>
        </w:rPr>
        <w:t xml:space="preserve"> </w:t>
      </w:r>
      <w:r w:rsidRPr="007B3696">
        <w:rPr>
          <w:rFonts w:eastAsia="Times New Roman" w:cs="Times New Roman"/>
        </w:rPr>
        <w:t xml:space="preserve">се отчита, че правителството е предприело стъпки за подобряване на ефективността на публичните разходи. Отчита се, че Световната банка е завършила прегледа на разходите, който е покрил определен брой публични институции (министерства и общини), </w:t>
      </w:r>
      <w:r w:rsidR="00F37D59" w:rsidRPr="007B3696">
        <w:rPr>
          <w:rFonts w:eastAsia="Times New Roman" w:cs="Times New Roman"/>
        </w:rPr>
        <w:t>в т.ч. и две тематични пилотни проучвания и е изготвила наръчник за бъдещи прегледи от страна на правителството.</w:t>
      </w:r>
      <w:r w:rsidRPr="007B3696">
        <w:rPr>
          <w:rFonts w:eastAsia="Times New Roman" w:cs="Times New Roman"/>
        </w:rPr>
        <w:t xml:space="preserve"> Като факт с важно значение е отбелязано въвеждането на ключови индикатори в средносрочната бюджетна прогноза, които оценяват въздействието на разходите в различни области на политики и подпомагат оценката и планирането на бюджета. Очаква се тези </w:t>
      </w:r>
      <w:r w:rsidRPr="00E27172">
        <w:rPr>
          <w:rFonts w:eastAsia="Times New Roman" w:cs="Times New Roman"/>
        </w:rPr>
        <w:t>инициативи да повишат ефективността и прозрачността на публичните разходи.</w:t>
      </w:r>
    </w:p>
    <w:p w:rsidR="00070767" w:rsidRDefault="00070767" w:rsidP="008E6840">
      <w:pPr>
        <w:spacing w:before="120" w:after="0"/>
        <w:rPr>
          <w:rFonts w:eastAsia="Times New Roman" w:cs="Times New Roman"/>
        </w:rPr>
      </w:pPr>
      <w:r w:rsidRPr="00E27172">
        <w:rPr>
          <w:rFonts w:eastAsia="Times New Roman" w:cs="Times New Roman"/>
        </w:rPr>
        <w:t>По отношение на фискалната политика становището на Съвета е, че тя напълно съответства на изискванията на Пакта за стабилност и растеж.</w:t>
      </w:r>
    </w:p>
    <w:p w:rsidR="00083361" w:rsidRPr="00F27608" w:rsidRDefault="00083361" w:rsidP="00DE2BDB">
      <w:pPr>
        <w:pStyle w:val="Heading2"/>
      </w:pPr>
      <w:bookmarkStart w:id="329" w:name="_Toc464224779"/>
      <w:bookmarkStart w:id="330" w:name="_Toc464225429"/>
      <w:bookmarkStart w:id="331" w:name="_Toc464458976"/>
      <w:bookmarkStart w:id="332" w:name="_Toc464459722"/>
      <w:bookmarkStart w:id="333" w:name="_Toc464460677"/>
      <w:bookmarkStart w:id="334" w:name="_Toc464463076"/>
      <w:bookmarkStart w:id="335" w:name="_Toc464464903"/>
      <w:bookmarkStart w:id="336" w:name="_Toc464465409"/>
      <w:bookmarkStart w:id="337" w:name="_Toc464465597"/>
      <w:bookmarkStart w:id="338" w:name="_Toc464466422"/>
      <w:bookmarkStart w:id="339" w:name="_Toc464466666"/>
      <w:bookmarkStart w:id="340" w:name="_Toc464644975"/>
      <w:bookmarkStart w:id="341" w:name="_Toc465205507"/>
      <w:bookmarkStart w:id="342" w:name="_Toc23337474"/>
      <w:r w:rsidRPr="00F27608">
        <w:t>ОСНОВНИ ФИСК</w:t>
      </w:r>
      <w:r w:rsidR="002A37C0">
        <w:t>АЛНИ ПАРАМЕТРИ ЗА ПЕРИОДА 2020</w:t>
      </w:r>
      <w:r w:rsidRPr="00F27608">
        <w:t>-20</w:t>
      </w:r>
      <w:r w:rsidR="002A37C0">
        <w:t>22</w:t>
      </w:r>
      <w:r w:rsidR="00AA3035">
        <w:t> г.</w:t>
      </w:r>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p w:rsidR="00070767" w:rsidRDefault="00070767" w:rsidP="00C70181">
      <w:pPr>
        <w:spacing w:after="120"/>
        <w:rPr>
          <w:rFonts w:eastAsia="Batang"/>
        </w:rPr>
      </w:pPr>
      <w:bookmarkStart w:id="343" w:name="_Toc464644976"/>
      <w:bookmarkStart w:id="344" w:name="_Toc464646359"/>
      <w:bookmarkStart w:id="345" w:name="_Toc464737637"/>
      <w:r w:rsidRPr="00070767">
        <w:rPr>
          <w:rFonts w:eastAsia="Batang"/>
        </w:rPr>
        <w:t>Средносрочната перспектива се обвързва със заложения приоритет за запазване на стабилността на публичните финанси и се изразява в следване на вече определените фискални цели за постигане на балансирана бюджетна позиция през 2020 г. и поддържането й в средносрочен хоризонт.</w:t>
      </w:r>
    </w:p>
    <w:p w:rsidR="00454210" w:rsidRPr="00D142D3" w:rsidRDefault="00454210" w:rsidP="00C70181">
      <w:pPr>
        <w:spacing w:after="120"/>
        <w:rPr>
          <w:rFonts w:eastAsia="Batang"/>
        </w:rPr>
      </w:pPr>
      <w:r w:rsidRPr="007B3696">
        <w:rPr>
          <w:rFonts w:eastAsia="Batang"/>
        </w:rPr>
        <w:t>База за разработването на актуализираната прогноза за периода 20</w:t>
      </w:r>
      <w:r w:rsidR="00860F41" w:rsidRPr="007B3696">
        <w:rPr>
          <w:rFonts w:eastAsia="Batang"/>
        </w:rPr>
        <w:t>20-</w:t>
      </w:r>
      <w:r w:rsidRPr="007B3696">
        <w:rPr>
          <w:rFonts w:eastAsia="Batang"/>
        </w:rPr>
        <w:t>202</w:t>
      </w:r>
      <w:r w:rsidR="00860F41" w:rsidRPr="007B3696">
        <w:rPr>
          <w:rFonts w:eastAsia="Batang"/>
        </w:rPr>
        <w:t>2</w:t>
      </w:r>
      <w:r w:rsidRPr="007B3696">
        <w:rPr>
          <w:rFonts w:eastAsia="Batang"/>
        </w:rPr>
        <w:t xml:space="preserve"> г. е очакваното изпълнение на бюджета за 201</w:t>
      </w:r>
      <w:r w:rsidR="00860F41" w:rsidRPr="007B3696">
        <w:rPr>
          <w:rFonts w:eastAsia="Batang"/>
        </w:rPr>
        <w:t>9</w:t>
      </w:r>
      <w:r w:rsidRPr="007B3696">
        <w:rPr>
          <w:rFonts w:eastAsia="Batang"/>
        </w:rPr>
        <w:t xml:space="preserve"> г., което показва, че се очертава постигане на </w:t>
      </w:r>
      <w:r w:rsidR="00860F41" w:rsidRPr="007B3696">
        <w:rPr>
          <w:rFonts w:eastAsia="Batang"/>
        </w:rPr>
        <w:t xml:space="preserve">заложената </w:t>
      </w:r>
      <w:r w:rsidR="00860F41" w:rsidRPr="00D142D3">
        <w:rPr>
          <w:rFonts w:eastAsia="Batang"/>
        </w:rPr>
        <w:t xml:space="preserve">цел по </w:t>
      </w:r>
      <w:r w:rsidR="00233689" w:rsidRPr="00D142D3">
        <w:rPr>
          <w:rFonts w:eastAsia="Batang"/>
        </w:rPr>
        <w:t>ревизираната оценка на програмата</w:t>
      </w:r>
      <w:r w:rsidR="00860F41" w:rsidRPr="00D142D3">
        <w:rPr>
          <w:rFonts w:eastAsia="Batang"/>
        </w:rPr>
        <w:t xml:space="preserve"> за 2019 г.</w:t>
      </w:r>
      <w:r w:rsidRPr="00D142D3">
        <w:rPr>
          <w:rFonts w:eastAsia="Batang"/>
        </w:rPr>
        <w:t xml:space="preserve"> -</w:t>
      </w:r>
      <w:r w:rsidR="00860F41" w:rsidRPr="00D142D3">
        <w:rPr>
          <w:rFonts w:eastAsia="Batang"/>
        </w:rPr>
        <w:t xml:space="preserve"> </w:t>
      </w:r>
      <w:r w:rsidRPr="00D142D3">
        <w:rPr>
          <w:rFonts w:eastAsia="Batang"/>
        </w:rPr>
        <w:t xml:space="preserve">дефицитът по КФП да не надвиши </w:t>
      </w:r>
      <w:r w:rsidR="00860F41" w:rsidRPr="00D142D3">
        <w:rPr>
          <w:rFonts w:eastAsia="Batang"/>
        </w:rPr>
        <w:t>2</w:t>
      </w:r>
      <w:r w:rsidRPr="00D142D3">
        <w:rPr>
          <w:rFonts w:eastAsia="Batang"/>
        </w:rPr>
        <w:t>,</w:t>
      </w:r>
      <w:r w:rsidR="00860F41" w:rsidRPr="00D142D3">
        <w:rPr>
          <w:rFonts w:eastAsia="Batang"/>
        </w:rPr>
        <w:t>1</w:t>
      </w:r>
      <w:r w:rsidRPr="00D142D3">
        <w:rPr>
          <w:rFonts w:eastAsia="Batang"/>
        </w:rPr>
        <w:t xml:space="preserve"> на сто от прогнозния БВП.</w:t>
      </w:r>
    </w:p>
    <w:p w:rsidR="00454210" w:rsidRDefault="00454210" w:rsidP="00C70181">
      <w:pPr>
        <w:spacing w:after="120"/>
        <w:rPr>
          <w:rFonts w:eastAsia="Batang"/>
        </w:rPr>
      </w:pPr>
      <w:r w:rsidRPr="00D142D3">
        <w:rPr>
          <w:rFonts w:eastAsia="Batang"/>
        </w:rPr>
        <w:t>Включените в АСБП за периода 20</w:t>
      </w:r>
      <w:r w:rsidR="000C1FF2" w:rsidRPr="00D142D3">
        <w:rPr>
          <w:rFonts w:eastAsia="Batang"/>
        </w:rPr>
        <w:t>20</w:t>
      </w:r>
      <w:r w:rsidRPr="00D142D3">
        <w:rPr>
          <w:rFonts w:eastAsia="Batang"/>
        </w:rPr>
        <w:t>-202</w:t>
      </w:r>
      <w:r w:rsidR="000C1FF2" w:rsidRPr="00D142D3">
        <w:rPr>
          <w:rFonts w:eastAsia="Batang"/>
        </w:rPr>
        <w:t>2</w:t>
      </w:r>
      <w:r w:rsidRPr="00D142D3">
        <w:rPr>
          <w:rFonts w:eastAsia="Batang"/>
        </w:rPr>
        <w:t> г. разчети за приходите, помощите и даренията по КФП са в диапазона 3</w:t>
      </w:r>
      <w:r w:rsidR="000C1FF2" w:rsidRPr="00D142D3">
        <w:rPr>
          <w:rFonts w:eastAsia="Batang"/>
        </w:rPr>
        <w:t>6,9</w:t>
      </w:r>
      <w:r w:rsidRPr="00D142D3">
        <w:rPr>
          <w:rFonts w:eastAsia="Batang"/>
        </w:rPr>
        <w:t>-35,</w:t>
      </w:r>
      <w:r w:rsidR="000C1FF2" w:rsidRPr="00D142D3">
        <w:rPr>
          <w:rFonts w:eastAsia="Batang"/>
        </w:rPr>
        <w:t>0</w:t>
      </w:r>
      <w:r w:rsidRPr="00D142D3">
        <w:rPr>
          <w:rFonts w:eastAsia="Batang"/>
        </w:rPr>
        <w:t xml:space="preserve">% от БВП. Съобразено със заложените цели </w:t>
      </w:r>
      <w:r w:rsidRPr="000C1FF2">
        <w:rPr>
          <w:rFonts w:eastAsia="Batang"/>
        </w:rPr>
        <w:t xml:space="preserve">за </w:t>
      </w:r>
      <w:r w:rsidR="00584F34">
        <w:rPr>
          <w:rFonts w:eastAsia="Batang"/>
        </w:rPr>
        <w:t xml:space="preserve">балансирано </w:t>
      </w:r>
      <w:r w:rsidRPr="000C1FF2">
        <w:rPr>
          <w:rFonts w:eastAsia="Batang"/>
        </w:rPr>
        <w:t>бюджетно салдо по КФП</w:t>
      </w:r>
      <w:r w:rsidR="000C1FF2" w:rsidRPr="000C1FF2">
        <w:rPr>
          <w:rFonts w:eastAsia="Batang"/>
        </w:rPr>
        <w:t xml:space="preserve"> за 2020-</w:t>
      </w:r>
      <w:r w:rsidRPr="000C1FF2">
        <w:rPr>
          <w:rFonts w:eastAsia="Batang"/>
        </w:rPr>
        <w:t>202</w:t>
      </w:r>
      <w:r w:rsidR="000C1FF2" w:rsidRPr="000C1FF2">
        <w:rPr>
          <w:rFonts w:eastAsia="Batang"/>
        </w:rPr>
        <w:t>2</w:t>
      </w:r>
      <w:r w:rsidRPr="000C1FF2">
        <w:rPr>
          <w:rFonts w:eastAsia="Batang"/>
        </w:rPr>
        <w:t> г. финансиране</w:t>
      </w:r>
      <w:r w:rsidR="00584F34">
        <w:rPr>
          <w:rFonts w:eastAsia="Batang"/>
        </w:rPr>
        <w:t>то</w:t>
      </w:r>
      <w:r w:rsidRPr="000C1FF2">
        <w:rPr>
          <w:rFonts w:eastAsia="Batang"/>
        </w:rPr>
        <w:t xml:space="preserve"> на публични</w:t>
      </w:r>
      <w:r w:rsidR="00584F34">
        <w:rPr>
          <w:rFonts w:eastAsia="Batang"/>
        </w:rPr>
        <w:t>те</w:t>
      </w:r>
      <w:r w:rsidRPr="000C1FF2">
        <w:rPr>
          <w:rFonts w:eastAsia="Batang"/>
        </w:rPr>
        <w:t xml:space="preserve"> разходни полити</w:t>
      </w:r>
      <w:r w:rsidR="000C1FF2" w:rsidRPr="000C1FF2">
        <w:rPr>
          <w:rFonts w:eastAsia="Batang"/>
        </w:rPr>
        <w:t xml:space="preserve">ки </w:t>
      </w:r>
      <w:r w:rsidR="00584F34">
        <w:rPr>
          <w:rFonts w:eastAsia="Batang"/>
        </w:rPr>
        <w:t>ще е в същия диапазон.</w:t>
      </w:r>
      <w:r w:rsidRPr="00476D70">
        <w:rPr>
          <w:rFonts w:eastAsia="Batang"/>
        </w:rPr>
        <w:t xml:space="preserve"> </w:t>
      </w:r>
    </w:p>
    <w:p w:rsidR="00083361" w:rsidRDefault="00F27608" w:rsidP="00764D03">
      <w:pPr>
        <w:pStyle w:val="Caption"/>
        <w:spacing w:before="240"/>
        <w:rPr>
          <w:color w:val="000000"/>
        </w:rPr>
      </w:pPr>
      <w:bookmarkStart w:id="346" w:name="_Toc23337519"/>
      <w:r w:rsidRPr="001D14B4">
        <w:t xml:space="preserve">Табл. </w:t>
      </w:r>
      <w:fldSimple w:instr=" STYLEREF 1 \s ">
        <w:r w:rsidR="0034195B">
          <w:rPr>
            <w:noProof/>
          </w:rPr>
          <w:t>II</w:t>
        </w:r>
      </w:fldSimple>
      <w:r w:rsidR="00927CD5" w:rsidRPr="001D14B4">
        <w:noBreakHyphen/>
      </w:r>
      <w:fldSimple w:instr=" SEQ Табл. \* ARABIC \s 1 ">
        <w:r w:rsidR="0034195B">
          <w:rPr>
            <w:noProof/>
          </w:rPr>
          <w:t>4</w:t>
        </w:r>
      </w:fldSimple>
      <w:r w:rsidRPr="001D14B4">
        <w:t>:</w:t>
      </w:r>
      <w:r w:rsidRPr="001D14B4">
        <w:tab/>
      </w:r>
      <w:r w:rsidR="00083361" w:rsidRPr="001D14B4">
        <w:rPr>
          <w:color w:val="000000"/>
        </w:rPr>
        <w:t xml:space="preserve">Основни показатели по </w:t>
      </w:r>
      <w:r w:rsidR="00083361" w:rsidRPr="00773D90">
        <w:rPr>
          <w:color w:val="000000"/>
        </w:rPr>
        <w:t>КФП (201</w:t>
      </w:r>
      <w:r w:rsidR="00773D90" w:rsidRPr="00773D90">
        <w:rPr>
          <w:color w:val="000000"/>
        </w:rPr>
        <w:t>9</w:t>
      </w:r>
      <w:r w:rsidR="00F9365D" w:rsidRPr="00773D90">
        <w:rPr>
          <w:color w:val="000000"/>
        </w:rPr>
        <w:t>-20</w:t>
      </w:r>
      <w:r w:rsidR="00F9365D" w:rsidRPr="00773D90">
        <w:rPr>
          <w:color w:val="000000"/>
          <w:lang w:val="ru-RU"/>
        </w:rPr>
        <w:t>2</w:t>
      </w:r>
      <w:r w:rsidR="00773D90" w:rsidRPr="00773D90">
        <w:rPr>
          <w:color w:val="000000"/>
          <w:lang w:val="ru-RU"/>
        </w:rPr>
        <w:t>2</w:t>
      </w:r>
      <w:r w:rsidR="00AA3035" w:rsidRPr="00773D90">
        <w:rPr>
          <w:color w:val="000000"/>
        </w:rPr>
        <w:t> г.</w:t>
      </w:r>
      <w:r w:rsidR="00083361" w:rsidRPr="00773D90">
        <w:rPr>
          <w:color w:val="000000"/>
        </w:rPr>
        <w:t>)</w:t>
      </w:r>
      <w:bookmarkEnd w:id="343"/>
      <w:bookmarkEnd w:id="344"/>
      <w:bookmarkEnd w:id="345"/>
      <w:bookmarkEnd w:id="346"/>
      <w:r w:rsidR="00083361" w:rsidRPr="00616C7A">
        <w:rPr>
          <w:color w:val="000000"/>
        </w:rPr>
        <w:t xml:space="preserve"> </w:t>
      </w:r>
    </w:p>
    <w:tbl>
      <w:tblPr>
        <w:tblW w:w="5000" w:type="pct"/>
        <w:tblCellMar>
          <w:left w:w="70" w:type="dxa"/>
          <w:right w:w="70" w:type="dxa"/>
        </w:tblCellMar>
        <w:tblLook w:val="04A0" w:firstRow="1" w:lastRow="0" w:firstColumn="1" w:lastColumn="0" w:noHBand="0" w:noVBand="1"/>
      </w:tblPr>
      <w:tblGrid>
        <w:gridCol w:w="3779"/>
        <w:gridCol w:w="1208"/>
        <w:gridCol w:w="1203"/>
        <w:gridCol w:w="892"/>
        <w:gridCol w:w="994"/>
        <w:gridCol w:w="994"/>
      </w:tblGrid>
      <w:tr w:rsidR="00B063BA" w:rsidRPr="00B063BA" w:rsidTr="003154BF">
        <w:trPr>
          <w:trHeight w:val="230"/>
        </w:trPr>
        <w:tc>
          <w:tcPr>
            <w:tcW w:w="2114" w:type="pct"/>
            <w:vMerge w:val="restart"/>
            <w:tcBorders>
              <w:top w:val="single" w:sz="4" w:space="0" w:color="595959"/>
              <w:left w:val="nil"/>
              <w:bottom w:val="single" w:sz="4" w:space="0" w:color="000000"/>
              <w:right w:val="nil"/>
            </w:tcBorders>
            <w:shd w:val="clear" w:color="auto" w:fill="auto"/>
            <w:vAlign w:val="center"/>
            <w:hideMark/>
          </w:tcPr>
          <w:p w:rsidR="00B063BA" w:rsidRPr="00B063BA" w:rsidRDefault="0088122E" w:rsidP="00B063BA">
            <w:pPr>
              <w:spacing w:after="0"/>
              <w:jc w:val="center"/>
              <w:rPr>
                <w:rFonts w:eastAsia="Times New Roman" w:cs="Times New Roman"/>
                <w:b/>
                <w:bCs/>
                <w:sz w:val="20"/>
                <w:szCs w:val="20"/>
              </w:rPr>
            </w:pPr>
            <w:r>
              <w:rPr>
                <w:rFonts w:eastAsia="Times New Roman" w:cs="Times New Roman"/>
                <w:b/>
                <w:bCs/>
                <w:sz w:val="20"/>
                <w:szCs w:val="20"/>
              </w:rPr>
              <w:t>КФП</w:t>
            </w:r>
            <w:r w:rsidR="00B063BA" w:rsidRPr="00B063BA">
              <w:rPr>
                <w:rFonts w:eastAsia="Times New Roman" w:cs="Times New Roman"/>
                <w:b/>
                <w:bCs/>
                <w:sz w:val="20"/>
                <w:szCs w:val="20"/>
              </w:rPr>
              <w:br/>
              <w:t>млн. лв.</w:t>
            </w:r>
          </w:p>
        </w:tc>
        <w:tc>
          <w:tcPr>
            <w:tcW w:w="698" w:type="pct"/>
            <w:vMerge w:val="restart"/>
            <w:tcBorders>
              <w:top w:val="single" w:sz="4" w:space="0" w:color="595959"/>
              <w:left w:val="nil"/>
              <w:bottom w:val="single" w:sz="4" w:space="0" w:color="000000"/>
              <w:right w:val="nil"/>
            </w:tcBorders>
            <w:shd w:val="clear" w:color="auto" w:fill="auto"/>
            <w:hideMark/>
          </w:tcPr>
          <w:p w:rsidR="00B063BA" w:rsidRPr="00B063BA" w:rsidRDefault="00B063BA" w:rsidP="00B063BA">
            <w:pPr>
              <w:spacing w:after="0"/>
              <w:jc w:val="center"/>
              <w:rPr>
                <w:rFonts w:eastAsia="Times New Roman" w:cs="Times New Roman"/>
                <w:b/>
                <w:bCs/>
                <w:sz w:val="20"/>
                <w:szCs w:val="20"/>
              </w:rPr>
            </w:pPr>
            <w:r w:rsidRPr="00B063BA">
              <w:rPr>
                <w:rFonts w:eastAsia="Times New Roman" w:cs="Times New Roman"/>
                <w:b/>
                <w:bCs/>
                <w:sz w:val="20"/>
                <w:szCs w:val="20"/>
              </w:rPr>
              <w:t>2019</w:t>
            </w:r>
            <w:r w:rsidRPr="00B063BA">
              <w:rPr>
                <w:rFonts w:eastAsia="Times New Roman" w:cs="Times New Roman"/>
                <w:b/>
                <w:bCs/>
                <w:sz w:val="20"/>
                <w:szCs w:val="20"/>
              </w:rPr>
              <w:br/>
              <w:t>Ревизирана оценка</w:t>
            </w:r>
          </w:p>
        </w:tc>
        <w:tc>
          <w:tcPr>
            <w:tcW w:w="617" w:type="pct"/>
            <w:vMerge w:val="restart"/>
            <w:tcBorders>
              <w:top w:val="single" w:sz="4" w:space="0" w:color="595959"/>
              <w:left w:val="nil"/>
              <w:bottom w:val="single" w:sz="4" w:space="0" w:color="000000"/>
              <w:right w:val="nil"/>
            </w:tcBorders>
            <w:shd w:val="clear" w:color="auto" w:fill="auto"/>
            <w:hideMark/>
          </w:tcPr>
          <w:p w:rsidR="00B063BA" w:rsidRPr="00B063BA" w:rsidRDefault="00B063BA" w:rsidP="00B063BA">
            <w:pPr>
              <w:spacing w:after="0"/>
              <w:jc w:val="center"/>
              <w:rPr>
                <w:rFonts w:eastAsia="Times New Roman" w:cs="Times New Roman"/>
                <w:b/>
                <w:bCs/>
                <w:sz w:val="20"/>
                <w:szCs w:val="20"/>
              </w:rPr>
            </w:pPr>
            <w:r w:rsidRPr="00B063BA">
              <w:rPr>
                <w:rFonts w:eastAsia="Times New Roman" w:cs="Times New Roman"/>
                <w:b/>
                <w:bCs/>
                <w:sz w:val="20"/>
                <w:szCs w:val="20"/>
              </w:rPr>
              <w:t>2019</w:t>
            </w:r>
            <w:r w:rsidRPr="00B063BA">
              <w:rPr>
                <w:rFonts w:eastAsia="Times New Roman" w:cs="Times New Roman"/>
                <w:b/>
                <w:bCs/>
                <w:sz w:val="20"/>
                <w:szCs w:val="20"/>
              </w:rPr>
              <w:br/>
              <w:t>Очаквано изпълнение</w:t>
            </w:r>
          </w:p>
        </w:tc>
        <w:tc>
          <w:tcPr>
            <w:tcW w:w="523" w:type="pct"/>
            <w:vMerge w:val="restart"/>
            <w:tcBorders>
              <w:top w:val="single" w:sz="4" w:space="0" w:color="595959"/>
              <w:left w:val="nil"/>
              <w:bottom w:val="single" w:sz="4" w:space="0" w:color="000000"/>
              <w:right w:val="nil"/>
            </w:tcBorders>
            <w:shd w:val="clear" w:color="000000" w:fill="F2F2F2"/>
            <w:hideMark/>
          </w:tcPr>
          <w:p w:rsidR="00B063BA" w:rsidRPr="00B063BA" w:rsidRDefault="00B063BA" w:rsidP="00B063BA">
            <w:pPr>
              <w:spacing w:after="0"/>
              <w:jc w:val="center"/>
              <w:rPr>
                <w:rFonts w:eastAsia="Times New Roman" w:cs="Times New Roman"/>
                <w:b/>
                <w:bCs/>
                <w:sz w:val="20"/>
                <w:szCs w:val="20"/>
              </w:rPr>
            </w:pPr>
            <w:r w:rsidRPr="00B063BA">
              <w:rPr>
                <w:rFonts w:eastAsia="Times New Roman" w:cs="Times New Roman"/>
                <w:b/>
                <w:bCs/>
                <w:sz w:val="20"/>
                <w:szCs w:val="20"/>
              </w:rPr>
              <w:t>2020</w:t>
            </w:r>
            <w:r w:rsidRPr="00B063BA">
              <w:rPr>
                <w:rFonts w:eastAsia="Times New Roman" w:cs="Times New Roman"/>
                <w:b/>
                <w:bCs/>
                <w:sz w:val="20"/>
                <w:szCs w:val="20"/>
              </w:rPr>
              <w:br/>
              <w:t>Проект</w:t>
            </w:r>
          </w:p>
        </w:tc>
        <w:tc>
          <w:tcPr>
            <w:tcW w:w="523" w:type="pct"/>
            <w:vMerge w:val="restart"/>
            <w:tcBorders>
              <w:top w:val="single" w:sz="4" w:space="0" w:color="595959"/>
              <w:left w:val="nil"/>
              <w:bottom w:val="single" w:sz="4" w:space="0" w:color="000000"/>
              <w:right w:val="nil"/>
            </w:tcBorders>
            <w:shd w:val="clear" w:color="auto" w:fill="auto"/>
            <w:hideMark/>
          </w:tcPr>
          <w:p w:rsidR="00B063BA" w:rsidRPr="00B063BA" w:rsidRDefault="00B063BA" w:rsidP="00B063BA">
            <w:pPr>
              <w:spacing w:after="0"/>
              <w:jc w:val="center"/>
              <w:rPr>
                <w:rFonts w:eastAsia="Times New Roman" w:cs="Times New Roman"/>
                <w:b/>
                <w:bCs/>
                <w:sz w:val="20"/>
                <w:szCs w:val="20"/>
              </w:rPr>
            </w:pPr>
            <w:r w:rsidRPr="00B063BA">
              <w:rPr>
                <w:rFonts w:eastAsia="Times New Roman" w:cs="Times New Roman"/>
                <w:b/>
                <w:bCs/>
                <w:sz w:val="20"/>
                <w:szCs w:val="20"/>
              </w:rPr>
              <w:t>2021</w:t>
            </w:r>
            <w:r w:rsidRPr="00B063BA">
              <w:rPr>
                <w:rFonts w:eastAsia="Times New Roman" w:cs="Times New Roman"/>
                <w:b/>
                <w:bCs/>
                <w:sz w:val="20"/>
                <w:szCs w:val="20"/>
              </w:rPr>
              <w:br/>
              <w:t>Прогноза</w:t>
            </w:r>
          </w:p>
        </w:tc>
        <w:tc>
          <w:tcPr>
            <w:tcW w:w="523" w:type="pct"/>
            <w:vMerge w:val="restart"/>
            <w:tcBorders>
              <w:top w:val="single" w:sz="4" w:space="0" w:color="595959"/>
              <w:left w:val="nil"/>
              <w:bottom w:val="single" w:sz="4" w:space="0" w:color="000000"/>
              <w:right w:val="nil"/>
            </w:tcBorders>
            <w:shd w:val="clear" w:color="auto" w:fill="auto"/>
            <w:hideMark/>
          </w:tcPr>
          <w:p w:rsidR="00B063BA" w:rsidRPr="00B063BA" w:rsidRDefault="00B063BA" w:rsidP="00B063BA">
            <w:pPr>
              <w:spacing w:after="0"/>
              <w:jc w:val="center"/>
              <w:rPr>
                <w:rFonts w:eastAsia="Times New Roman" w:cs="Times New Roman"/>
                <w:b/>
                <w:bCs/>
                <w:sz w:val="20"/>
                <w:szCs w:val="20"/>
              </w:rPr>
            </w:pPr>
            <w:r w:rsidRPr="00B063BA">
              <w:rPr>
                <w:rFonts w:eastAsia="Times New Roman" w:cs="Times New Roman"/>
                <w:b/>
                <w:bCs/>
                <w:sz w:val="20"/>
                <w:szCs w:val="20"/>
              </w:rPr>
              <w:t>2022</w:t>
            </w:r>
            <w:r w:rsidRPr="00B063BA">
              <w:rPr>
                <w:rFonts w:eastAsia="Times New Roman" w:cs="Times New Roman"/>
                <w:b/>
                <w:bCs/>
                <w:sz w:val="20"/>
                <w:szCs w:val="20"/>
              </w:rPr>
              <w:br/>
              <w:t>Прогноза</w:t>
            </w:r>
          </w:p>
        </w:tc>
      </w:tr>
      <w:tr w:rsidR="00B063BA" w:rsidRPr="00B063BA" w:rsidTr="003154BF">
        <w:trPr>
          <w:trHeight w:val="255"/>
        </w:trPr>
        <w:tc>
          <w:tcPr>
            <w:tcW w:w="2114"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698"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617"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523"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523"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523"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r>
      <w:tr w:rsidR="00B063BA" w:rsidRPr="00B063BA" w:rsidTr="003154BF">
        <w:trPr>
          <w:trHeight w:val="230"/>
        </w:trPr>
        <w:tc>
          <w:tcPr>
            <w:tcW w:w="2114"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698"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617"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523"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523"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c>
          <w:tcPr>
            <w:tcW w:w="523" w:type="pct"/>
            <w:vMerge/>
            <w:tcBorders>
              <w:top w:val="single" w:sz="4" w:space="0" w:color="595959"/>
              <w:left w:val="nil"/>
              <w:bottom w:val="single" w:sz="4" w:space="0" w:color="000000"/>
              <w:right w:val="nil"/>
            </w:tcBorders>
            <w:vAlign w:val="center"/>
            <w:hideMark/>
          </w:tcPr>
          <w:p w:rsidR="00B063BA" w:rsidRPr="00B063BA" w:rsidRDefault="00B063BA" w:rsidP="00B063BA">
            <w:pPr>
              <w:spacing w:after="0"/>
              <w:jc w:val="left"/>
              <w:rPr>
                <w:rFonts w:eastAsia="Times New Roman" w:cs="Times New Roman"/>
                <w:b/>
                <w:bCs/>
                <w:sz w:val="20"/>
                <w:szCs w:val="20"/>
              </w:rPr>
            </w:pP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left"/>
              <w:rPr>
                <w:rFonts w:eastAsia="Times New Roman" w:cs="Times New Roman"/>
                <w:b/>
                <w:bCs/>
                <w:color w:val="000000"/>
                <w:sz w:val="18"/>
                <w:szCs w:val="18"/>
              </w:rPr>
            </w:pPr>
            <w:r w:rsidRPr="00B063BA">
              <w:rPr>
                <w:rFonts w:eastAsia="Times New Roman" w:cs="Times New Roman"/>
                <w:b/>
                <w:bCs/>
                <w:color w:val="000000"/>
                <w:sz w:val="18"/>
                <w:szCs w:val="18"/>
              </w:rPr>
              <w:t>ПРИХОДИ, ПОМОЩИ И ДАРЕНИЯ</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43 857,0</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43 542,9</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46 826,5</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48 377,0</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50 142,9</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right"/>
              <w:rPr>
                <w:rFonts w:eastAsia="Times New Roman" w:cs="Times New Roman"/>
                <w:i/>
                <w:iCs/>
                <w:color w:val="000000"/>
                <w:sz w:val="18"/>
                <w:szCs w:val="18"/>
              </w:rPr>
            </w:pPr>
            <w:r w:rsidRPr="00B063BA">
              <w:rPr>
                <w:rFonts w:eastAsia="Times New Roman" w:cs="Times New Roman"/>
                <w:i/>
                <w:iCs/>
                <w:color w:val="000000"/>
                <w:sz w:val="18"/>
                <w:szCs w:val="18"/>
              </w:rPr>
              <w:t>% от БВП</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37,0%</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36,7%</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36,9%</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35,9%</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35,0%</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ind w:firstLineChars="100" w:firstLine="180"/>
              <w:jc w:val="left"/>
              <w:rPr>
                <w:rFonts w:eastAsia="Times New Roman" w:cs="Times New Roman"/>
                <w:color w:val="000000"/>
                <w:sz w:val="18"/>
                <w:szCs w:val="18"/>
              </w:rPr>
            </w:pPr>
            <w:r w:rsidRPr="00B063BA">
              <w:rPr>
                <w:rFonts w:eastAsia="Times New Roman" w:cs="Times New Roman"/>
                <w:color w:val="000000"/>
                <w:sz w:val="18"/>
                <w:szCs w:val="18"/>
              </w:rPr>
              <w:t>Данъчно-осигурителни приходи</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34 546,1</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34 893,0</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37 349,6</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39 267,5</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41 217,0</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ind w:firstLineChars="100" w:firstLine="180"/>
              <w:jc w:val="left"/>
              <w:rPr>
                <w:rFonts w:eastAsia="Times New Roman" w:cs="Times New Roman"/>
                <w:color w:val="000000"/>
                <w:sz w:val="18"/>
                <w:szCs w:val="18"/>
              </w:rPr>
            </w:pPr>
            <w:r w:rsidRPr="00B063BA">
              <w:rPr>
                <w:rFonts w:eastAsia="Times New Roman" w:cs="Times New Roman"/>
                <w:color w:val="000000"/>
                <w:sz w:val="18"/>
                <w:szCs w:val="18"/>
              </w:rPr>
              <w:t>Неданъчни приходи</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6 627,6</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6 426,6</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6 782,7</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6 424,7</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6 379,6</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ind w:firstLineChars="100" w:firstLine="180"/>
              <w:jc w:val="left"/>
              <w:rPr>
                <w:rFonts w:eastAsia="Times New Roman" w:cs="Times New Roman"/>
                <w:color w:val="000000"/>
                <w:sz w:val="18"/>
                <w:szCs w:val="18"/>
              </w:rPr>
            </w:pPr>
            <w:r w:rsidRPr="00B063BA">
              <w:rPr>
                <w:rFonts w:eastAsia="Times New Roman" w:cs="Times New Roman"/>
                <w:color w:val="000000"/>
                <w:sz w:val="18"/>
                <w:szCs w:val="18"/>
              </w:rPr>
              <w:t>Помощи и дарения</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2 683,3</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2 223,3</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2 694,2</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2 684,8</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2 546,3</w:t>
            </w:r>
          </w:p>
        </w:tc>
      </w:tr>
      <w:tr w:rsidR="00B063BA" w:rsidRPr="00B063BA" w:rsidTr="003154BF">
        <w:trPr>
          <w:trHeight w:val="7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left"/>
              <w:rPr>
                <w:rFonts w:eastAsia="Times New Roman" w:cs="Times New Roman"/>
                <w:color w:val="000000"/>
                <w:sz w:val="16"/>
                <w:szCs w:val="16"/>
              </w:rPr>
            </w:pP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left"/>
              <w:rPr>
                <w:rFonts w:eastAsia="Times New Roman" w:cs="Times New Roman"/>
                <w:color w:val="000000"/>
                <w:sz w:val="16"/>
                <w:szCs w:val="16"/>
              </w:rPr>
            </w:pP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left"/>
              <w:rPr>
                <w:rFonts w:eastAsia="Times New Roman" w:cs="Times New Roman"/>
                <w:color w:val="000000"/>
                <w:sz w:val="16"/>
                <w:szCs w:val="16"/>
              </w:rPr>
            </w:pP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left"/>
              <w:rPr>
                <w:rFonts w:eastAsia="Times New Roman" w:cs="Times New Roman"/>
                <w:color w:val="000000"/>
                <w:sz w:val="16"/>
                <w:szCs w:val="16"/>
              </w:rPr>
            </w:pPr>
            <w:r w:rsidRPr="00B063BA">
              <w:rPr>
                <w:rFonts w:eastAsia="Times New Roman" w:cs="Times New Roman"/>
                <w:color w:val="000000"/>
                <w:sz w:val="16"/>
                <w:szCs w:val="16"/>
              </w:rPr>
              <w:t> </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left"/>
              <w:rPr>
                <w:rFonts w:eastAsia="Times New Roman" w:cs="Times New Roman"/>
                <w:color w:val="000000"/>
                <w:sz w:val="16"/>
                <w:szCs w:val="16"/>
              </w:rPr>
            </w:pP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left"/>
              <w:rPr>
                <w:rFonts w:eastAsia="Times New Roman" w:cs="Times New Roman"/>
                <w:color w:val="000000"/>
                <w:sz w:val="16"/>
                <w:szCs w:val="16"/>
              </w:rPr>
            </w:pPr>
          </w:p>
        </w:tc>
      </w:tr>
      <w:tr w:rsidR="00B063BA" w:rsidRPr="00B063BA" w:rsidTr="003154BF">
        <w:trPr>
          <w:trHeight w:val="45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left"/>
              <w:rPr>
                <w:rFonts w:eastAsia="Times New Roman" w:cs="Times New Roman"/>
                <w:b/>
                <w:bCs/>
                <w:color w:val="000000"/>
                <w:sz w:val="18"/>
                <w:szCs w:val="18"/>
              </w:rPr>
            </w:pPr>
            <w:r w:rsidRPr="00B063BA">
              <w:rPr>
                <w:rFonts w:eastAsia="Times New Roman" w:cs="Times New Roman"/>
                <w:b/>
                <w:bCs/>
                <w:color w:val="000000"/>
                <w:sz w:val="18"/>
                <w:szCs w:val="18"/>
              </w:rPr>
              <w:t xml:space="preserve">ОБЩО РАЗХОДИ И ВНОСКА В БЮДЖЕТА НА ЕС  </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46 289,6</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45 971,9</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46 826,5</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48 377,0</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50 142,9</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right"/>
              <w:rPr>
                <w:rFonts w:eastAsia="Times New Roman" w:cs="Times New Roman"/>
                <w:i/>
                <w:iCs/>
                <w:color w:val="000000"/>
                <w:sz w:val="18"/>
                <w:szCs w:val="18"/>
              </w:rPr>
            </w:pPr>
            <w:r w:rsidRPr="00B063BA">
              <w:rPr>
                <w:rFonts w:eastAsia="Times New Roman" w:cs="Times New Roman"/>
                <w:i/>
                <w:iCs/>
                <w:color w:val="000000"/>
                <w:sz w:val="18"/>
                <w:szCs w:val="18"/>
              </w:rPr>
              <w:t>% от БВП</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39,0%</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38,8%</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36,9%</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35,9%</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35,0%</w:t>
            </w:r>
          </w:p>
        </w:tc>
      </w:tr>
      <w:tr w:rsidR="00B063BA" w:rsidRPr="00B063BA" w:rsidTr="003154BF">
        <w:trPr>
          <w:trHeight w:val="240"/>
        </w:trPr>
        <w:tc>
          <w:tcPr>
            <w:tcW w:w="2114" w:type="pct"/>
            <w:tcBorders>
              <w:top w:val="nil"/>
              <w:left w:val="nil"/>
              <w:bottom w:val="nil"/>
              <w:right w:val="nil"/>
            </w:tcBorders>
            <w:shd w:val="clear" w:color="auto" w:fill="auto"/>
            <w:noWrap/>
            <w:vAlign w:val="center"/>
            <w:hideMark/>
          </w:tcPr>
          <w:p w:rsidR="00B063BA" w:rsidRPr="00B063BA" w:rsidRDefault="00B063BA" w:rsidP="00B063BA">
            <w:pPr>
              <w:spacing w:after="0"/>
              <w:ind w:firstLineChars="100" w:firstLine="180"/>
              <w:jc w:val="left"/>
              <w:rPr>
                <w:rFonts w:eastAsia="Times New Roman" w:cs="Times New Roman"/>
                <w:color w:val="000000"/>
                <w:sz w:val="18"/>
                <w:szCs w:val="18"/>
              </w:rPr>
            </w:pPr>
            <w:r w:rsidRPr="00B063BA">
              <w:rPr>
                <w:rFonts w:eastAsia="Times New Roman" w:cs="Times New Roman"/>
                <w:color w:val="000000"/>
                <w:sz w:val="18"/>
                <w:szCs w:val="18"/>
              </w:rPr>
              <w:t xml:space="preserve">Разходи </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45 007,5</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44 689,8</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45 429,1</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46 836,5</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48 475,3</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ind w:firstLineChars="200" w:firstLine="360"/>
              <w:jc w:val="left"/>
              <w:rPr>
                <w:rFonts w:eastAsia="Times New Roman" w:cs="Times New Roman"/>
                <w:color w:val="000000"/>
                <w:sz w:val="18"/>
                <w:szCs w:val="18"/>
              </w:rPr>
            </w:pPr>
            <w:r w:rsidRPr="00B063BA">
              <w:rPr>
                <w:rFonts w:eastAsia="Times New Roman" w:cs="Times New Roman"/>
                <w:color w:val="000000"/>
                <w:sz w:val="18"/>
                <w:szCs w:val="18"/>
              </w:rPr>
              <w:t>Нелихвени разходи</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44 338,2</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44 043,0</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44 774,2</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46 165,1</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47 727,7</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ind w:firstLineChars="200" w:firstLine="360"/>
              <w:jc w:val="left"/>
              <w:rPr>
                <w:rFonts w:eastAsia="Times New Roman" w:cs="Times New Roman"/>
                <w:color w:val="000000"/>
                <w:sz w:val="18"/>
                <w:szCs w:val="18"/>
              </w:rPr>
            </w:pPr>
            <w:r w:rsidRPr="00B063BA">
              <w:rPr>
                <w:rFonts w:eastAsia="Times New Roman" w:cs="Times New Roman"/>
                <w:color w:val="000000"/>
                <w:sz w:val="18"/>
                <w:szCs w:val="18"/>
              </w:rPr>
              <w:t>Лихви</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669,2</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646,8</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654,9</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671,4</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747,6</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ind w:firstLineChars="100" w:firstLine="180"/>
              <w:jc w:val="left"/>
              <w:rPr>
                <w:rFonts w:eastAsia="Times New Roman" w:cs="Times New Roman"/>
                <w:color w:val="000000"/>
                <w:sz w:val="18"/>
                <w:szCs w:val="18"/>
              </w:rPr>
            </w:pPr>
            <w:r w:rsidRPr="00B063BA">
              <w:rPr>
                <w:rFonts w:eastAsia="Times New Roman" w:cs="Times New Roman"/>
                <w:color w:val="000000"/>
                <w:sz w:val="18"/>
                <w:szCs w:val="18"/>
              </w:rPr>
              <w:t>Вноска в общия бюджет на ЕС</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1 282,1</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1 282,1</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1 397,4</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1 540,4</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1 667,6</w:t>
            </w:r>
          </w:p>
        </w:tc>
      </w:tr>
      <w:tr w:rsidR="00B063BA" w:rsidRPr="00B063BA" w:rsidTr="003154BF">
        <w:trPr>
          <w:trHeight w:val="7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left"/>
              <w:rPr>
                <w:rFonts w:eastAsia="Times New Roman" w:cs="Times New Roman"/>
                <w:color w:val="000000"/>
                <w:sz w:val="16"/>
                <w:szCs w:val="16"/>
              </w:rPr>
            </w:pP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left"/>
              <w:rPr>
                <w:rFonts w:eastAsia="Times New Roman" w:cs="Times New Roman"/>
                <w:color w:val="000000"/>
                <w:sz w:val="16"/>
                <w:szCs w:val="16"/>
              </w:rPr>
            </w:pP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left"/>
              <w:rPr>
                <w:rFonts w:eastAsia="Times New Roman" w:cs="Times New Roman"/>
                <w:color w:val="000000"/>
                <w:sz w:val="16"/>
                <w:szCs w:val="16"/>
              </w:rPr>
            </w:pP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left"/>
              <w:rPr>
                <w:rFonts w:eastAsia="Times New Roman" w:cs="Times New Roman"/>
                <w:color w:val="000000"/>
                <w:sz w:val="16"/>
                <w:szCs w:val="16"/>
              </w:rPr>
            </w:pPr>
            <w:r w:rsidRPr="00B063BA">
              <w:rPr>
                <w:rFonts w:eastAsia="Times New Roman" w:cs="Times New Roman"/>
                <w:color w:val="000000"/>
                <w:sz w:val="16"/>
                <w:szCs w:val="16"/>
              </w:rPr>
              <w:t> </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left"/>
              <w:rPr>
                <w:rFonts w:eastAsia="Times New Roman" w:cs="Times New Roman"/>
                <w:color w:val="000000"/>
                <w:sz w:val="16"/>
                <w:szCs w:val="16"/>
              </w:rPr>
            </w:pP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left"/>
              <w:rPr>
                <w:rFonts w:eastAsia="Times New Roman" w:cs="Times New Roman"/>
                <w:color w:val="000000"/>
                <w:sz w:val="16"/>
                <w:szCs w:val="16"/>
              </w:rPr>
            </w:pPr>
          </w:p>
        </w:tc>
      </w:tr>
      <w:tr w:rsidR="00B063BA" w:rsidRPr="00B063BA" w:rsidTr="003154BF">
        <w:trPr>
          <w:trHeight w:val="255"/>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left"/>
              <w:rPr>
                <w:rFonts w:eastAsia="Times New Roman" w:cs="Times New Roman"/>
                <w:b/>
                <w:bCs/>
                <w:color w:val="000000"/>
                <w:sz w:val="18"/>
                <w:szCs w:val="18"/>
              </w:rPr>
            </w:pPr>
            <w:r w:rsidRPr="00B063BA">
              <w:rPr>
                <w:rFonts w:eastAsia="Times New Roman" w:cs="Times New Roman"/>
                <w:b/>
                <w:bCs/>
                <w:color w:val="000000"/>
                <w:sz w:val="18"/>
                <w:szCs w:val="18"/>
              </w:rPr>
              <w:t>БЮДЖЕТНО САЛДО (+/-)</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-2 432,6</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-2 429,0</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0,0</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0,0</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0,0</w:t>
            </w: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right"/>
              <w:rPr>
                <w:rFonts w:eastAsia="Times New Roman" w:cs="Times New Roman"/>
                <w:i/>
                <w:iCs/>
                <w:color w:val="000000"/>
                <w:sz w:val="18"/>
                <w:szCs w:val="18"/>
              </w:rPr>
            </w:pPr>
            <w:r w:rsidRPr="00B063BA">
              <w:rPr>
                <w:rFonts w:eastAsia="Times New Roman" w:cs="Times New Roman"/>
                <w:i/>
                <w:iCs/>
                <w:color w:val="000000"/>
                <w:sz w:val="18"/>
                <w:szCs w:val="18"/>
              </w:rPr>
              <w:t>% от БВП</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-2,1%</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-2,0%</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0,0%</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0,0%</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0,0%</w:t>
            </w:r>
          </w:p>
        </w:tc>
      </w:tr>
      <w:tr w:rsidR="00B063BA" w:rsidRPr="00B063BA" w:rsidTr="003154BF">
        <w:trPr>
          <w:trHeight w:val="7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left"/>
              <w:rPr>
                <w:rFonts w:eastAsia="Times New Roman" w:cs="Times New Roman"/>
                <w:b/>
                <w:bCs/>
                <w:color w:val="000000"/>
                <w:sz w:val="18"/>
                <w:szCs w:val="18"/>
              </w:rPr>
            </w:pP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color w:val="000000"/>
                <w:sz w:val="18"/>
                <w:szCs w:val="18"/>
              </w:rPr>
            </w:pPr>
            <w:r w:rsidRPr="00B063BA">
              <w:rPr>
                <w:rFonts w:eastAsia="Times New Roman" w:cs="Times New Roman"/>
                <w:color w:val="000000"/>
                <w:sz w:val="18"/>
                <w:szCs w:val="18"/>
              </w:rPr>
              <w:t> </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color w:val="000000"/>
                <w:sz w:val="18"/>
                <w:szCs w:val="18"/>
              </w:rPr>
            </w:pPr>
          </w:p>
        </w:tc>
      </w:tr>
      <w:tr w:rsidR="00B063BA" w:rsidRPr="00B063BA" w:rsidTr="003154BF">
        <w:trPr>
          <w:trHeight w:val="240"/>
        </w:trPr>
        <w:tc>
          <w:tcPr>
            <w:tcW w:w="2114" w:type="pct"/>
            <w:tcBorders>
              <w:top w:val="nil"/>
              <w:left w:val="nil"/>
              <w:bottom w:val="nil"/>
              <w:right w:val="nil"/>
            </w:tcBorders>
            <w:shd w:val="clear" w:color="auto" w:fill="auto"/>
            <w:vAlign w:val="center"/>
            <w:hideMark/>
          </w:tcPr>
          <w:p w:rsidR="00B063BA" w:rsidRPr="00B063BA" w:rsidRDefault="00B063BA" w:rsidP="00B063BA">
            <w:pPr>
              <w:spacing w:after="0"/>
              <w:jc w:val="left"/>
              <w:rPr>
                <w:rFonts w:eastAsia="Times New Roman" w:cs="Times New Roman"/>
                <w:b/>
                <w:bCs/>
                <w:color w:val="000000"/>
                <w:sz w:val="18"/>
                <w:szCs w:val="18"/>
              </w:rPr>
            </w:pPr>
            <w:r w:rsidRPr="00B063BA">
              <w:rPr>
                <w:rFonts w:eastAsia="Times New Roman" w:cs="Times New Roman"/>
                <w:b/>
                <w:bCs/>
                <w:color w:val="000000"/>
                <w:sz w:val="18"/>
                <w:szCs w:val="18"/>
              </w:rPr>
              <w:t>ФИНАНСИРАНЕ (+/-)</w:t>
            </w:r>
          </w:p>
        </w:tc>
        <w:tc>
          <w:tcPr>
            <w:tcW w:w="698"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2 432,6</w:t>
            </w:r>
          </w:p>
        </w:tc>
        <w:tc>
          <w:tcPr>
            <w:tcW w:w="617"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2 429,0</w:t>
            </w:r>
          </w:p>
        </w:tc>
        <w:tc>
          <w:tcPr>
            <w:tcW w:w="523" w:type="pct"/>
            <w:tcBorders>
              <w:top w:val="nil"/>
              <w:left w:val="nil"/>
              <w:bottom w:val="nil"/>
              <w:right w:val="nil"/>
            </w:tcBorders>
            <w:shd w:val="clear" w:color="000000" w:fill="F2F2F2"/>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0,0</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0,0</w:t>
            </w:r>
          </w:p>
        </w:tc>
        <w:tc>
          <w:tcPr>
            <w:tcW w:w="523" w:type="pct"/>
            <w:tcBorders>
              <w:top w:val="nil"/>
              <w:left w:val="nil"/>
              <w:bottom w:val="nil"/>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color w:val="000000"/>
                <w:sz w:val="18"/>
                <w:szCs w:val="18"/>
              </w:rPr>
            </w:pPr>
            <w:r w:rsidRPr="00B063BA">
              <w:rPr>
                <w:rFonts w:eastAsia="Times New Roman" w:cs="Times New Roman"/>
                <w:b/>
                <w:bCs/>
                <w:color w:val="000000"/>
                <w:sz w:val="18"/>
                <w:szCs w:val="18"/>
              </w:rPr>
              <w:t>0,0</w:t>
            </w:r>
          </w:p>
        </w:tc>
      </w:tr>
      <w:tr w:rsidR="00B063BA" w:rsidRPr="00B063BA" w:rsidTr="003154BF">
        <w:trPr>
          <w:trHeight w:val="240"/>
        </w:trPr>
        <w:tc>
          <w:tcPr>
            <w:tcW w:w="2114" w:type="pct"/>
            <w:tcBorders>
              <w:top w:val="nil"/>
              <w:left w:val="nil"/>
              <w:bottom w:val="single" w:sz="4" w:space="0" w:color="auto"/>
              <w:right w:val="nil"/>
            </w:tcBorders>
            <w:shd w:val="clear" w:color="auto" w:fill="auto"/>
            <w:vAlign w:val="center"/>
            <w:hideMark/>
          </w:tcPr>
          <w:p w:rsidR="00B063BA" w:rsidRPr="00B063BA" w:rsidRDefault="00B063BA" w:rsidP="00B063BA">
            <w:pPr>
              <w:spacing w:after="0"/>
              <w:jc w:val="right"/>
              <w:rPr>
                <w:rFonts w:eastAsia="Times New Roman" w:cs="Times New Roman"/>
                <w:i/>
                <w:iCs/>
                <w:color w:val="000000"/>
                <w:sz w:val="18"/>
                <w:szCs w:val="18"/>
              </w:rPr>
            </w:pPr>
            <w:r w:rsidRPr="00B063BA">
              <w:rPr>
                <w:rFonts w:eastAsia="Times New Roman" w:cs="Times New Roman"/>
                <w:i/>
                <w:iCs/>
                <w:color w:val="000000"/>
                <w:sz w:val="18"/>
                <w:szCs w:val="18"/>
              </w:rPr>
              <w:t>% от БВП</w:t>
            </w:r>
          </w:p>
        </w:tc>
        <w:tc>
          <w:tcPr>
            <w:tcW w:w="698" w:type="pct"/>
            <w:tcBorders>
              <w:top w:val="nil"/>
              <w:left w:val="nil"/>
              <w:bottom w:val="single" w:sz="4" w:space="0" w:color="auto"/>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2,1%</w:t>
            </w:r>
          </w:p>
        </w:tc>
        <w:tc>
          <w:tcPr>
            <w:tcW w:w="617" w:type="pct"/>
            <w:tcBorders>
              <w:top w:val="nil"/>
              <w:left w:val="nil"/>
              <w:bottom w:val="single" w:sz="4" w:space="0" w:color="auto"/>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2,0%</w:t>
            </w:r>
          </w:p>
        </w:tc>
        <w:tc>
          <w:tcPr>
            <w:tcW w:w="523" w:type="pct"/>
            <w:tcBorders>
              <w:top w:val="nil"/>
              <w:left w:val="nil"/>
              <w:bottom w:val="single" w:sz="4" w:space="0" w:color="auto"/>
              <w:right w:val="nil"/>
            </w:tcBorders>
            <w:shd w:val="clear" w:color="000000" w:fill="F2F2F2"/>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0,0%</w:t>
            </w:r>
          </w:p>
        </w:tc>
        <w:tc>
          <w:tcPr>
            <w:tcW w:w="523" w:type="pct"/>
            <w:tcBorders>
              <w:top w:val="nil"/>
              <w:left w:val="nil"/>
              <w:bottom w:val="single" w:sz="4" w:space="0" w:color="auto"/>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0,0%</w:t>
            </w:r>
          </w:p>
        </w:tc>
        <w:tc>
          <w:tcPr>
            <w:tcW w:w="523" w:type="pct"/>
            <w:tcBorders>
              <w:top w:val="nil"/>
              <w:left w:val="nil"/>
              <w:bottom w:val="single" w:sz="4" w:space="0" w:color="auto"/>
              <w:right w:val="nil"/>
            </w:tcBorders>
            <w:shd w:val="clear" w:color="auto" w:fill="auto"/>
            <w:noWrap/>
            <w:vAlign w:val="center"/>
            <w:hideMark/>
          </w:tcPr>
          <w:p w:rsidR="00B063BA" w:rsidRPr="00B063BA" w:rsidRDefault="00B063BA" w:rsidP="00B063BA">
            <w:pPr>
              <w:spacing w:after="0"/>
              <w:jc w:val="right"/>
              <w:rPr>
                <w:rFonts w:eastAsia="Times New Roman" w:cs="Times New Roman"/>
                <w:b/>
                <w:bCs/>
                <w:i/>
                <w:iCs/>
                <w:color w:val="000000"/>
                <w:sz w:val="18"/>
                <w:szCs w:val="18"/>
              </w:rPr>
            </w:pPr>
            <w:r w:rsidRPr="00B063BA">
              <w:rPr>
                <w:rFonts w:eastAsia="Times New Roman" w:cs="Times New Roman"/>
                <w:b/>
                <w:bCs/>
                <w:i/>
                <w:iCs/>
                <w:color w:val="000000"/>
                <w:sz w:val="18"/>
                <w:szCs w:val="18"/>
              </w:rPr>
              <w:t>0,0%</w:t>
            </w:r>
          </w:p>
        </w:tc>
      </w:tr>
    </w:tbl>
    <w:p w:rsidR="00454210" w:rsidRPr="003154BF" w:rsidRDefault="00454210" w:rsidP="00C70181">
      <w:pPr>
        <w:spacing w:before="240" w:after="120"/>
        <w:rPr>
          <w:rFonts w:eastAsia="Batang"/>
        </w:rPr>
      </w:pPr>
      <w:r w:rsidRPr="003154BF">
        <w:rPr>
          <w:rFonts w:eastAsia="Batang"/>
        </w:rPr>
        <w:t xml:space="preserve">Прогнозите за </w:t>
      </w:r>
      <w:r w:rsidRPr="003154BF">
        <w:rPr>
          <w:rFonts w:eastAsia="Batang"/>
          <w:b/>
        </w:rPr>
        <w:t>приходната част на националния бюджет</w:t>
      </w:r>
      <w:r w:rsidRPr="003154BF">
        <w:rPr>
          <w:rFonts w:eastAsia="Batang"/>
        </w:rPr>
        <w:t xml:space="preserve"> показват тенденция на намаление от 3</w:t>
      </w:r>
      <w:r w:rsidR="006F05F2" w:rsidRPr="003154BF">
        <w:rPr>
          <w:rFonts w:eastAsia="Batang"/>
        </w:rPr>
        <w:t>4</w:t>
      </w:r>
      <w:r w:rsidRPr="003154BF">
        <w:rPr>
          <w:rFonts w:eastAsia="Batang"/>
        </w:rPr>
        <w:t>,</w:t>
      </w:r>
      <w:r w:rsidR="006F05F2" w:rsidRPr="003154BF">
        <w:rPr>
          <w:rFonts w:eastAsia="Batang"/>
        </w:rPr>
        <w:t>8</w:t>
      </w:r>
      <w:r w:rsidRPr="003154BF">
        <w:rPr>
          <w:rFonts w:eastAsia="Batang"/>
        </w:rPr>
        <w:t>% от БВП за 20</w:t>
      </w:r>
      <w:r w:rsidR="006F05F2" w:rsidRPr="003154BF">
        <w:rPr>
          <w:rFonts w:eastAsia="Batang"/>
        </w:rPr>
        <w:t>20</w:t>
      </w:r>
      <w:r w:rsidRPr="003154BF">
        <w:rPr>
          <w:rFonts w:eastAsia="Batang"/>
        </w:rPr>
        <w:t> г. на 3</w:t>
      </w:r>
      <w:r w:rsidR="006F05F2" w:rsidRPr="003154BF">
        <w:rPr>
          <w:rFonts w:eastAsia="Batang"/>
        </w:rPr>
        <w:t>3</w:t>
      </w:r>
      <w:r w:rsidRPr="003154BF">
        <w:rPr>
          <w:rFonts w:eastAsia="Batang"/>
        </w:rPr>
        <w:t>,</w:t>
      </w:r>
      <w:r w:rsidR="006F05F2" w:rsidRPr="003154BF">
        <w:rPr>
          <w:rFonts w:eastAsia="Batang"/>
        </w:rPr>
        <w:t>2</w:t>
      </w:r>
      <w:r w:rsidRPr="003154BF">
        <w:rPr>
          <w:rFonts w:eastAsia="Batang"/>
        </w:rPr>
        <w:t>% от БВП през 202</w:t>
      </w:r>
      <w:r w:rsidR="006F05F2" w:rsidRPr="003154BF">
        <w:rPr>
          <w:rFonts w:eastAsia="Batang"/>
        </w:rPr>
        <w:t>2</w:t>
      </w:r>
      <w:r w:rsidRPr="003154BF">
        <w:rPr>
          <w:rFonts w:eastAsia="Batang"/>
        </w:rPr>
        <w:t> г. Очакванията са данъчно-осигурителните приходи в периода 20</w:t>
      </w:r>
      <w:r w:rsidR="006F05F2" w:rsidRPr="003154BF">
        <w:rPr>
          <w:rFonts w:eastAsia="Batang"/>
        </w:rPr>
        <w:t>20</w:t>
      </w:r>
      <w:r w:rsidRPr="003154BF">
        <w:rPr>
          <w:rFonts w:eastAsia="Batang"/>
        </w:rPr>
        <w:t>-202</w:t>
      </w:r>
      <w:r w:rsidR="006F05F2" w:rsidRPr="003154BF">
        <w:rPr>
          <w:rFonts w:eastAsia="Batang"/>
        </w:rPr>
        <w:t>2</w:t>
      </w:r>
      <w:r w:rsidRPr="003154BF">
        <w:rPr>
          <w:rFonts w:eastAsia="Batang"/>
        </w:rPr>
        <w:t> г. да са в д</w:t>
      </w:r>
      <w:r w:rsidR="006F05F2" w:rsidRPr="003154BF">
        <w:rPr>
          <w:rFonts w:eastAsia="Batang"/>
        </w:rPr>
        <w:t>иапазона от 29,5% до 28,8</w:t>
      </w:r>
      <w:r w:rsidRPr="003154BF">
        <w:rPr>
          <w:rFonts w:eastAsia="Batang"/>
        </w:rPr>
        <w:t>% от БВП, като са отразени ефектите от мерките</w:t>
      </w:r>
      <w:r w:rsidR="00F90810" w:rsidRPr="003154BF">
        <w:rPr>
          <w:rFonts w:eastAsia="Batang"/>
        </w:rPr>
        <w:t xml:space="preserve"> за повишаване на събираемостта</w:t>
      </w:r>
      <w:r w:rsidRPr="003154BF">
        <w:rPr>
          <w:rFonts w:eastAsia="Batang"/>
        </w:rPr>
        <w:t xml:space="preserve"> </w:t>
      </w:r>
      <w:r w:rsidR="00F90810" w:rsidRPr="003154BF">
        <w:rPr>
          <w:rFonts w:eastAsia="Batang"/>
        </w:rPr>
        <w:t>и</w:t>
      </w:r>
      <w:r w:rsidR="00924EB2" w:rsidRPr="003154BF">
        <w:rPr>
          <w:rFonts w:eastAsia="Batang"/>
        </w:rPr>
        <w:t xml:space="preserve"> </w:t>
      </w:r>
      <w:r w:rsidRPr="003154BF">
        <w:rPr>
          <w:rFonts w:eastAsia="Batang"/>
        </w:rPr>
        <w:t>макроикономическите ефекти.</w:t>
      </w:r>
    </w:p>
    <w:p w:rsidR="00F90810" w:rsidRPr="003154BF" w:rsidRDefault="00F90810" w:rsidP="003154BF">
      <w:pPr>
        <w:spacing w:before="120" w:after="120"/>
        <w:rPr>
          <w:rFonts w:eastAsia="Batang"/>
        </w:rPr>
      </w:pPr>
      <w:r w:rsidRPr="003154BF">
        <w:rPr>
          <w:rFonts w:eastAsia="Batang"/>
          <w:b/>
        </w:rPr>
        <w:t>Разходите и трансферите по националния бюджет</w:t>
      </w:r>
      <w:r w:rsidRPr="003154BF">
        <w:rPr>
          <w:rFonts w:eastAsia="Batang"/>
        </w:rPr>
        <w:t xml:space="preserve"> в средносрочен план показват тенденция на намаление от 34,8% от БВП през 2020 г. до 33,2% от БВП през 2022 г., но в номинален размер планираните разходи показват увеличение.</w:t>
      </w:r>
    </w:p>
    <w:p w:rsidR="00083361" w:rsidRDefault="00F27608" w:rsidP="00F27608">
      <w:pPr>
        <w:pStyle w:val="Caption"/>
        <w:rPr>
          <w:color w:val="000000"/>
          <w:lang w:val="ru-RU"/>
        </w:rPr>
      </w:pPr>
      <w:bookmarkStart w:id="347" w:name="_Toc23337520"/>
      <w:r w:rsidRPr="001D14B4">
        <w:t xml:space="preserve">Табл. </w:t>
      </w:r>
      <w:fldSimple w:instr=" STYLEREF 1 \s ">
        <w:r w:rsidR="0034195B">
          <w:rPr>
            <w:noProof/>
          </w:rPr>
          <w:t>II</w:t>
        </w:r>
      </w:fldSimple>
      <w:r w:rsidR="00927CD5" w:rsidRPr="001D14B4">
        <w:noBreakHyphen/>
      </w:r>
      <w:fldSimple w:instr=" SEQ Табл. \* ARABIC \s 1 ">
        <w:r w:rsidR="0034195B">
          <w:rPr>
            <w:noProof/>
          </w:rPr>
          <w:t>5</w:t>
        </w:r>
      </w:fldSimple>
      <w:r w:rsidRPr="001D14B4">
        <w:t>:</w:t>
      </w:r>
      <w:r w:rsidRPr="001D14B4">
        <w:tab/>
      </w:r>
      <w:r w:rsidR="00083361" w:rsidRPr="001D14B4">
        <w:rPr>
          <w:color w:val="000000"/>
        </w:rPr>
        <w:t xml:space="preserve">КФП – Национален бюджет </w:t>
      </w:r>
      <w:r w:rsidR="00083361" w:rsidRPr="00773D90">
        <w:rPr>
          <w:color w:val="000000"/>
          <w:lang w:val="ru-RU"/>
        </w:rPr>
        <w:t>(</w:t>
      </w:r>
      <w:r w:rsidR="00083361" w:rsidRPr="00773D90">
        <w:rPr>
          <w:color w:val="000000"/>
        </w:rPr>
        <w:t>201</w:t>
      </w:r>
      <w:r w:rsidR="00773D90" w:rsidRPr="00773D90">
        <w:rPr>
          <w:color w:val="000000"/>
        </w:rPr>
        <w:t>9</w:t>
      </w:r>
      <w:r w:rsidR="00083361" w:rsidRPr="00773D90">
        <w:rPr>
          <w:color w:val="000000"/>
        </w:rPr>
        <w:t>-20</w:t>
      </w:r>
      <w:r w:rsidR="00773D90" w:rsidRPr="00773D90">
        <w:rPr>
          <w:color w:val="000000"/>
        </w:rPr>
        <w:t>22</w:t>
      </w:r>
      <w:r w:rsidR="00AA3035" w:rsidRPr="00773D90">
        <w:rPr>
          <w:color w:val="000000"/>
        </w:rPr>
        <w:t> г.</w:t>
      </w:r>
      <w:r w:rsidR="00083361" w:rsidRPr="00773D90">
        <w:rPr>
          <w:color w:val="000000"/>
          <w:lang w:val="ru-RU"/>
        </w:rPr>
        <w:t>)</w:t>
      </w:r>
      <w:bookmarkEnd w:id="347"/>
    </w:p>
    <w:tbl>
      <w:tblPr>
        <w:tblW w:w="5000" w:type="pct"/>
        <w:tblCellMar>
          <w:left w:w="70" w:type="dxa"/>
          <w:right w:w="70" w:type="dxa"/>
        </w:tblCellMar>
        <w:tblLook w:val="04A0" w:firstRow="1" w:lastRow="0" w:firstColumn="1" w:lastColumn="0" w:noHBand="0" w:noVBand="1"/>
      </w:tblPr>
      <w:tblGrid>
        <w:gridCol w:w="3769"/>
        <w:gridCol w:w="1197"/>
        <w:gridCol w:w="1203"/>
        <w:gridCol w:w="913"/>
        <w:gridCol w:w="994"/>
        <w:gridCol w:w="994"/>
      </w:tblGrid>
      <w:tr w:rsidR="0088122E" w:rsidRPr="0088122E" w:rsidTr="003154BF">
        <w:trPr>
          <w:trHeight w:val="230"/>
        </w:trPr>
        <w:tc>
          <w:tcPr>
            <w:tcW w:w="2111" w:type="pct"/>
            <w:vMerge w:val="restart"/>
            <w:tcBorders>
              <w:top w:val="single" w:sz="4" w:space="0" w:color="595959"/>
              <w:left w:val="nil"/>
              <w:bottom w:val="single" w:sz="4" w:space="0" w:color="000000"/>
              <w:right w:val="nil"/>
            </w:tcBorders>
            <w:shd w:val="clear" w:color="auto" w:fill="auto"/>
            <w:vAlign w:val="center"/>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КФП                                                НАЦИОНАЛЕН БЮДЖЕТ</w:t>
            </w:r>
            <w:r w:rsidRPr="0088122E">
              <w:rPr>
                <w:rFonts w:eastAsia="Times New Roman" w:cs="Times New Roman"/>
                <w:b/>
                <w:bCs/>
                <w:sz w:val="20"/>
                <w:szCs w:val="20"/>
              </w:rPr>
              <w:br/>
              <w:t>млн. лв.</w:t>
            </w:r>
          </w:p>
        </w:tc>
        <w:tc>
          <w:tcPr>
            <w:tcW w:w="651" w:type="pct"/>
            <w:vMerge w:val="restart"/>
            <w:tcBorders>
              <w:top w:val="single" w:sz="4" w:space="0" w:color="595959"/>
              <w:left w:val="nil"/>
              <w:bottom w:val="single" w:sz="4" w:space="0" w:color="000000"/>
              <w:right w:val="nil"/>
            </w:tcBorders>
            <w:shd w:val="clear" w:color="auto" w:fill="auto"/>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2019</w:t>
            </w:r>
            <w:r w:rsidRPr="0088122E">
              <w:rPr>
                <w:rFonts w:eastAsia="Times New Roman" w:cs="Times New Roman"/>
                <w:b/>
                <w:bCs/>
                <w:sz w:val="20"/>
                <w:szCs w:val="20"/>
              </w:rPr>
              <w:br/>
              <w:t>Ревизирана оценка</w:t>
            </w:r>
          </w:p>
        </w:tc>
        <w:tc>
          <w:tcPr>
            <w:tcW w:w="632" w:type="pct"/>
            <w:vMerge w:val="restart"/>
            <w:tcBorders>
              <w:top w:val="single" w:sz="4" w:space="0" w:color="595959"/>
              <w:left w:val="nil"/>
              <w:bottom w:val="single" w:sz="4" w:space="0" w:color="000000"/>
              <w:right w:val="nil"/>
            </w:tcBorders>
            <w:shd w:val="clear" w:color="auto" w:fill="auto"/>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2019</w:t>
            </w:r>
            <w:r w:rsidRPr="0088122E">
              <w:rPr>
                <w:rFonts w:eastAsia="Times New Roman" w:cs="Times New Roman"/>
                <w:b/>
                <w:bCs/>
                <w:sz w:val="20"/>
                <w:szCs w:val="20"/>
              </w:rPr>
              <w:br/>
              <w:t>Очаквано изпълнение</w:t>
            </w:r>
          </w:p>
        </w:tc>
        <w:tc>
          <w:tcPr>
            <w:tcW w:w="536" w:type="pct"/>
            <w:vMerge w:val="restart"/>
            <w:tcBorders>
              <w:top w:val="single" w:sz="4" w:space="0" w:color="auto"/>
              <w:left w:val="nil"/>
              <w:bottom w:val="single" w:sz="4" w:space="0" w:color="000000"/>
              <w:right w:val="nil"/>
            </w:tcBorders>
            <w:shd w:val="clear" w:color="000000" w:fill="F2F2F2"/>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2020</w:t>
            </w:r>
            <w:r w:rsidRPr="0088122E">
              <w:rPr>
                <w:rFonts w:eastAsia="Times New Roman" w:cs="Times New Roman"/>
                <w:b/>
                <w:bCs/>
                <w:sz w:val="20"/>
                <w:szCs w:val="20"/>
              </w:rPr>
              <w:br/>
              <w:t>Проект</w:t>
            </w:r>
          </w:p>
        </w:tc>
        <w:tc>
          <w:tcPr>
            <w:tcW w:w="536" w:type="pct"/>
            <w:vMerge w:val="restart"/>
            <w:tcBorders>
              <w:top w:val="single" w:sz="4" w:space="0" w:color="595959"/>
              <w:left w:val="nil"/>
              <w:bottom w:val="single" w:sz="4" w:space="0" w:color="000000"/>
              <w:right w:val="nil"/>
            </w:tcBorders>
            <w:shd w:val="clear" w:color="auto" w:fill="auto"/>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2021</w:t>
            </w:r>
            <w:r w:rsidRPr="0088122E">
              <w:rPr>
                <w:rFonts w:eastAsia="Times New Roman" w:cs="Times New Roman"/>
                <w:b/>
                <w:bCs/>
                <w:sz w:val="20"/>
                <w:szCs w:val="20"/>
              </w:rPr>
              <w:br/>
              <w:t>Прогноза</w:t>
            </w:r>
          </w:p>
        </w:tc>
        <w:tc>
          <w:tcPr>
            <w:tcW w:w="536" w:type="pct"/>
            <w:vMerge w:val="restart"/>
            <w:tcBorders>
              <w:top w:val="single" w:sz="4" w:space="0" w:color="595959"/>
              <w:left w:val="nil"/>
              <w:bottom w:val="single" w:sz="4" w:space="0" w:color="000000"/>
              <w:right w:val="nil"/>
            </w:tcBorders>
            <w:shd w:val="clear" w:color="auto" w:fill="auto"/>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2022</w:t>
            </w:r>
            <w:r w:rsidRPr="0088122E">
              <w:rPr>
                <w:rFonts w:eastAsia="Times New Roman" w:cs="Times New Roman"/>
                <w:b/>
                <w:bCs/>
                <w:sz w:val="20"/>
                <w:szCs w:val="20"/>
              </w:rPr>
              <w:br/>
              <w:t>Прогноза</w:t>
            </w:r>
          </w:p>
        </w:tc>
      </w:tr>
      <w:tr w:rsidR="0088122E" w:rsidRPr="0088122E" w:rsidTr="003154BF">
        <w:trPr>
          <w:trHeight w:val="255"/>
        </w:trPr>
        <w:tc>
          <w:tcPr>
            <w:tcW w:w="2111"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651"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632"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536" w:type="pct"/>
            <w:vMerge/>
            <w:tcBorders>
              <w:top w:val="single" w:sz="4" w:space="0" w:color="auto"/>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536"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536"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r>
      <w:tr w:rsidR="0088122E" w:rsidRPr="0088122E" w:rsidTr="003154BF">
        <w:trPr>
          <w:trHeight w:val="285"/>
        </w:trPr>
        <w:tc>
          <w:tcPr>
            <w:tcW w:w="2111"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651"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632"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536" w:type="pct"/>
            <w:vMerge/>
            <w:tcBorders>
              <w:top w:val="single" w:sz="4" w:space="0" w:color="auto"/>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536"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536" w:type="pct"/>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r>
      <w:tr w:rsidR="0088122E" w:rsidRPr="0088122E" w:rsidTr="003154BF">
        <w:trPr>
          <w:trHeight w:val="27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b/>
                <w:bCs/>
                <w:color w:val="000000"/>
                <w:sz w:val="18"/>
                <w:szCs w:val="18"/>
              </w:rPr>
            </w:pPr>
            <w:r w:rsidRPr="0088122E">
              <w:rPr>
                <w:rFonts w:eastAsia="Times New Roman" w:cs="Times New Roman"/>
                <w:b/>
                <w:bCs/>
                <w:color w:val="000000"/>
                <w:sz w:val="18"/>
                <w:szCs w:val="18"/>
              </w:rPr>
              <w:t>ПРИХОДИ, ПОМОЩИ И ДАРЕНИЯ</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41 208,7</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41 384,6</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44 176,0</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45 735,8</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47 641,1</w:t>
            </w:r>
          </w:p>
        </w:tc>
      </w:tr>
      <w:tr w:rsidR="0088122E" w:rsidRPr="0088122E" w:rsidTr="003154BF">
        <w:trPr>
          <w:trHeight w:val="24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r w:rsidRPr="0088122E">
              <w:rPr>
                <w:rFonts w:eastAsia="Times New Roman" w:cs="Times New Roman"/>
                <w:i/>
                <w:iCs/>
                <w:color w:val="000000"/>
                <w:sz w:val="18"/>
                <w:szCs w:val="18"/>
              </w:rPr>
              <w:t>% от БВП</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34,7%</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34,9%</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34,8%</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33,9%</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33,2%</w:t>
            </w:r>
          </w:p>
        </w:tc>
      </w:tr>
      <w:tr w:rsidR="0088122E" w:rsidRPr="0088122E" w:rsidTr="003154BF">
        <w:trPr>
          <w:trHeight w:val="24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ind w:firstLineChars="100" w:firstLine="180"/>
              <w:jc w:val="left"/>
              <w:rPr>
                <w:rFonts w:eastAsia="Times New Roman" w:cs="Times New Roman"/>
                <w:color w:val="000000"/>
                <w:sz w:val="18"/>
                <w:szCs w:val="18"/>
              </w:rPr>
            </w:pPr>
            <w:r w:rsidRPr="0088122E">
              <w:rPr>
                <w:rFonts w:eastAsia="Times New Roman" w:cs="Times New Roman"/>
                <w:color w:val="000000"/>
                <w:sz w:val="18"/>
                <w:szCs w:val="18"/>
              </w:rPr>
              <w:t>Данъчно-осигурителни приходи</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34 546,1</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34 893,0</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37 349,6</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39 267,5</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41 217,0</w:t>
            </w:r>
          </w:p>
        </w:tc>
      </w:tr>
      <w:tr w:rsidR="0088122E" w:rsidRPr="0088122E" w:rsidTr="003154BF">
        <w:trPr>
          <w:trHeight w:val="225"/>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ind w:firstLineChars="100" w:firstLine="180"/>
              <w:jc w:val="left"/>
              <w:rPr>
                <w:rFonts w:eastAsia="Times New Roman" w:cs="Times New Roman"/>
                <w:color w:val="000000"/>
                <w:sz w:val="18"/>
                <w:szCs w:val="18"/>
              </w:rPr>
            </w:pPr>
            <w:r w:rsidRPr="0088122E">
              <w:rPr>
                <w:rFonts w:eastAsia="Times New Roman" w:cs="Times New Roman"/>
                <w:color w:val="000000"/>
                <w:sz w:val="18"/>
                <w:szCs w:val="18"/>
              </w:rPr>
              <w:t>Неданъчни приходи</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6 627,6</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6 426,6</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6 782,7</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6 424,7</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6 379,6</w:t>
            </w:r>
          </w:p>
        </w:tc>
      </w:tr>
      <w:tr w:rsidR="0088122E" w:rsidRPr="0088122E" w:rsidTr="003154BF">
        <w:trPr>
          <w:trHeight w:val="24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ind w:firstLineChars="100" w:firstLine="180"/>
              <w:jc w:val="left"/>
              <w:rPr>
                <w:rFonts w:eastAsia="Times New Roman" w:cs="Times New Roman"/>
                <w:color w:val="000000"/>
                <w:sz w:val="18"/>
                <w:szCs w:val="18"/>
              </w:rPr>
            </w:pPr>
            <w:r w:rsidRPr="0088122E">
              <w:rPr>
                <w:rFonts w:eastAsia="Times New Roman" w:cs="Times New Roman"/>
                <w:color w:val="000000"/>
                <w:sz w:val="18"/>
                <w:szCs w:val="18"/>
              </w:rPr>
              <w:t>Помощи и дарения</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35,0</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65,0</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43,6</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43,6</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44,6</w:t>
            </w:r>
          </w:p>
        </w:tc>
      </w:tr>
      <w:tr w:rsidR="0088122E" w:rsidRPr="0088122E" w:rsidTr="003154BF">
        <w:trPr>
          <w:trHeight w:val="135"/>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color w:val="000000"/>
                <w:sz w:val="18"/>
                <w:szCs w:val="18"/>
              </w:rPr>
            </w:pP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C00000"/>
                <w:sz w:val="18"/>
                <w:szCs w:val="18"/>
              </w:rPr>
            </w:pPr>
            <w:r w:rsidRPr="0088122E">
              <w:rPr>
                <w:rFonts w:eastAsia="Times New Roman" w:cs="Times New Roman"/>
                <w:color w:val="C00000"/>
                <w:sz w:val="18"/>
                <w:szCs w:val="18"/>
              </w:rPr>
              <w:t> </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r>
      <w:tr w:rsidR="0088122E" w:rsidRPr="0088122E" w:rsidTr="003154BF">
        <w:trPr>
          <w:trHeight w:val="465"/>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b/>
                <w:bCs/>
                <w:color w:val="000000"/>
                <w:sz w:val="18"/>
                <w:szCs w:val="18"/>
              </w:rPr>
            </w:pPr>
            <w:r w:rsidRPr="0088122E">
              <w:rPr>
                <w:rFonts w:eastAsia="Times New Roman" w:cs="Times New Roman"/>
                <w:b/>
                <w:bCs/>
                <w:color w:val="000000"/>
                <w:sz w:val="18"/>
                <w:szCs w:val="18"/>
              </w:rPr>
              <w:t>ОБЩО РАЗХОДИ, ВНОСКА В БЮДЖЕТА НА ЕС  И ТРАНСФЕРИ (НЕТО)</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43 471,5</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43 553,9</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44 103,0</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45 707,4</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47 592,3</w:t>
            </w:r>
          </w:p>
        </w:tc>
      </w:tr>
      <w:tr w:rsidR="0088122E" w:rsidRPr="0088122E" w:rsidTr="003154BF">
        <w:trPr>
          <w:trHeight w:val="225"/>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r w:rsidRPr="0088122E">
              <w:rPr>
                <w:rFonts w:eastAsia="Times New Roman" w:cs="Times New Roman"/>
                <w:i/>
                <w:iCs/>
                <w:color w:val="000000"/>
                <w:sz w:val="18"/>
                <w:szCs w:val="18"/>
              </w:rPr>
              <w:t>% от БВП</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36,6%</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36,7%</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34,8%</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33,9%</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33,2%</w:t>
            </w:r>
          </w:p>
        </w:tc>
      </w:tr>
      <w:tr w:rsidR="0088122E" w:rsidRPr="0088122E" w:rsidTr="003154BF">
        <w:trPr>
          <w:trHeight w:val="240"/>
        </w:trPr>
        <w:tc>
          <w:tcPr>
            <w:tcW w:w="2111" w:type="pct"/>
            <w:tcBorders>
              <w:top w:val="nil"/>
              <w:left w:val="nil"/>
              <w:bottom w:val="nil"/>
              <w:right w:val="nil"/>
            </w:tcBorders>
            <w:shd w:val="clear" w:color="auto" w:fill="auto"/>
            <w:noWrap/>
            <w:vAlign w:val="center"/>
            <w:hideMark/>
          </w:tcPr>
          <w:p w:rsidR="0088122E" w:rsidRPr="0088122E" w:rsidRDefault="0088122E" w:rsidP="0088122E">
            <w:pPr>
              <w:spacing w:after="0"/>
              <w:ind w:firstLineChars="100" w:firstLine="180"/>
              <w:jc w:val="left"/>
              <w:rPr>
                <w:rFonts w:eastAsia="Times New Roman" w:cs="Times New Roman"/>
                <w:color w:val="000000"/>
                <w:sz w:val="18"/>
                <w:szCs w:val="18"/>
              </w:rPr>
            </w:pPr>
            <w:r w:rsidRPr="0088122E">
              <w:rPr>
                <w:rFonts w:eastAsia="Times New Roman" w:cs="Times New Roman"/>
                <w:color w:val="000000"/>
                <w:sz w:val="18"/>
                <w:szCs w:val="18"/>
              </w:rPr>
              <w:t xml:space="preserve">Разходи </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40 890,6</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40 958,7</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41 450,9</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42 910,6</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44 697,7</w:t>
            </w:r>
          </w:p>
        </w:tc>
      </w:tr>
      <w:tr w:rsidR="0088122E" w:rsidRPr="0088122E" w:rsidTr="003154BF">
        <w:trPr>
          <w:trHeight w:val="24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ind w:firstLineChars="200" w:firstLine="360"/>
              <w:jc w:val="left"/>
              <w:rPr>
                <w:rFonts w:eastAsia="Times New Roman" w:cs="Times New Roman"/>
                <w:color w:val="000000"/>
                <w:sz w:val="18"/>
                <w:szCs w:val="18"/>
              </w:rPr>
            </w:pPr>
            <w:r w:rsidRPr="0088122E">
              <w:rPr>
                <w:rFonts w:eastAsia="Times New Roman" w:cs="Times New Roman"/>
                <w:color w:val="000000"/>
                <w:sz w:val="18"/>
                <w:szCs w:val="18"/>
              </w:rPr>
              <w:t>Нелихвени разходи</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40 221,4</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40 311,9</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40 796,0</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42 239,2</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43 950,1</w:t>
            </w:r>
          </w:p>
        </w:tc>
      </w:tr>
      <w:tr w:rsidR="0088122E" w:rsidRPr="0088122E" w:rsidTr="003154BF">
        <w:trPr>
          <w:trHeight w:val="24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ind w:firstLineChars="200" w:firstLine="360"/>
              <w:jc w:val="left"/>
              <w:rPr>
                <w:rFonts w:eastAsia="Times New Roman" w:cs="Times New Roman"/>
                <w:color w:val="000000"/>
                <w:sz w:val="18"/>
                <w:szCs w:val="18"/>
              </w:rPr>
            </w:pPr>
            <w:r w:rsidRPr="0088122E">
              <w:rPr>
                <w:rFonts w:eastAsia="Times New Roman" w:cs="Times New Roman"/>
                <w:color w:val="000000"/>
                <w:sz w:val="18"/>
                <w:szCs w:val="18"/>
              </w:rPr>
              <w:t>Лихви</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669,2</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646,8</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654,9</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671,4</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747,6</w:t>
            </w:r>
          </w:p>
        </w:tc>
      </w:tr>
      <w:tr w:rsidR="0088122E" w:rsidRPr="0088122E" w:rsidTr="003154BF">
        <w:trPr>
          <w:trHeight w:val="24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ind w:firstLineChars="100" w:firstLine="180"/>
              <w:jc w:val="left"/>
              <w:rPr>
                <w:rFonts w:eastAsia="Times New Roman" w:cs="Times New Roman"/>
                <w:color w:val="000000"/>
                <w:sz w:val="18"/>
                <w:szCs w:val="18"/>
              </w:rPr>
            </w:pPr>
            <w:r w:rsidRPr="0088122E">
              <w:rPr>
                <w:rFonts w:eastAsia="Times New Roman" w:cs="Times New Roman"/>
                <w:color w:val="000000"/>
                <w:sz w:val="18"/>
                <w:szCs w:val="18"/>
              </w:rPr>
              <w:t>Вноска в общия бюджет на ЕС</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1 282,1</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1 282,1</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1 397,4</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1 540,4</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1 667,6</w:t>
            </w:r>
          </w:p>
        </w:tc>
      </w:tr>
      <w:tr w:rsidR="0088122E" w:rsidRPr="0088122E" w:rsidTr="003154BF">
        <w:trPr>
          <w:trHeight w:val="255"/>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ind w:firstLineChars="100" w:firstLine="180"/>
              <w:jc w:val="left"/>
              <w:rPr>
                <w:rFonts w:eastAsia="Times New Roman" w:cs="Times New Roman"/>
                <w:color w:val="000000"/>
                <w:sz w:val="18"/>
                <w:szCs w:val="18"/>
              </w:rPr>
            </w:pPr>
            <w:r w:rsidRPr="0088122E">
              <w:rPr>
                <w:rFonts w:eastAsia="Times New Roman" w:cs="Times New Roman"/>
                <w:color w:val="000000"/>
                <w:sz w:val="18"/>
                <w:szCs w:val="18"/>
              </w:rPr>
              <w:t>Трансфер за сметки за средства от ЕС (нето)</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-1 298,7</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-1 313,0</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-1 254,8</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-1 256,3</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-1 227,0</w:t>
            </w:r>
          </w:p>
        </w:tc>
      </w:tr>
      <w:tr w:rsidR="0088122E" w:rsidRPr="0088122E" w:rsidTr="003154BF">
        <w:trPr>
          <w:trHeight w:val="75"/>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color w:val="000000"/>
                <w:sz w:val="18"/>
                <w:szCs w:val="18"/>
              </w:rPr>
            </w:pP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 </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r>
      <w:tr w:rsidR="0088122E" w:rsidRPr="0088122E" w:rsidTr="003154BF">
        <w:trPr>
          <w:trHeight w:val="24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b/>
                <w:bCs/>
                <w:color w:val="000000"/>
                <w:sz w:val="18"/>
                <w:szCs w:val="18"/>
              </w:rPr>
            </w:pPr>
            <w:r w:rsidRPr="0088122E">
              <w:rPr>
                <w:rFonts w:eastAsia="Times New Roman" w:cs="Times New Roman"/>
                <w:b/>
                <w:bCs/>
                <w:color w:val="000000"/>
                <w:sz w:val="18"/>
                <w:szCs w:val="18"/>
              </w:rPr>
              <w:t>БЮДЖЕТНО САЛДО (+/-)</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-2 262,8</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-2 169,3</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72,9</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28,4</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48,9</w:t>
            </w:r>
          </w:p>
        </w:tc>
      </w:tr>
      <w:tr w:rsidR="0088122E" w:rsidRPr="0088122E" w:rsidTr="003154BF">
        <w:trPr>
          <w:trHeight w:val="240"/>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r w:rsidRPr="0088122E">
              <w:rPr>
                <w:rFonts w:eastAsia="Times New Roman" w:cs="Times New Roman"/>
                <w:i/>
                <w:iCs/>
                <w:color w:val="000000"/>
                <w:sz w:val="18"/>
                <w:szCs w:val="18"/>
              </w:rPr>
              <w:t>% от БВП</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-1,9%</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-1,8%</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0,1%</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0,0%</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0,0%</w:t>
            </w:r>
          </w:p>
        </w:tc>
      </w:tr>
      <w:tr w:rsidR="0088122E" w:rsidRPr="0088122E" w:rsidTr="003154BF">
        <w:trPr>
          <w:trHeight w:val="195"/>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color w:val="000000"/>
                <w:sz w:val="18"/>
                <w:szCs w:val="18"/>
              </w:rPr>
            </w:pP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 </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r>
      <w:tr w:rsidR="0088122E" w:rsidRPr="0088122E" w:rsidTr="003154BF">
        <w:trPr>
          <w:trHeight w:val="345"/>
        </w:trPr>
        <w:tc>
          <w:tcPr>
            <w:tcW w:w="2111" w:type="pct"/>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b/>
                <w:bCs/>
                <w:color w:val="000000"/>
                <w:sz w:val="18"/>
                <w:szCs w:val="18"/>
              </w:rPr>
            </w:pPr>
            <w:r w:rsidRPr="0088122E">
              <w:rPr>
                <w:rFonts w:eastAsia="Times New Roman" w:cs="Times New Roman"/>
                <w:b/>
                <w:bCs/>
                <w:color w:val="000000"/>
                <w:sz w:val="18"/>
                <w:szCs w:val="18"/>
              </w:rPr>
              <w:t>ФИНАНСИРАНЕ (+/-)</w:t>
            </w:r>
          </w:p>
        </w:tc>
        <w:tc>
          <w:tcPr>
            <w:tcW w:w="651"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2 262,8</w:t>
            </w:r>
          </w:p>
        </w:tc>
        <w:tc>
          <w:tcPr>
            <w:tcW w:w="632"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2 169,3</w:t>
            </w:r>
          </w:p>
        </w:tc>
        <w:tc>
          <w:tcPr>
            <w:tcW w:w="536" w:type="pct"/>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-72,9</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-28,4</w:t>
            </w:r>
          </w:p>
        </w:tc>
        <w:tc>
          <w:tcPr>
            <w:tcW w:w="536" w:type="pct"/>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-48,9</w:t>
            </w:r>
          </w:p>
        </w:tc>
      </w:tr>
      <w:tr w:rsidR="0088122E" w:rsidRPr="0088122E" w:rsidTr="003154BF">
        <w:trPr>
          <w:trHeight w:val="240"/>
        </w:trPr>
        <w:tc>
          <w:tcPr>
            <w:tcW w:w="2111" w:type="pct"/>
            <w:tcBorders>
              <w:top w:val="nil"/>
              <w:left w:val="nil"/>
              <w:bottom w:val="single" w:sz="4" w:space="0" w:color="auto"/>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r w:rsidRPr="0088122E">
              <w:rPr>
                <w:rFonts w:eastAsia="Times New Roman" w:cs="Times New Roman"/>
                <w:i/>
                <w:iCs/>
                <w:color w:val="000000"/>
                <w:sz w:val="18"/>
                <w:szCs w:val="18"/>
              </w:rPr>
              <w:t>% от БВП</w:t>
            </w:r>
          </w:p>
        </w:tc>
        <w:tc>
          <w:tcPr>
            <w:tcW w:w="651" w:type="pct"/>
            <w:tcBorders>
              <w:top w:val="nil"/>
              <w:left w:val="nil"/>
              <w:bottom w:val="single" w:sz="4" w:space="0" w:color="auto"/>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1,9%</w:t>
            </w:r>
          </w:p>
        </w:tc>
        <w:tc>
          <w:tcPr>
            <w:tcW w:w="632" w:type="pct"/>
            <w:tcBorders>
              <w:top w:val="nil"/>
              <w:left w:val="nil"/>
              <w:bottom w:val="single" w:sz="4" w:space="0" w:color="auto"/>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1,8%</w:t>
            </w:r>
          </w:p>
        </w:tc>
        <w:tc>
          <w:tcPr>
            <w:tcW w:w="536" w:type="pct"/>
            <w:tcBorders>
              <w:top w:val="nil"/>
              <w:left w:val="nil"/>
              <w:bottom w:val="single" w:sz="4" w:space="0" w:color="auto"/>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-0,1%</w:t>
            </w:r>
          </w:p>
        </w:tc>
        <w:tc>
          <w:tcPr>
            <w:tcW w:w="536" w:type="pct"/>
            <w:tcBorders>
              <w:top w:val="nil"/>
              <w:left w:val="nil"/>
              <w:bottom w:val="single" w:sz="4" w:space="0" w:color="auto"/>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0,0%</w:t>
            </w:r>
          </w:p>
        </w:tc>
        <w:tc>
          <w:tcPr>
            <w:tcW w:w="536" w:type="pct"/>
            <w:tcBorders>
              <w:top w:val="nil"/>
              <w:left w:val="nil"/>
              <w:bottom w:val="single" w:sz="4" w:space="0" w:color="auto"/>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0,0%</w:t>
            </w:r>
          </w:p>
        </w:tc>
      </w:tr>
    </w:tbl>
    <w:p w:rsidR="00454210" w:rsidRPr="00A00FF3" w:rsidRDefault="00454210" w:rsidP="00C70181">
      <w:pPr>
        <w:spacing w:before="120" w:after="120"/>
      </w:pPr>
      <w:r w:rsidRPr="00A00FF3">
        <w:t>И през следващия тригодишен период приоритет за страната ни остава успешното усвояване на средствата от европейските фондове и програми на ЕС, чрез които да се постигне устойчив икономически растеж, по-висока заетост, социално включване и териториално сближаване и изграждане на конкурентоспособна и иновативна икономика.</w:t>
      </w:r>
    </w:p>
    <w:p w:rsidR="00454210" w:rsidRDefault="00454210" w:rsidP="00C70181">
      <w:pPr>
        <w:spacing w:after="120"/>
      </w:pPr>
      <w:r w:rsidRPr="00A00FF3">
        <w:t>Въздействието върху бюджета за периода 201</w:t>
      </w:r>
      <w:r w:rsidR="00A00FF3" w:rsidRPr="00A00FF3">
        <w:t>9</w:t>
      </w:r>
      <w:r w:rsidRPr="00A00FF3">
        <w:t>-202</w:t>
      </w:r>
      <w:r w:rsidR="00A00FF3" w:rsidRPr="00A00FF3">
        <w:t>2</w:t>
      </w:r>
      <w:r w:rsidRPr="00A00FF3">
        <w:t> г. от финансовите взаимоотношения с ЕС е представено в Табл. II-6.</w:t>
      </w:r>
    </w:p>
    <w:p w:rsidR="009E4B38" w:rsidRDefault="009E4B38" w:rsidP="001E1E4C">
      <w:pPr>
        <w:pStyle w:val="Caption"/>
        <w:spacing w:before="120"/>
      </w:pPr>
      <w:bookmarkStart w:id="348" w:name="_Toc464644978"/>
      <w:bookmarkStart w:id="349" w:name="_Toc464646361"/>
      <w:bookmarkStart w:id="350" w:name="_Toc464737639"/>
    </w:p>
    <w:p w:rsidR="00083361" w:rsidRDefault="00F27608" w:rsidP="001E1E4C">
      <w:pPr>
        <w:pStyle w:val="Caption"/>
        <w:spacing w:before="120"/>
        <w:rPr>
          <w:vertAlign w:val="superscript"/>
        </w:rPr>
      </w:pPr>
      <w:bookmarkStart w:id="351" w:name="_Toc23337521"/>
      <w:r w:rsidRPr="001D14B4">
        <w:t xml:space="preserve">Табл. </w:t>
      </w:r>
      <w:fldSimple w:instr=" STYLEREF 1 \s ">
        <w:r w:rsidR="0034195B">
          <w:rPr>
            <w:noProof/>
          </w:rPr>
          <w:t>II</w:t>
        </w:r>
      </w:fldSimple>
      <w:r w:rsidR="00927CD5" w:rsidRPr="001D14B4">
        <w:noBreakHyphen/>
      </w:r>
      <w:fldSimple w:instr=" SEQ Табл. \* ARABIC \s 1 ">
        <w:r w:rsidR="0034195B">
          <w:rPr>
            <w:noProof/>
          </w:rPr>
          <w:t>6</w:t>
        </w:r>
      </w:fldSimple>
      <w:r w:rsidRPr="001D14B4">
        <w:t>:</w:t>
      </w:r>
      <w:r w:rsidRPr="001D14B4">
        <w:tab/>
      </w:r>
      <w:r w:rsidR="00083361" w:rsidRPr="001D14B4">
        <w:rPr>
          <w:color w:val="000000"/>
        </w:rPr>
        <w:t xml:space="preserve">КФП – Сметки за средства от </w:t>
      </w:r>
      <w:r w:rsidR="00083361" w:rsidRPr="00773D90">
        <w:rPr>
          <w:color w:val="000000"/>
        </w:rPr>
        <w:t xml:space="preserve">ЕС </w:t>
      </w:r>
      <w:r w:rsidR="00083361" w:rsidRPr="00773D90">
        <w:rPr>
          <w:color w:val="000000"/>
          <w:lang w:val="ru-RU"/>
        </w:rPr>
        <w:t>(</w:t>
      </w:r>
      <w:r w:rsidR="00083361" w:rsidRPr="00773D90">
        <w:rPr>
          <w:color w:val="000000"/>
        </w:rPr>
        <w:t>201</w:t>
      </w:r>
      <w:r w:rsidR="00773D90" w:rsidRPr="00773D90">
        <w:rPr>
          <w:color w:val="000000"/>
        </w:rPr>
        <w:t>9</w:t>
      </w:r>
      <w:r w:rsidR="00083361" w:rsidRPr="00773D90">
        <w:rPr>
          <w:color w:val="000000"/>
        </w:rPr>
        <w:t>-20</w:t>
      </w:r>
      <w:r w:rsidR="00773D90" w:rsidRPr="00773D90">
        <w:rPr>
          <w:color w:val="000000"/>
        </w:rPr>
        <w:t>22</w:t>
      </w:r>
      <w:r w:rsidR="00AA3035" w:rsidRPr="00773D90">
        <w:rPr>
          <w:color w:val="000000"/>
        </w:rPr>
        <w:t> г.</w:t>
      </w:r>
      <w:r w:rsidR="00083361" w:rsidRPr="00773D90">
        <w:rPr>
          <w:color w:val="000000"/>
          <w:lang w:val="ru-RU"/>
        </w:rPr>
        <w:t>)</w:t>
      </w:r>
      <w:r w:rsidR="00083361" w:rsidRPr="001D14B4">
        <w:rPr>
          <w:vertAlign w:val="superscript"/>
        </w:rPr>
        <w:t xml:space="preserve"> </w:t>
      </w:r>
      <w:r w:rsidR="00083361" w:rsidRPr="001D14B4">
        <w:rPr>
          <w:vertAlign w:val="superscript"/>
        </w:rPr>
        <w:footnoteReference w:id="13"/>
      </w:r>
      <w:bookmarkEnd w:id="348"/>
      <w:bookmarkEnd w:id="349"/>
      <w:bookmarkEnd w:id="350"/>
      <w:bookmarkEnd w:id="351"/>
    </w:p>
    <w:tbl>
      <w:tblPr>
        <w:tblW w:w="9440" w:type="dxa"/>
        <w:tblInd w:w="70" w:type="dxa"/>
        <w:tblCellMar>
          <w:left w:w="70" w:type="dxa"/>
          <w:right w:w="70" w:type="dxa"/>
        </w:tblCellMar>
        <w:tblLook w:val="04A0" w:firstRow="1" w:lastRow="0" w:firstColumn="1" w:lastColumn="0" w:noHBand="0" w:noVBand="1"/>
      </w:tblPr>
      <w:tblGrid>
        <w:gridCol w:w="3920"/>
        <w:gridCol w:w="1240"/>
        <w:gridCol w:w="1220"/>
        <w:gridCol w:w="1020"/>
        <w:gridCol w:w="1020"/>
        <w:gridCol w:w="1020"/>
      </w:tblGrid>
      <w:tr w:rsidR="0088122E" w:rsidRPr="0088122E" w:rsidTr="0088122E">
        <w:trPr>
          <w:trHeight w:val="270"/>
        </w:trPr>
        <w:tc>
          <w:tcPr>
            <w:tcW w:w="3920" w:type="dxa"/>
            <w:vMerge w:val="restart"/>
            <w:tcBorders>
              <w:top w:val="single" w:sz="4" w:space="0" w:color="595959"/>
              <w:left w:val="nil"/>
              <w:bottom w:val="single" w:sz="4" w:space="0" w:color="000000"/>
              <w:right w:val="nil"/>
            </w:tcBorders>
            <w:shd w:val="clear" w:color="auto" w:fill="auto"/>
            <w:vAlign w:val="center"/>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КФП                                                           СМЕТКИ ЗА СРЕДСТВА ОТ ЕС</w:t>
            </w:r>
            <w:r w:rsidRPr="0088122E">
              <w:rPr>
                <w:rFonts w:eastAsia="Times New Roman" w:cs="Times New Roman"/>
                <w:b/>
                <w:bCs/>
                <w:sz w:val="20"/>
                <w:szCs w:val="20"/>
              </w:rPr>
              <w:br/>
              <w:t>млн. лв.</w:t>
            </w:r>
          </w:p>
        </w:tc>
        <w:tc>
          <w:tcPr>
            <w:tcW w:w="1240" w:type="dxa"/>
            <w:vMerge w:val="restart"/>
            <w:tcBorders>
              <w:top w:val="single" w:sz="4" w:space="0" w:color="595959"/>
              <w:left w:val="nil"/>
              <w:bottom w:val="single" w:sz="4" w:space="0" w:color="000000"/>
              <w:right w:val="nil"/>
            </w:tcBorders>
            <w:shd w:val="clear" w:color="auto" w:fill="auto"/>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2019</w:t>
            </w:r>
            <w:r w:rsidRPr="0088122E">
              <w:rPr>
                <w:rFonts w:eastAsia="Times New Roman" w:cs="Times New Roman"/>
                <w:b/>
                <w:bCs/>
                <w:sz w:val="20"/>
                <w:szCs w:val="20"/>
              </w:rPr>
              <w:br/>
              <w:t>Ревизирана оценка</w:t>
            </w:r>
          </w:p>
        </w:tc>
        <w:tc>
          <w:tcPr>
            <w:tcW w:w="1220" w:type="dxa"/>
            <w:vMerge w:val="restart"/>
            <w:tcBorders>
              <w:top w:val="single" w:sz="4" w:space="0" w:color="595959"/>
              <w:left w:val="nil"/>
              <w:bottom w:val="single" w:sz="4" w:space="0" w:color="000000"/>
              <w:right w:val="nil"/>
            </w:tcBorders>
            <w:shd w:val="clear" w:color="auto" w:fill="auto"/>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2019</w:t>
            </w:r>
            <w:r w:rsidRPr="0088122E">
              <w:rPr>
                <w:rFonts w:eastAsia="Times New Roman" w:cs="Times New Roman"/>
                <w:b/>
                <w:bCs/>
                <w:sz w:val="20"/>
                <w:szCs w:val="20"/>
              </w:rPr>
              <w:br/>
              <w:t>Очаквано изпълнение</w:t>
            </w:r>
          </w:p>
        </w:tc>
        <w:tc>
          <w:tcPr>
            <w:tcW w:w="1020" w:type="dxa"/>
            <w:vMerge w:val="restart"/>
            <w:tcBorders>
              <w:top w:val="single" w:sz="4" w:space="0" w:color="595959"/>
              <w:left w:val="nil"/>
              <w:bottom w:val="single" w:sz="4" w:space="0" w:color="000000"/>
              <w:right w:val="nil"/>
            </w:tcBorders>
            <w:shd w:val="clear" w:color="000000" w:fill="F2F2F2"/>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2020</w:t>
            </w:r>
            <w:r w:rsidRPr="0088122E">
              <w:rPr>
                <w:rFonts w:eastAsia="Times New Roman" w:cs="Times New Roman"/>
                <w:b/>
                <w:bCs/>
                <w:sz w:val="20"/>
                <w:szCs w:val="20"/>
              </w:rPr>
              <w:br/>
              <w:t>Проект</w:t>
            </w:r>
          </w:p>
        </w:tc>
        <w:tc>
          <w:tcPr>
            <w:tcW w:w="1020" w:type="dxa"/>
            <w:vMerge w:val="restart"/>
            <w:tcBorders>
              <w:top w:val="single" w:sz="4" w:space="0" w:color="595959"/>
              <w:left w:val="nil"/>
              <w:bottom w:val="single" w:sz="4" w:space="0" w:color="000000"/>
              <w:right w:val="nil"/>
            </w:tcBorders>
            <w:shd w:val="clear" w:color="auto" w:fill="auto"/>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2021</w:t>
            </w:r>
            <w:r w:rsidRPr="0088122E">
              <w:rPr>
                <w:rFonts w:eastAsia="Times New Roman" w:cs="Times New Roman"/>
                <w:b/>
                <w:bCs/>
                <w:sz w:val="20"/>
                <w:szCs w:val="20"/>
              </w:rPr>
              <w:br/>
              <w:t>Прогноза</w:t>
            </w:r>
          </w:p>
        </w:tc>
        <w:tc>
          <w:tcPr>
            <w:tcW w:w="1020" w:type="dxa"/>
            <w:vMerge w:val="restart"/>
            <w:tcBorders>
              <w:top w:val="single" w:sz="4" w:space="0" w:color="595959"/>
              <w:left w:val="nil"/>
              <w:bottom w:val="single" w:sz="4" w:space="0" w:color="000000"/>
              <w:right w:val="nil"/>
            </w:tcBorders>
            <w:shd w:val="clear" w:color="auto" w:fill="auto"/>
            <w:hideMark/>
          </w:tcPr>
          <w:p w:rsidR="0088122E" w:rsidRPr="0088122E" w:rsidRDefault="0088122E" w:rsidP="0088122E">
            <w:pPr>
              <w:spacing w:after="0"/>
              <w:jc w:val="center"/>
              <w:rPr>
                <w:rFonts w:eastAsia="Times New Roman" w:cs="Times New Roman"/>
                <w:b/>
                <w:bCs/>
                <w:sz w:val="20"/>
                <w:szCs w:val="20"/>
              </w:rPr>
            </w:pPr>
            <w:r w:rsidRPr="0088122E">
              <w:rPr>
                <w:rFonts w:eastAsia="Times New Roman" w:cs="Times New Roman"/>
                <w:b/>
                <w:bCs/>
                <w:sz w:val="20"/>
                <w:szCs w:val="20"/>
              </w:rPr>
              <w:t>2022</w:t>
            </w:r>
            <w:r w:rsidRPr="0088122E">
              <w:rPr>
                <w:rFonts w:eastAsia="Times New Roman" w:cs="Times New Roman"/>
                <w:b/>
                <w:bCs/>
                <w:sz w:val="20"/>
                <w:szCs w:val="20"/>
              </w:rPr>
              <w:br/>
              <w:t>Прогноза</w:t>
            </w:r>
          </w:p>
        </w:tc>
      </w:tr>
      <w:tr w:rsidR="0088122E" w:rsidRPr="0088122E" w:rsidTr="0088122E">
        <w:trPr>
          <w:trHeight w:val="255"/>
        </w:trPr>
        <w:tc>
          <w:tcPr>
            <w:tcW w:w="39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24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2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r>
      <w:tr w:rsidR="0088122E" w:rsidRPr="0088122E" w:rsidTr="0088122E">
        <w:trPr>
          <w:trHeight w:val="255"/>
        </w:trPr>
        <w:tc>
          <w:tcPr>
            <w:tcW w:w="39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24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2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88122E" w:rsidRPr="0088122E" w:rsidRDefault="0088122E" w:rsidP="0088122E">
            <w:pPr>
              <w:spacing w:after="0"/>
              <w:jc w:val="left"/>
              <w:rPr>
                <w:rFonts w:eastAsia="Times New Roman" w:cs="Times New Roman"/>
                <w:b/>
                <w:bCs/>
                <w:sz w:val="20"/>
                <w:szCs w:val="20"/>
              </w:rPr>
            </w:pP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b/>
                <w:bCs/>
                <w:color w:val="000000"/>
                <w:sz w:val="18"/>
                <w:szCs w:val="18"/>
              </w:rPr>
            </w:pPr>
            <w:r w:rsidRPr="0088122E">
              <w:rPr>
                <w:rFonts w:eastAsia="Times New Roman" w:cs="Times New Roman"/>
                <w:b/>
                <w:bCs/>
                <w:color w:val="000000"/>
                <w:sz w:val="18"/>
                <w:szCs w:val="18"/>
              </w:rPr>
              <w:t>ПРИХОДИ, ПОМОЩИ И ДАРЕНИЯ</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2 648,3</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2 158,3</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2 650,5</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2 641,2</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2 501,7</w:t>
            </w: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r w:rsidRPr="0088122E">
              <w:rPr>
                <w:rFonts w:eastAsia="Times New Roman" w:cs="Times New Roman"/>
                <w:i/>
                <w:iCs/>
                <w:color w:val="000000"/>
                <w:sz w:val="18"/>
                <w:szCs w:val="18"/>
              </w:rPr>
              <w:t>% от БВП</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2,2%</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1,8%</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2,1%</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2,0%</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1,7%</w:t>
            </w:r>
          </w:p>
        </w:tc>
      </w:tr>
      <w:tr w:rsidR="0088122E" w:rsidRPr="0088122E" w:rsidTr="0088122E">
        <w:trPr>
          <w:trHeight w:val="165"/>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color w:val="000000"/>
                <w:sz w:val="18"/>
                <w:szCs w:val="18"/>
              </w:rPr>
            </w:pP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 </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b/>
                <w:bCs/>
                <w:color w:val="000000"/>
                <w:sz w:val="18"/>
                <w:szCs w:val="18"/>
              </w:rPr>
            </w:pPr>
            <w:r w:rsidRPr="0088122E">
              <w:rPr>
                <w:rFonts w:eastAsia="Times New Roman" w:cs="Times New Roman"/>
                <w:b/>
                <w:bCs/>
                <w:color w:val="000000"/>
                <w:sz w:val="18"/>
                <w:szCs w:val="18"/>
              </w:rPr>
              <w:t>ОБЩО РАЗХОДИ И ТРАНСФЕРИ (НЕТО)</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2 818,1</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2 418,0</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2 723,4</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2 669,6</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2 550,6</w:t>
            </w: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r w:rsidRPr="0088122E">
              <w:rPr>
                <w:rFonts w:eastAsia="Times New Roman" w:cs="Times New Roman"/>
                <w:i/>
                <w:iCs/>
                <w:color w:val="000000"/>
                <w:sz w:val="18"/>
                <w:szCs w:val="18"/>
              </w:rPr>
              <w:t>% от БВП</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2,4%</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2,0%</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2,1%</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2,0%</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1,8%</w:t>
            </w:r>
          </w:p>
        </w:tc>
      </w:tr>
      <w:tr w:rsidR="0088122E" w:rsidRPr="0088122E" w:rsidTr="0088122E">
        <w:trPr>
          <w:trHeight w:val="15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 </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r>
      <w:tr w:rsidR="0088122E" w:rsidRPr="0088122E" w:rsidTr="0088122E">
        <w:trPr>
          <w:trHeight w:val="240"/>
        </w:trPr>
        <w:tc>
          <w:tcPr>
            <w:tcW w:w="3920" w:type="dxa"/>
            <w:tcBorders>
              <w:top w:val="nil"/>
              <w:left w:val="nil"/>
              <w:bottom w:val="nil"/>
              <w:right w:val="nil"/>
            </w:tcBorders>
            <w:shd w:val="clear" w:color="auto" w:fill="auto"/>
            <w:noWrap/>
            <w:vAlign w:val="center"/>
            <w:hideMark/>
          </w:tcPr>
          <w:p w:rsidR="0088122E" w:rsidRPr="0088122E" w:rsidRDefault="0088122E" w:rsidP="0088122E">
            <w:pPr>
              <w:spacing w:after="0"/>
              <w:ind w:firstLineChars="100" w:firstLine="180"/>
              <w:jc w:val="left"/>
              <w:rPr>
                <w:rFonts w:eastAsia="Times New Roman" w:cs="Times New Roman"/>
                <w:color w:val="000000"/>
                <w:sz w:val="18"/>
                <w:szCs w:val="18"/>
              </w:rPr>
            </w:pPr>
            <w:r w:rsidRPr="0088122E">
              <w:rPr>
                <w:rFonts w:eastAsia="Times New Roman" w:cs="Times New Roman"/>
                <w:color w:val="000000"/>
                <w:sz w:val="18"/>
                <w:szCs w:val="18"/>
              </w:rPr>
              <w:t xml:space="preserve">Разходи </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4 116,8</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3 731,0</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3 978,2</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3 925,9</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3 777,6</w:t>
            </w: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ind w:firstLineChars="100" w:firstLine="180"/>
              <w:jc w:val="left"/>
              <w:rPr>
                <w:rFonts w:eastAsia="Times New Roman" w:cs="Times New Roman"/>
                <w:color w:val="000000"/>
                <w:sz w:val="18"/>
                <w:szCs w:val="18"/>
              </w:rPr>
            </w:pPr>
            <w:r w:rsidRPr="0088122E">
              <w:rPr>
                <w:rFonts w:eastAsia="Times New Roman" w:cs="Times New Roman"/>
                <w:color w:val="000000"/>
                <w:sz w:val="18"/>
                <w:szCs w:val="18"/>
              </w:rPr>
              <w:t>Трансфер от/за държавния бюджет (нето)</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1 298,7</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1 313,0</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1 254,8</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1 256,3</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1 227,0</w:t>
            </w: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color w:val="000000"/>
                <w:sz w:val="18"/>
                <w:szCs w:val="18"/>
              </w:rPr>
            </w:pP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 </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b/>
                <w:bCs/>
                <w:color w:val="000000"/>
                <w:sz w:val="18"/>
                <w:szCs w:val="18"/>
              </w:rPr>
            </w:pPr>
            <w:r w:rsidRPr="0088122E">
              <w:rPr>
                <w:rFonts w:eastAsia="Times New Roman" w:cs="Times New Roman"/>
                <w:b/>
                <w:bCs/>
                <w:color w:val="000000"/>
                <w:sz w:val="18"/>
                <w:szCs w:val="18"/>
              </w:rPr>
              <w:t>БЮДЖЕТНО САЛДО (+/-)</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-169,8</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-259,7</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-72,9</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-28,4</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-48,9</w:t>
            </w: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r w:rsidRPr="0088122E">
              <w:rPr>
                <w:rFonts w:eastAsia="Times New Roman" w:cs="Times New Roman"/>
                <w:i/>
                <w:iCs/>
                <w:color w:val="000000"/>
                <w:sz w:val="18"/>
                <w:szCs w:val="18"/>
              </w:rPr>
              <w:t>% от БВП</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-0,1%</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-0,2%</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-0,1%</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0,0%</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0,0%</w:t>
            </w:r>
          </w:p>
        </w:tc>
      </w:tr>
      <w:tr w:rsidR="0088122E" w:rsidRPr="0088122E" w:rsidTr="0088122E">
        <w:trPr>
          <w:trHeight w:val="240"/>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color w:val="000000"/>
                <w:sz w:val="18"/>
                <w:szCs w:val="18"/>
              </w:rPr>
            </w:pP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color w:val="000000"/>
                <w:sz w:val="18"/>
                <w:szCs w:val="18"/>
              </w:rPr>
            </w:pPr>
            <w:r w:rsidRPr="0088122E">
              <w:rPr>
                <w:rFonts w:eastAsia="Times New Roman" w:cs="Times New Roman"/>
                <w:color w:val="000000"/>
                <w:sz w:val="18"/>
                <w:szCs w:val="18"/>
              </w:rPr>
              <w:t> </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color w:val="000000"/>
                <w:sz w:val="18"/>
                <w:szCs w:val="18"/>
              </w:rPr>
            </w:pPr>
          </w:p>
        </w:tc>
      </w:tr>
      <w:tr w:rsidR="0088122E" w:rsidRPr="0088122E" w:rsidTr="0088122E">
        <w:trPr>
          <w:trHeight w:val="315"/>
        </w:trPr>
        <w:tc>
          <w:tcPr>
            <w:tcW w:w="3920" w:type="dxa"/>
            <w:tcBorders>
              <w:top w:val="nil"/>
              <w:left w:val="nil"/>
              <w:bottom w:val="nil"/>
              <w:right w:val="nil"/>
            </w:tcBorders>
            <w:shd w:val="clear" w:color="auto" w:fill="auto"/>
            <w:vAlign w:val="center"/>
            <w:hideMark/>
          </w:tcPr>
          <w:p w:rsidR="0088122E" w:rsidRPr="0088122E" w:rsidRDefault="0088122E" w:rsidP="0088122E">
            <w:pPr>
              <w:spacing w:after="0"/>
              <w:jc w:val="left"/>
              <w:rPr>
                <w:rFonts w:eastAsia="Times New Roman" w:cs="Times New Roman"/>
                <w:b/>
                <w:bCs/>
                <w:color w:val="000000"/>
                <w:sz w:val="18"/>
                <w:szCs w:val="18"/>
              </w:rPr>
            </w:pPr>
            <w:r w:rsidRPr="0088122E">
              <w:rPr>
                <w:rFonts w:eastAsia="Times New Roman" w:cs="Times New Roman"/>
                <w:b/>
                <w:bCs/>
                <w:color w:val="000000"/>
                <w:sz w:val="18"/>
                <w:szCs w:val="18"/>
              </w:rPr>
              <w:t>ФИНАНСИРАНЕ (+/-)</w:t>
            </w:r>
          </w:p>
        </w:tc>
        <w:tc>
          <w:tcPr>
            <w:tcW w:w="124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169,8</w:t>
            </w:r>
          </w:p>
        </w:tc>
        <w:tc>
          <w:tcPr>
            <w:tcW w:w="12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259,7</w:t>
            </w:r>
          </w:p>
        </w:tc>
        <w:tc>
          <w:tcPr>
            <w:tcW w:w="1020" w:type="dxa"/>
            <w:tcBorders>
              <w:top w:val="nil"/>
              <w:left w:val="nil"/>
              <w:bottom w:val="nil"/>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72,9</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28,4</w:t>
            </w:r>
          </w:p>
        </w:tc>
        <w:tc>
          <w:tcPr>
            <w:tcW w:w="1020" w:type="dxa"/>
            <w:tcBorders>
              <w:top w:val="nil"/>
              <w:left w:val="nil"/>
              <w:bottom w:val="nil"/>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color w:val="000000"/>
                <w:sz w:val="18"/>
                <w:szCs w:val="18"/>
              </w:rPr>
            </w:pPr>
            <w:r w:rsidRPr="0088122E">
              <w:rPr>
                <w:rFonts w:eastAsia="Times New Roman" w:cs="Times New Roman"/>
                <w:b/>
                <w:bCs/>
                <w:color w:val="000000"/>
                <w:sz w:val="18"/>
                <w:szCs w:val="18"/>
              </w:rPr>
              <w:t>48,9</w:t>
            </w:r>
          </w:p>
        </w:tc>
      </w:tr>
      <w:tr w:rsidR="0088122E" w:rsidRPr="0088122E" w:rsidTr="0088122E">
        <w:trPr>
          <w:trHeight w:val="240"/>
        </w:trPr>
        <w:tc>
          <w:tcPr>
            <w:tcW w:w="3920" w:type="dxa"/>
            <w:tcBorders>
              <w:top w:val="nil"/>
              <w:left w:val="nil"/>
              <w:bottom w:val="single" w:sz="4" w:space="0" w:color="auto"/>
              <w:right w:val="nil"/>
            </w:tcBorders>
            <w:shd w:val="clear" w:color="auto" w:fill="auto"/>
            <w:vAlign w:val="center"/>
            <w:hideMark/>
          </w:tcPr>
          <w:p w:rsidR="0088122E" w:rsidRPr="0088122E" w:rsidRDefault="0088122E" w:rsidP="0088122E">
            <w:pPr>
              <w:spacing w:after="0"/>
              <w:jc w:val="right"/>
              <w:rPr>
                <w:rFonts w:eastAsia="Times New Roman" w:cs="Times New Roman"/>
                <w:i/>
                <w:iCs/>
                <w:color w:val="000000"/>
                <w:sz w:val="18"/>
                <w:szCs w:val="18"/>
              </w:rPr>
            </w:pPr>
            <w:r w:rsidRPr="0088122E">
              <w:rPr>
                <w:rFonts w:eastAsia="Times New Roman" w:cs="Times New Roman"/>
                <w:i/>
                <w:iCs/>
                <w:color w:val="000000"/>
                <w:sz w:val="18"/>
                <w:szCs w:val="18"/>
              </w:rPr>
              <w:t>% от БВП</w:t>
            </w:r>
          </w:p>
        </w:tc>
        <w:tc>
          <w:tcPr>
            <w:tcW w:w="1240" w:type="dxa"/>
            <w:tcBorders>
              <w:top w:val="nil"/>
              <w:left w:val="nil"/>
              <w:bottom w:val="single" w:sz="4" w:space="0" w:color="auto"/>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0,1%</w:t>
            </w:r>
          </w:p>
        </w:tc>
        <w:tc>
          <w:tcPr>
            <w:tcW w:w="1220" w:type="dxa"/>
            <w:tcBorders>
              <w:top w:val="nil"/>
              <w:left w:val="nil"/>
              <w:bottom w:val="single" w:sz="4" w:space="0" w:color="auto"/>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0,2%</w:t>
            </w:r>
          </w:p>
        </w:tc>
        <w:tc>
          <w:tcPr>
            <w:tcW w:w="1020" w:type="dxa"/>
            <w:tcBorders>
              <w:top w:val="nil"/>
              <w:left w:val="nil"/>
              <w:bottom w:val="single" w:sz="4" w:space="0" w:color="auto"/>
              <w:right w:val="nil"/>
            </w:tcBorders>
            <w:shd w:val="clear" w:color="000000" w:fill="F2F2F2"/>
            <w:noWrap/>
            <w:vAlign w:val="center"/>
            <w:hideMark/>
          </w:tcPr>
          <w:p w:rsidR="0088122E" w:rsidRPr="0088122E" w:rsidRDefault="0088122E" w:rsidP="0088122E">
            <w:pPr>
              <w:spacing w:after="0"/>
              <w:jc w:val="right"/>
              <w:rPr>
                <w:rFonts w:eastAsia="Times New Roman" w:cs="Times New Roman"/>
                <w:b/>
                <w:bCs/>
                <w:i/>
                <w:iCs/>
                <w:sz w:val="18"/>
                <w:szCs w:val="18"/>
              </w:rPr>
            </w:pPr>
            <w:r w:rsidRPr="0088122E">
              <w:rPr>
                <w:rFonts w:eastAsia="Times New Roman" w:cs="Times New Roman"/>
                <w:b/>
                <w:bCs/>
                <w:i/>
                <w:iCs/>
                <w:sz w:val="18"/>
                <w:szCs w:val="18"/>
              </w:rPr>
              <w:t>0,1%</w:t>
            </w:r>
          </w:p>
        </w:tc>
        <w:tc>
          <w:tcPr>
            <w:tcW w:w="1020" w:type="dxa"/>
            <w:tcBorders>
              <w:top w:val="nil"/>
              <w:left w:val="nil"/>
              <w:bottom w:val="single" w:sz="4" w:space="0" w:color="auto"/>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0,0%</w:t>
            </w:r>
          </w:p>
        </w:tc>
        <w:tc>
          <w:tcPr>
            <w:tcW w:w="1020" w:type="dxa"/>
            <w:tcBorders>
              <w:top w:val="nil"/>
              <w:left w:val="nil"/>
              <w:bottom w:val="single" w:sz="4" w:space="0" w:color="auto"/>
              <w:right w:val="nil"/>
            </w:tcBorders>
            <w:shd w:val="clear" w:color="auto" w:fill="auto"/>
            <w:noWrap/>
            <w:vAlign w:val="center"/>
            <w:hideMark/>
          </w:tcPr>
          <w:p w:rsidR="0088122E" w:rsidRPr="0088122E" w:rsidRDefault="0088122E" w:rsidP="0088122E">
            <w:pPr>
              <w:spacing w:after="0"/>
              <w:jc w:val="right"/>
              <w:rPr>
                <w:rFonts w:eastAsia="Times New Roman" w:cs="Times New Roman"/>
                <w:b/>
                <w:bCs/>
                <w:i/>
                <w:iCs/>
                <w:color w:val="000000"/>
                <w:sz w:val="18"/>
                <w:szCs w:val="18"/>
              </w:rPr>
            </w:pPr>
            <w:r w:rsidRPr="0088122E">
              <w:rPr>
                <w:rFonts w:eastAsia="Times New Roman" w:cs="Times New Roman"/>
                <w:b/>
                <w:bCs/>
                <w:i/>
                <w:iCs/>
                <w:color w:val="000000"/>
                <w:sz w:val="18"/>
                <w:szCs w:val="18"/>
              </w:rPr>
              <w:t>0,0%</w:t>
            </w:r>
          </w:p>
        </w:tc>
      </w:tr>
    </w:tbl>
    <w:p w:rsidR="00083361" w:rsidRPr="00F74335" w:rsidRDefault="0012000B" w:rsidP="00DE2BDB">
      <w:pPr>
        <w:pStyle w:val="Heading2"/>
        <w:rPr>
          <w:color w:val="852010" w:themeColor="accent3" w:themeShade="BF"/>
        </w:rPr>
      </w:pPr>
      <w:bookmarkStart w:id="352" w:name="_Toc464224780"/>
      <w:bookmarkStart w:id="353" w:name="_Toc464225430"/>
      <w:bookmarkStart w:id="354" w:name="_Toc464458977"/>
      <w:bookmarkStart w:id="355" w:name="_Toc464459723"/>
      <w:bookmarkStart w:id="356" w:name="_Toc464460678"/>
      <w:bookmarkStart w:id="357" w:name="_Toc464463077"/>
      <w:bookmarkStart w:id="358" w:name="_Toc464464904"/>
      <w:bookmarkStart w:id="359" w:name="_Toc464465410"/>
      <w:bookmarkStart w:id="360" w:name="_Toc464465598"/>
      <w:bookmarkStart w:id="361" w:name="_Toc464466423"/>
      <w:bookmarkStart w:id="362" w:name="_Toc464466667"/>
      <w:bookmarkStart w:id="363" w:name="_Toc464644979"/>
      <w:bookmarkStart w:id="364" w:name="_Toc465205508"/>
      <w:bookmarkStart w:id="365" w:name="_Toc23337475"/>
      <w:r w:rsidRPr="00F27608">
        <w:t>прогноза</w:t>
      </w:r>
      <w:r w:rsidR="00464E7E">
        <w:t xml:space="preserve"> З</w:t>
      </w:r>
      <w:r w:rsidRPr="00F27608">
        <w:t xml:space="preserve">а </w:t>
      </w:r>
      <w:r w:rsidR="00083361" w:rsidRPr="00F27608">
        <w:t>сектор „Държавно управление“</w:t>
      </w:r>
      <w:bookmarkEnd w:id="352"/>
      <w:bookmarkEnd w:id="353"/>
      <w:bookmarkEnd w:id="354"/>
      <w:bookmarkEnd w:id="355"/>
      <w:bookmarkEnd w:id="356"/>
      <w:bookmarkEnd w:id="357"/>
      <w:bookmarkEnd w:id="358"/>
      <w:bookmarkEnd w:id="359"/>
      <w:bookmarkEnd w:id="360"/>
      <w:bookmarkEnd w:id="361"/>
      <w:bookmarkEnd w:id="362"/>
      <w:bookmarkEnd w:id="363"/>
      <w:bookmarkEnd w:id="364"/>
      <w:r w:rsidR="002A37C0">
        <w:t xml:space="preserve"> за периода 2020</w:t>
      </w:r>
      <w:r w:rsidR="00464E7E">
        <w:t>-202</w:t>
      </w:r>
      <w:r w:rsidR="002A37C0">
        <w:t>2</w:t>
      </w:r>
      <w:r w:rsidR="00464E7E">
        <w:t xml:space="preserve"> г.</w:t>
      </w:r>
      <w:r w:rsidR="00A94A09" w:rsidRPr="00A94A09">
        <w:rPr>
          <w:rStyle w:val="FootnoteReference"/>
        </w:rPr>
        <w:t xml:space="preserve"> </w:t>
      </w:r>
      <w:r w:rsidR="003B749E" w:rsidRPr="0097597B">
        <w:rPr>
          <w:rStyle w:val="FootnoteReference"/>
          <w:color w:val="852010" w:themeColor="accent3" w:themeShade="BF"/>
        </w:rPr>
        <w:footnoteReference w:id="14"/>
      </w:r>
      <w:bookmarkEnd w:id="365"/>
    </w:p>
    <w:p w:rsidR="00E96676" w:rsidRDefault="00E96676" w:rsidP="00E96676">
      <w:pPr>
        <w:spacing w:after="120"/>
        <w:rPr>
          <w:rFonts w:eastAsia="Times New Roman" w:cs="Times New Roman"/>
        </w:rPr>
      </w:pPr>
      <w:r w:rsidRPr="00CB3E2E">
        <w:rPr>
          <w:rFonts w:eastAsia="Times New Roman" w:cs="Times New Roman"/>
        </w:rPr>
        <w:t>За целите на международните сравнения бюджетната рамка се представя освен по национална методология (по показатели на КФП на касова основа), така и на базата на европейската методология ЕСС 2010 чрез показателите за сектор „Държавно управление“, като следва да се отбележи, че фискалните параметри отразяват по еднакъв начин фискалната политика.</w:t>
      </w:r>
    </w:p>
    <w:p w:rsidR="003B749E" w:rsidRPr="00197134" w:rsidRDefault="003B749E" w:rsidP="003B749E">
      <w:r w:rsidRPr="00197134">
        <w:t xml:space="preserve">Фискалната рамка е насочена към формиране на </w:t>
      </w:r>
      <w:r w:rsidR="004B47C2" w:rsidRPr="00197134">
        <w:t>бюджетна позиция на начислена основа</w:t>
      </w:r>
      <w:r w:rsidR="004B47C2">
        <w:t>,</w:t>
      </w:r>
      <w:r w:rsidR="004B47C2" w:rsidRPr="00197134">
        <w:t xml:space="preserve"> </w:t>
      </w:r>
      <w:r w:rsidRPr="00197134">
        <w:t>близ</w:t>
      </w:r>
      <w:r w:rsidR="004B47C2">
        <w:t>ка</w:t>
      </w:r>
      <w:r w:rsidRPr="00197134">
        <w:t xml:space="preserve"> до балансиран бюджет за 2020 г.</w:t>
      </w:r>
      <w:r w:rsidR="004B47C2">
        <w:t>,</w:t>
      </w:r>
      <w:r w:rsidRPr="00197134">
        <w:t xml:space="preserve"> и поддържане на излишъци за периода 2021-2022 г. </w:t>
      </w:r>
      <w:r w:rsidR="00570F2E" w:rsidRPr="00197134">
        <w:rPr>
          <w:rFonts w:eastAsia="Batang"/>
        </w:rPr>
        <w:t>З</w:t>
      </w:r>
      <w:r w:rsidR="007F7C87" w:rsidRPr="00197134">
        <w:rPr>
          <w:rFonts w:eastAsia="Batang"/>
        </w:rPr>
        <w:t>а 2019 г</w:t>
      </w:r>
      <w:r w:rsidR="007F7C87" w:rsidRPr="00197134">
        <w:t xml:space="preserve"> </w:t>
      </w:r>
      <w:r w:rsidRPr="00197134">
        <w:t>се очаква бюджетното салдо да бъде положително в размер на 0,05% от БВП</w:t>
      </w:r>
      <w:r w:rsidR="007F7C87" w:rsidRPr="00197134">
        <w:t>,</w:t>
      </w:r>
      <w:r w:rsidR="00DA4EF2">
        <w:t xml:space="preserve"> </w:t>
      </w:r>
      <w:r w:rsidR="007F7C87" w:rsidRPr="00197134">
        <w:t>а в</w:t>
      </w:r>
      <w:r w:rsidRPr="00197134">
        <w:t xml:space="preserve"> средносрочен план </w:t>
      </w:r>
      <w:r w:rsidR="00570F2E" w:rsidRPr="00197134">
        <w:t xml:space="preserve">е разчетен </w:t>
      </w:r>
      <w:r w:rsidR="007F7C87" w:rsidRPr="00197134">
        <w:t xml:space="preserve"> </w:t>
      </w:r>
      <w:r w:rsidRPr="00197134">
        <w:t>деф</w:t>
      </w:r>
      <w:r w:rsidR="00B225AF">
        <w:t>ицит за 2020 г. в размер на 0,1</w:t>
      </w:r>
      <w:r w:rsidRPr="00197134">
        <w:t xml:space="preserve">% от БВП и излишък съответно от 0,5% и 0,1% от БВП за 2021 г. и 2022 г. </w:t>
      </w:r>
    </w:p>
    <w:p w:rsidR="003B749E" w:rsidRPr="00197134" w:rsidRDefault="00DA4EF2" w:rsidP="00DA4EF2">
      <w:r>
        <w:t>Планираният размер на бюджетното салдо за периода 2020-2022 г. ще се реализира при очертаваща се тенденция на лек спад както при приходите като дял от БВП, така и при разходите.</w:t>
      </w:r>
      <w:r w:rsidRPr="007F7C87">
        <w:t xml:space="preserve"> </w:t>
      </w:r>
      <w:r>
        <w:t xml:space="preserve">В приходната част съотношението на общите </w:t>
      </w:r>
      <w:r w:rsidR="005E7FB7">
        <w:t>приходи спрямо БВП спада до 36,5</w:t>
      </w:r>
      <w:r>
        <w:t>% през 2020 г., след което се наблюдава тенденция на допълнително намаление до 3</w:t>
      </w:r>
      <w:r w:rsidR="005E7FB7">
        <w:t>5</w:t>
      </w:r>
      <w:r>
        <w:t>,</w:t>
      </w:r>
      <w:r w:rsidR="005E7FB7">
        <w:t>0</w:t>
      </w:r>
      <w:r>
        <w:t xml:space="preserve">% през 2022 г. Разходите като дял от БВП </w:t>
      </w:r>
      <w:r>
        <w:rPr>
          <w:rFonts w:eastAsia="Batang"/>
        </w:rPr>
        <w:t>п</w:t>
      </w:r>
      <w:r w:rsidRPr="00860F41">
        <w:rPr>
          <w:rFonts w:eastAsia="Batang"/>
        </w:rPr>
        <w:t xml:space="preserve">о </w:t>
      </w:r>
      <w:r>
        <w:rPr>
          <w:rFonts w:eastAsia="Batang"/>
        </w:rPr>
        <w:t xml:space="preserve">очакваното изпълнение </w:t>
      </w:r>
      <w:r w:rsidRPr="00860F41">
        <w:rPr>
          <w:rFonts w:eastAsia="Batang"/>
        </w:rPr>
        <w:t>за 2019 г</w:t>
      </w:r>
      <w:r w:rsidR="0072059B">
        <w:rPr>
          <w:rFonts w:eastAsia="Batang"/>
        </w:rPr>
        <w:t>.</w:t>
      </w:r>
      <w:r>
        <w:t xml:space="preserve"> са 36,7%, а през 2020 г., 2021 г. и 2022 г. бележат спад съответно до 36,</w:t>
      </w:r>
      <w:r w:rsidRPr="00B62A59">
        <w:t>6</w:t>
      </w:r>
      <w:r>
        <w:t>%, 35,</w:t>
      </w:r>
      <w:r w:rsidRPr="00B62A59">
        <w:t>4</w:t>
      </w:r>
      <w:r>
        <w:t>% и 34,9%.</w:t>
      </w:r>
    </w:p>
    <w:p w:rsidR="003B749E" w:rsidRPr="00197134" w:rsidRDefault="003B749E" w:rsidP="00197134">
      <w:pPr>
        <w:spacing w:after="120"/>
        <w:rPr>
          <w:rFonts w:eastAsia="Batang"/>
        </w:rPr>
      </w:pPr>
      <w:r w:rsidRPr="00197134">
        <w:t xml:space="preserve">Номиналният ръст на приходите през отделните години се дължи на увеличение на постъпленията от всички основни видове данъци – ДДС, акцизи, данък върху доходите на физическите лица и корпоративен данък. Растеж се очаква също и при приходите от социално-осигурителни вноски, като той е най-значителен през 2020 г. </w:t>
      </w:r>
      <w:r w:rsidR="00394BC6" w:rsidRPr="00197134">
        <w:t>в резултат на политиката по доходите.</w:t>
      </w:r>
      <w:r w:rsidR="00530AAA" w:rsidRPr="00197134">
        <w:rPr>
          <w:rFonts w:eastAsia="Batang"/>
        </w:rPr>
        <w:t xml:space="preserve"> </w:t>
      </w:r>
    </w:p>
    <w:p w:rsidR="00DA4EF2" w:rsidRDefault="00DA4EF2" w:rsidP="00DA4EF2">
      <w:r>
        <w:t>При разходите на сектор „Държавно управление“ най-висок номинален ръст в средносрочен план се наблюдава при разходите за персонал, социалните трансфери и капиталовите разходи. Разходите за персонал нарастват поради предприетите мерки за увеличението на средствата за заплатите и съответните осигурителни вноски в бюджетната сфера, на МРЗ и увеличението на заплатите на педагогическия персонал. При социалните трансфери в натура, които обхващат основно разходите за здравеопазване, се наблюдава ръст съот</w:t>
      </w:r>
      <w:r w:rsidR="005E7FB7">
        <w:t>ветно от 12,6% през 2020 г., 9,3</w:t>
      </w:r>
      <w:r>
        <w:t xml:space="preserve">% през 2021 г. и 4,4% през 2022 г., поради нарастване на разходите за здравноосигурителни плащания. </w:t>
      </w:r>
      <w:r w:rsidRPr="00236E1F">
        <w:t>При социалните трансфери различни от тези в натура, които обхващат разходите за пенсии и обезщетения, нарастването се дължи най-вече</w:t>
      </w:r>
      <w:r w:rsidR="00826D34">
        <w:t xml:space="preserve"> на </w:t>
      </w:r>
      <w:r w:rsidR="001C33A7">
        <w:t>осъвременяването</w:t>
      </w:r>
      <w:r w:rsidR="00826D34">
        <w:t xml:space="preserve"> на пенсиите, </w:t>
      </w:r>
      <w:r w:rsidRPr="00236E1F">
        <w:t xml:space="preserve">изплащането на увеличения от средата на 2019 г. размер на максималната пенсия, и на нарастването на текущите помощи и трансфери за домакинствата по </w:t>
      </w:r>
      <w:r>
        <w:t xml:space="preserve">Закона за хората с увреждания </w:t>
      </w:r>
      <w:r w:rsidRPr="00236E1F">
        <w:t xml:space="preserve">и по </w:t>
      </w:r>
      <w:r>
        <w:t>З</w:t>
      </w:r>
      <w:r w:rsidRPr="00236E1F">
        <w:t>акона за личната помощ.</w:t>
      </w:r>
      <w:r>
        <w:t xml:space="preserve"> </w:t>
      </w:r>
    </w:p>
    <w:p w:rsidR="00DA4EF2" w:rsidRDefault="00DA4EF2" w:rsidP="00DA4EF2">
      <w:r>
        <w:t>Капиталовите разходи за бруто</w:t>
      </w:r>
      <w:r w:rsidR="00530984">
        <w:t xml:space="preserve"> </w:t>
      </w:r>
      <w:r>
        <w:t xml:space="preserve">образуване на основен капитал нарастват с 15,5% през </w:t>
      </w:r>
      <w:r w:rsidRPr="00236E1F">
        <w:t>2020 г</w:t>
      </w:r>
      <w:r w:rsidRPr="00DA4EF2">
        <w:t xml:space="preserve">., </w:t>
      </w:r>
      <w:r>
        <w:t>спадат с 5,</w:t>
      </w:r>
      <w:r w:rsidR="005E7FB7">
        <w:t>8</w:t>
      </w:r>
      <w:r w:rsidRPr="00DA4EF2">
        <w:t xml:space="preserve">% през 2021 г. и нарастват с </w:t>
      </w:r>
      <w:r w:rsidR="005E7FB7">
        <w:t>21</w:t>
      </w:r>
      <w:r>
        <w:t>,</w:t>
      </w:r>
      <w:r w:rsidR="00826D34">
        <w:t>7% през 2022 г.</w:t>
      </w:r>
      <w:r w:rsidRPr="00DA4EF2">
        <w:t xml:space="preserve"> Изменението </w:t>
      </w:r>
      <w:r>
        <w:t>при бруто образуването на основен капитал основно е свързано с поетапната реализация на предвидените средства за автомагистрала „Хемус“ и на други приоритетни пътни инфраструкт</w:t>
      </w:r>
      <w:r w:rsidR="00F161B3">
        <w:t>урни проекти, въвеждането на ТОЛ</w:t>
      </w:r>
      <w:r>
        <w:t xml:space="preserve"> системата, доставките на основна бойна техника за </w:t>
      </w:r>
      <w:r w:rsidRPr="00236E1F">
        <w:t>изграждане на батальонни бойни групи от състава на механизирана бригада</w:t>
      </w:r>
      <w:r>
        <w:t>, както и ускоряване на усвояването на средствата от европейските фондове с напредването на реализацията на проектите в рамките на новия програмен период.</w:t>
      </w:r>
    </w:p>
    <w:p w:rsidR="00204B62" w:rsidRDefault="003B749E" w:rsidP="00AB6121">
      <w:r w:rsidRPr="00197134">
        <w:t xml:space="preserve">Общият ефект от предприятията, включени в сектор „Държавно управление“, върху баланса на целия сектор е положителен за всяка от годините от прогнозния период и е както следва: за 2020 г. – 195,1 млн. лв., за 2021 г. – 386,8 млн. лв. и за 2022 г. – 295,3 млн. лв. С най-голям ефект са: Фондът за гарантиране на влоговете в банките, Държавната консолидационна компания, Националната компания „Железопътна </w:t>
      </w:r>
      <w:r>
        <w:t>инфраструктура“, държавните болници и Държавно</w:t>
      </w:r>
      <w:r w:rsidR="008D4AFB">
        <w:t>то</w:t>
      </w:r>
      <w:r>
        <w:t xml:space="preserve"> предприятие „Радиоактивни отпадъци“.</w:t>
      </w:r>
    </w:p>
    <w:p w:rsidR="002C54E0" w:rsidRDefault="002C54E0" w:rsidP="002C54E0">
      <w:pPr>
        <w:pStyle w:val="Caption"/>
        <w:spacing w:before="360"/>
        <w:rPr>
          <w:color w:val="000000"/>
        </w:rPr>
      </w:pPr>
      <w:bookmarkStart w:id="366" w:name="_Toc23337522"/>
      <w:r w:rsidRPr="00036CEB">
        <w:t xml:space="preserve">Табл. </w:t>
      </w:r>
      <w:fldSimple w:instr=" STYLEREF 1 \s ">
        <w:r w:rsidR="0034195B">
          <w:rPr>
            <w:noProof/>
          </w:rPr>
          <w:t>II</w:t>
        </w:r>
      </w:fldSimple>
      <w:r w:rsidRPr="00036CEB">
        <w:noBreakHyphen/>
      </w:r>
      <w:fldSimple w:instr=" SEQ Табл. \* ARABIC \s 1 ">
        <w:r w:rsidR="0034195B">
          <w:rPr>
            <w:noProof/>
          </w:rPr>
          <w:t>7</w:t>
        </w:r>
      </w:fldSimple>
      <w:r w:rsidRPr="00036CEB">
        <w:t>:</w:t>
      </w:r>
      <w:r w:rsidRPr="00036CEB">
        <w:tab/>
      </w:r>
      <w:r w:rsidRPr="00036CEB">
        <w:rPr>
          <w:color w:val="000000"/>
        </w:rPr>
        <w:t xml:space="preserve">Изменение на показателите </w:t>
      </w:r>
      <w:r w:rsidR="00F74335">
        <w:rPr>
          <w:color w:val="000000"/>
        </w:rPr>
        <w:t>на сектор „Държавно управление“</w:t>
      </w:r>
      <w:r w:rsidRPr="00036CEB">
        <w:rPr>
          <w:color w:val="000000"/>
        </w:rPr>
        <w:t xml:space="preserve"> за периода </w:t>
      </w:r>
      <w:r w:rsidR="00773D90" w:rsidRPr="00773D90">
        <w:rPr>
          <w:color w:val="000000"/>
        </w:rPr>
        <w:t>2020</w:t>
      </w:r>
      <w:r w:rsidRPr="00773D90">
        <w:rPr>
          <w:color w:val="000000"/>
        </w:rPr>
        <w:t>-202</w:t>
      </w:r>
      <w:r w:rsidR="00773D90" w:rsidRPr="00773D90">
        <w:rPr>
          <w:color w:val="000000"/>
        </w:rPr>
        <w:t>2</w:t>
      </w:r>
      <w:r w:rsidRPr="00036CEB">
        <w:rPr>
          <w:color w:val="000000"/>
        </w:rPr>
        <w:t xml:space="preserve"> г.</w:t>
      </w:r>
      <w:bookmarkEnd w:id="366"/>
    </w:p>
    <w:tbl>
      <w:tblPr>
        <w:tblW w:w="5000" w:type="pct"/>
        <w:tblCellMar>
          <w:left w:w="70" w:type="dxa"/>
          <w:right w:w="70" w:type="dxa"/>
        </w:tblCellMar>
        <w:tblLook w:val="04A0" w:firstRow="1" w:lastRow="0" w:firstColumn="1" w:lastColumn="0" w:noHBand="0" w:noVBand="1"/>
      </w:tblPr>
      <w:tblGrid>
        <w:gridCol w:w="2713"/>
        <w:gridCol w:w="994"/>
        <w:gridCol w:w="1125"/>
        <w:gridCol w:w="994"/>
        <w:gridCol w:w="1125"/>
        <w:gridCol w:w="994"/>
        <w:gridCol w:w="1125"/>
      </w:tblGrid>
      <w:tr w:rsidR="0072059B" w:rsidRPr="005461E8" w:rsidTr="008B1257">
        <w:trPr>
          <w:trHeight w:val="330"/>
          <w:tblHeader/>
        </w:trPr>
        <w:tc>
          <w:tcPr>
            <w:tcW w:w="1496" w:type="pct"/>
            <w:tcBorders>
              <w:top w:val="single" w:sz="8" w:space="0" w:color="595959"/>
              <w:left w:val="nil"/>
              <w:bottom w:val="nil"/>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Показатели</w:t>
            </w:r>
          </w:p>
        </w:tc>
        <w:tc>
          <w:tcPr>
            <w:tcW w:w="1168" w:type="pct"/>
            <w:gridSpan w:val="2"/>
            <w:tcBorders>
              <w:top w:val="single" w:sz="8" w:space="0" w:color="595959"/>
              <w:left w:val="nil"/>
              <w:bottom w:val="single" w:sz="8" w:space="0" w:color="595959"/>
              <w:right w:val="nil"/>
            </w:tcBorders>
            <w:shd w:val="clear" w:color="auto" w:fill="auto"/>
            <w:noWrap/>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2020</w:t>
            </w:r>
          </w:p>
        </w:tc>
        <w:tc>
          <w:tcPr>
            <w:tcW w:w="1168" w:type="pct"/>
            <w:gridSpan w:val="2"/>
            <w:tcBorders>
              <w:top w:val="single" w:sz="8" w:space="0" w:color="595959"/>
              <w:left w:val="nil"/>
              <w:bottom w:val="single" w:sz="8" w:space="0" w:color="595959"/>
              <w:right w:val="nil"/>
            </w:tcBorders>
            <w:shd w:val="clear" w:color="auto" w:fill="auto"/>
            <w:noWrap/>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2021</w:t>
            </w:r>
          </w:p>
        </w:tc>
        <w:tc>
          <w:tcPr>
            <w:tcW w:w="1168" w:type="pct"/>
            <w:gridSpan w:val="2"/>
            <w:tcBorders>
              <w:top w:val="single" w:sz="8" w:space="0" w:color="595959"/>
              <w:left w:val="nil"/>
              <w:bottom w:val="single" w:sz="8" w:space="0" w:color="595959"/>
              <w:right w:val="nil"/>
            </w:tcBorders>
            <w:shd w:val="clear" w:color="auto" w:fill="auto"/>
            <w:noWrap/>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2022</w:t>
            </w:r>
          </w:p>
        </w:tc>
      </w:tr>
      <w:tr w:rsidR="0072059B" w:rsidRPr="005461E8" w:rsidTr="008B1257">
        <w:trPr>
          <w:trHeight w:val="510"/>
          <w:tblHeader/>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млн. лв.</w:t>
            </w:r>
          </w:p>
        </w:tc>
        <w:tc>
          <w:tcPr>
            <w:tcW w:w="548" w:type="pct"/>
            <w:tcBorders>
              <w:top w:val="nil"/>
              <w:left w:val="nil"/>
              <w:bottom w:val="nil"/>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Прогноза</w:t>
            </w:r>
          </w:p>
        </w:tc>
        <w:tc>
          <w:tcPr>
            <w:tcW w:w="620" w:type="pct"/>
            <w:tcBorders>
              <w:top w:val="nil"/>
              <w:left w:val="nil"/>
              <w:bottom w:val="nil"/>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Изменение</w:t>
            </w:r>
          </w:p>
        </w:tc>
        <w:tc>
          <w:tcPr>
            <w:tcW w:w="548"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Прогноза</w:t>
            </w:r>
          </w:p>
        </w:tc>
        <w:tc>
          <w:tcPr>
            <w:tcW w:w="620" w:type="pct"/>
            <w:tcBorders>
              <w:top w:val="nil"/>
              <w:left w:val="nil"/>
              <w:bottom w:val="nil"/>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Изменение</w:t>
            </w:r>
          </w:p>
        </w:tc>
        <w:tc>
          <w:tcPr>
            <w:tcW w:w="548"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Прогноза</w:t>
            </w:r>
          </w:p>
        </w:tc>
        <w:tc>
          <w:tcPr>
            <w:tcW w:w="620" w:type="pct"/>
            <w:tcBorders>
              <w:top w:val="nil"/>
              <w:left w:val="nil"/>
              <w:bottom w:val="nil"/>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Изменение</w:t>
            </w:r>
          </w:p>
        </w:tc>
      </w:tr>
      <w:tr w:rsidR="0072059B" w:rsidRPr="005461E8" w:rsidTr="008B1257">
        <w:trPr>
          <w:trHeight w:val="144"/>
          <w:tblHeader/>
        </w:trPr>
        <w:tc>
          <w:tcPr>
            <w:tcW w:w="1496" w:type="pct"/>
            <w:tcBorders>
              <w:top w:val="nil"/>
              <w:left w:val="nil"/>
              <w:bottom w:val="single" w:sz="8" w:space="0" w:color="595959"/>
              <w:right w:val="nil"/>
            </w:tcBorders>
            <w:shd w:val="clear" w:color="auto" w:fill="auto"/>
            <w:vAlign w:val="center"/>
            <w:hideMark/>
          </w:tcPr>
          <w:p w:rsidR="0072059B" w:rsidRPr="005461E8" w:rsidRDefault="0072059B" w:rsidP="0022281D">
            <w:pPr>
              <w:spacing w:after="0"/>
              <w:jc w:val="left"/>
              <w:rPr>
                <w:rFonts w:ascii="Calibri" w:eastAsia="Times New Roman" w:hAnsi="Calibri" w:cs="Times New Roman"/>
                <w:color w:val="000000"/>
                <w:sz w:val="22"/>
              </w:rPr>
            </w:pPr>
            <w:r w:rsidRPr="005461E8">
              <w:rPr>
                <w:rFonts w:ascii="Calibri" w:eastAsia="Times New Roman" w:hAnsi="Calibri" w:cs="Times New Roman"/>
                <w:color w:val="000000"/>
                <w:sz w:val="22"/>
              </w:rPr>
              <w:t> </w:t>
            </w:r>
          </w:p>
        </w:tc>
        <w:tc>
          <w:tcPr>
            <w:tcW w:w="548" w:type="pct"/>
            <w:tcBorders>
              <w:top w:val="nil"/>
              <w:left w:val="nil"/>
              <w:bottom w:val="single" w:sz="8" w:space="0" w:color="595959"/>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 </w:t>
            </w:r>
          </w:p>
        </w:tc>
        <w:tc>
          <w:tcPr>
            <w:tcW w:w="620" w:type="pct"/>
            <w:tcBorders>
              <w:top w:val="nil"/>
              <w:left w:val="nil"/>
              <w:bottom w:val="single" w:sz="8" w:space="0" w:color="595959"/>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w:t>
            </w:r>
          </w:p>
        </w:tc>
        <w:tc>
          <w:tcPr>
            <w:tcW w:w="548" w:type="pct"/>
            <w:tcBorders>
              <w:top w:val="nil"/>
              <w:left w:val="nil"/>
              <w:bottom w:val="single" w:sz="8" w:space="0" w:color="595959"/>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 </w:t>
            </w:r>
          </w:p>
        </w:tc>
        <w:tc>
          <w:tcPr>
            <w:tcW w:w="620" w:type="pct"/>
            <w:tcBorders>
              <w:top w:val="nil"/>
              <w:left w:val="nil"/>
              <w:bottom w:val="single" w:sz="8" w:space="0" w:color="595959"/>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w:t>
            </w:r>
          </w:p>
        </w:tc>
        <w:tc>
          <w:tcPr>
            <w:tcW w:w="548" w:type="pct"/>
            <w:tcBorders>
              <w:top w:val="nil"/>
              <w:left w:val="nil"/>
              <w:bottom w:val="single" w:sz="8" w:space="0" w:color="595959"/>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 </w:t>
            </w:r>
          </w:p>
        </w:tc>
        <w:tc>
          <w:tcPr>
            <w:tcW w:w="620" w:type="pct"/>
            <w:tcBorders>
              <w:top w:val="nil"/>
              <w:left w:val="nil"/>
              <w:bottom w:val="single" w:sz="8" w:space="0" w:color="595959"/>
              <w:right w:val="nil"/>
            </w:tcBorders>
            <w:shd w:val="clear" w:color="auto" w:fill="auto"/>
            <w:vAlign w:val="center"/>
            <w:hideMark/>
          </w:tcPr>
          <w:p w:rsidR="0072059B" w:rsidRPr="005461E8" w:rsidRDefault="0072059B" w:rsidP="0022281D">
            <w:pPr>
              <w:spacing w:after="0"/>
              <w:jc w:val="center"/>
              <w:rPr>
                <w:rFonts w:eastAsia="Times New Roman" w:cs="Times New Roman"/>
                <w:b/>
                <w:bCs/>
                <w:color w:val="000000"/>
                <w:sz w:val="20"/>
                <w:szCs w:val="20"/>
              </w:rPr>
            </w:pPr>
            <w:r w:rsidRPr="005461E8">
              <w:rPr>
                <w:rFonts w:eastAsia="Times New Roman" w:cs="Times New Roman"/>
                <w:b/>
                <w:bCs/>
                <w:color w:val="000000"/>
                <w:sz w:val="20"/>
                <w:szCs w:val="20"/>
              </w:rPr>
              <w:t>%</w:t>
            </w:r>
          </w:p>
        </w:tc>
      </w:tr>
      <w:tr w:rsidR="0072059B" w:rsidRPr="005461E8" w:rsidTr="003154BF">
        <w:trPr>
          <w:trHeight w:val="525"/>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1. Данъци върху производството и вноса</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19 524,2</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5,4%</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20 348,6</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4,2%</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21 199,5</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4,2%</w:t>
            </w:r>
          </w:p>
        </w:tc>
      </w:tr>
      <w:tr w:rsidR="0072059B" w:rsidRPr="005461E8" w:rsidTr="003154BF">
        <w:trPr>
          <w:trHeight w:val="525"/>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2. Текущи данъци върху доходите, богатството и др.</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7 490,3</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7,9%</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7 961,4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6,3%</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8 404,1</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5,6%</w:t>
            </w:r>
          </w:p>
        </w:tc>
      </w:tr>
      <w:tr w:rsidR="0072059B" w:rsidRPr="005461E8" w:rsidTr="003154BF">
        <w:trPr>
          <w:trHeight w:val="525"/>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i/>
                <w:iCs/>
                <w:color w:val="000000"/>
                <w:sz w:val="20"/>
                <w:szCs w:val="20"/>
              </w:rPr>
            </w:pPr>
            <w:r w:rsidRPr="005461E8">
              <w:rPr>
                <w:rFonts w:eastAsia="Times New Roman" w:cs="Times New Roman"/>
                <w:i/>
                <w:iCs/>
                <w:color w:val="000000"/>
                <w:sz w:val="20"/>
                <w:szCs w:val="20"/>
              </w:rPr>
              <w:t xml:space="preserve"> 2a. - в т.ч. платени от домакинствата</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4 603,0</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9,0%</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4 890,8</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6,3%</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5 162,9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5,6%</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i/>
                <w:iCs/>
                <w:color w:val="000000"/>
                <w:sz w:val="20"/>
                <w:szCs w:val="20"/>
              </w:rPr>
            </w:pPr>
            <w:r w:rsidRPr="005461E8">
              <w:rPr>
                <w:rFonts w:eastAsia="Times New Roman" w:cs="Times New Roman"/>
                <w:i/>
                <w:iCs/>
                <w:color w:val="000000"/>
                <w:sz w:val="20"/>
                <w:szCs w:val="20"/>
              </w:rPr>
              <w:t xml:space="preserve"> 2b. - в т.ч. платени от фирмите</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2 887,3</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6,3%</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3 070,6</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6,3%</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3 241,1</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5,6%</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3. Социално-осигурителни вноски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11 279,4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8,0%</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11 907,9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5,6%</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12 505,5</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5,0%</w:t>
            </w:r>
          </w:p>
        </w:tc>
      </w:tr>
      <w:tr w:rsidR="0072059B" w:rsidRPr="005461E8" w:rsidTr="003154BF">
        <w:trPr>
          <w:trHeight w:val="525"/>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i/>
                <w:iCs/>
                <w:color w:val="000000"/>
                <w:sz w:val="20"/>
                <w:szCs w:val="20"/>
              </w:rPr>
            </w:pPr>
            <w:r w:rsidRPr="005461E8">
              <w:rPr>
                <w:rFonts w:eastAsia="Times New Roman" w:cs="Times New Roman"/>
                <w:i/>
                <w:iCs/>
                <w:color w:val="000000"/>
                <w:sz w:val="20"/>
                <w:szCs w:val="20"/>
              </w:rPr>
              <w:t xml:space="preserve"> 3a. - в т.ч. действително платени вноски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11 279,4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8,0%</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11 907,9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5,6%</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12 505,5</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5,0%</w:t>
            </w:r>
          </w:p>
        </w:tc>
      </w:tr>
      <w:tr w:rsidR="0072059B" w:rsidRPr="005461E8" w:rsidTr="003154BF">
        <w:trPr>
          <w:trHeight w:val="525"/>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4. Други приходи, вкл. приходи от продажби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6 603,0</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0,9%</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6 859,0</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3,9%</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6 613,7</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-3,6%</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 xml:space="preserve">5. Общо текущи приходи </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44 896,9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5,8%</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47 076,9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4,9%</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48 722,8</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3,5%</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6. Компенсация на наетите лица</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12 454,0</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9,6%</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13 026,3</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4,6%</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12 978,3</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-0,4%</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7. Междинно потребление</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5 747,0</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3,5%</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5 827,5</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1,4%</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6 022,1</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3,3%</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8. Социални трансфери в натура</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3 225,6</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12,6%</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3 524,8</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9,3%</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3 680,8</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4,4%</w:t>
            </w:r>
          </w:p>
        </w:tc>
      </w:tr>
      <w:tr w:rsidR="0072059B" w:rsidRPr="005461E8" w:rsidTr="003154BF">
        <w:trPr>
          <w:trHeight w:val="525"/>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9. Социални трансфери без тези в натура</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13 651,9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6,1%</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14 433,6</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5,7%</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15 093,2</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4,6%</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10. Лихвени разходи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692,6</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4,6%</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747,9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8,0%</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765,6</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2,4%</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11. Субсидии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2 481,7</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-12,5%</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2 435,4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-1,9%</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2 429,9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-0,2%</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12. Други текущи плащания</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1 977,9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4,5%</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2 036,8</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3,0%</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2 367,4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16,2%</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 xml:space="preserve">13. Общо  текущи разходи </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40 230,7</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5,8%</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42 032,4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4,5%</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43 337,4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3,1%</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14. Брутни спестявания (5-13)</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4 666,2</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5,9%</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5 044,5</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8,1%</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5 385,4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6,8%</w:t>
            </w:r>
          </w:p>
        </w:tc>
      </w:tr>
      <w:tr w:rsidR="0072059B" w:rsidRPr="005461E8" w:rsidTr="003154BF">
        <w:trPr>
          <w:trHeight w:val="525"/>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15. Капиталови трансфери, получени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1 385,4</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15,7%</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1 337,8</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-3,4%</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1 418,2</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6,0%</w:t>
            </w:r>
          </w:p>
        </w:tc>
      </w:tr>
      <w:tr w:rsidR="0072059B" w:rsidRPr="005461E8" w:rsidTr="003154BF">
        <w:trPr>
          <w:trHeight w:val="525"/>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16. Бруто образуване на основен капитал</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5 581,3</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15,5%</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5 258,5</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-5,8%</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6 397,5</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21,7%</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color w:val="000000"/>
                <w:sz w:val="20"/>
                <w:szCs w:val="20"/>
              </w:rPr>
            </w:pPr>
            <w:r w:rsidRPr="005461E8">
              <w:rPr>
                <w:rFonts w:eastAsia="Times New Roman" w:cs="Times New Roman"/>
                <w:color w:val="000000"/>
                <w:sz w:val="20"/>
                <w:szCs w:val="20"/>
              </w:rPr>
              <w:t>17. Други капиталови разходи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545,1</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-24,1%</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499,7</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-8,3%</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332,9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-33,4%</w:t>
            </w:r>
          </w:p>
        </w:tc>
      </w:tr>
      <w:tr w:rsidR="0072059B" w:rsidRPr="005461E8" w:rsidTr="003154BF">
        <w:trPr>
          <w:trHeight w:val="315"/>
        </w:trPr>
        <w:tc>
          <w:tcPr>
            <w:tcW w:w="149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color w:val="000000"/>
                <w:sz w:val="22"/>
              </w:rPr>
            </w:pPr>
          </w:p>
        </w:tc>
        <w:tc>
          <w:tcPr>
            <w:tcW w:w="548" w:type="pct"/>
            <w:tcBorders>
              <w:top w:val="nil"/>
              <w:left w:val="nil"/>
              <w:bottom w:val="single" w:sz="8" w:space="0" w:color="595959"/>
              <w:right w:val="nil"/>
            </w:tcBorders>
            <w:shd w:val="clear" w:color="auto" w:fill="auto"/>
            <w:noWrap/>
            <w:vAlign w:val="center"/>
            <w:hideMark/>
          </w:tcPr>
          <w:p w:rsidR="0072059B" w:rsidRPr="005461E8" w:rsidRDefault="0072059B" w:rsidP="0022281D">
            <w:pPr>
              <w:spacing w:after="0"/>
              <w:jc w:val="left"/>
              <w:rPr>
                <w:rFonts w:ascii="Calibri" w:eastAsia="Times New Roman" w:hAnsi="Calibri" w:cs="Times New Roman"/>
                <w:color w:val="000000"/>
                <w:sz w:val="22"/>
              </w:rPr>
            </w:pPr>
            <w:r w:rsidRPr="005461E8">
              <w:rPr>
                <w:rFonts w:ascii="Calibri" w:eastAsia="Times New Roman" w:hAnsi="Calibri" w:cs="Times New Roman"/>
                <w:color w:val="000000"/>
                <w:sz w:val="22"/>
              </w:rPr>
              <w:t> </w:t>
            </w:r>
          </w:p>
        </w:tc>
        <w:tc>
          <w:tcPr>
            <w:tcW w:w="620" w:type="pct"/>
            <w:tcBorders>
              <w:top w:val="nil"/>
              <w:left w:val="nil"/>
              <w:bottom w:val="single" w:sz="8" w:space="0" w:color="595959"/>
              <w:right w:val="nil"/>
            </w:tcBorders>
            <w:shd w:val="clear" w:color="auto" w:fill="auto"/>
            <w:noWrap/>
            <w:vAlign w:val="center"/>
            <w:hideMark/>
          </w:tcPr>
          <w:p w:rsidR="0072059B" w:rsidRPr="005461E8" w:rsidRDefault="0072059B" w:rsidP="0022281D">
            <w:pPr>
              <w:spacing w:after="0"/>
              <w:jc w:val="center"/>
              <w:rPr>
                <w:rFonts w:eastAsia="Times New Roman" w:cs="Times New Roman"/>
                <w:b/>
                <w:bCs/>
                <w:i/>
                <w:iCs/>
                <w:color w:val="000000"/>
                <w:sz w:val="20"/>
                <w:szCs w:val="20"/>
              </w:rPr>
            </w:pPr>
            <w:r w:rsidRPr="005461E8">
              <w:rPr>
                <w:rFonts w:eastAsia="Times New Roman" w:cs="Times New Roman"/>
                <w:b/>
                <w:bCs/>
                <w:i/>
                <w:iCs/>
                <w:color w:val="000000"/>
                <w:sz w:val="20"/>
                <w:szCs w:val="20"/>
              </w:rPr>
              <w:t>% от БВП</w:t>
            </w:r>
          </w:p>
        </w:tc>
        <w:tc>
          <w:tcPr>
            <w:tcW w:w="548" w:type="pct"/>
            <w:tcBorders>
              <w:top w:val="nil"/>
              <w:left w:val="nil"/>
              <w:bottom w:val="single" w:sz="8" w:space="0" w:color="595959"/>
              <w:right w:val="nil"/>
            </w:tcBorders>
            <w:shd w:val="clear" w:color="auto" w:fill="auto"/>
            <w:noWrap/>
            <w:vAlign w:val="center"/>
            <w:hideMark/>
          </w:tcPr>
          <w:p w:rsidR="0072059B" w:rsidRPr="005461E8" w:rsidRDefault="0072059B" w:rsidP="0022281D">
            <w:pPr>
              <w:spacing w:after="0"/>
              <w:jc w:val="center"/>
              <w:rPr>
                <w:rFonts w:eastAsia="Times New Roman" w:cs="Times New Roman"/>
                <w:i/>
                <w:iCs/>
                <w:color w:val="000000"/>
                <w:sz w:val="20"/>
                <w:szCs w:val="20"/>
              </w:rPr>
            </w:pPr>
            <w:r w:rsidRPr="005461E8">
              <w:rPr>
                <w:rFonts w:eastAsia="Times New Roman" w:cs="Times New Roman"/>
                <w:i/>
                <w:iCs/>
                <w:color w:val="000000"/>
                <w:sz w:val="20"/>
                <w:szCs w:val="20"/>
              </w:rPr>
              <w:t> </w:t>
            </w:r>
          </w:p>
        </w:tc>
        <w:tc>
          <w:tcPr>
            <w:tcW w:w="620" w:type="pct"/>
            <w:tcBorders>
              <w:top w:val="nil"/>
              <w:left w:val="nil"/>
              <w:bottom w:val="single" w:sz="8" w:space="0" w:color="595959"/>
              <w:right w:val="nil"/>
            </w:tcBorders>
            <w:shd w:val="clear" w:color="auto" w:fill="auto"/>
            <w:noWrap/>
            <w:vAlign w:val="center"/>
            <w:hideMark/>
          </w:tcPr>
          <w:p w:rsidR="0072059B" w:rsidRPr="005461E8" w:rsidRDefault="0072059B" w:rsidP="0022281D">
            <w:pPr>
              <w:spacing w:after="0"/>
              <w:jc w:val="center"/>
              <w:rPr>
                <w:rFonts w:eastAsia="Times New Roman" w:cs="Times New Roman"/>
                <w:b/>
                <w:bCs/>
                <w:i/>
                <w:iCs/>
                <w:color w:val="000000"/>
                <w:sz w:val="20"/>
                <w:szCs w:val="20"/>
              </w:rPr>
            </w:pPr>
            <w:r w:rsidRPr="005461E8">
              <w:rPr>
                <w:rFonts w:eastAsia="Times New Roman" w:cs="Times New Roman"/>
                <w:b/>
                <w:bCs/>
                <w:i/>
                <w:iCs/>
                <w:color w:val="000000"/>
                <w:sz w:val="20"/>
                <w:szCs w:val="20"/>
              </w:rPr>
              <w:t>% от БВП</w:t>
            </w:r>
          </w:p>
        </w:tc>
        <w:tc>
          <w:tcPr>
            <w:tcW w:w="548" w:type="pct"/>
            <w:tcBorders>
              <w:top w:val="nil"/>
              <w:left w:val="nil"/>
              <w:bottom w:val="single" w:sz="8" w:space="0" w:color="595959"/>
              <w:right w:val="nil"/>
            </w:tcBorders>
            <w:shd w:val="clear" w:color="auto" w:fill="auto"/>
            <w:noWrap/>
            <w:vAlign w:val="center"/>
            <w:hideMark/>
          </w:tcPr>
          <w:p w:rsidR="0072059B" w:rsidRPr="005461E8" w:rsidRDefault="0072059B" w:rsidP="0022281D">
            <w:pPr>
              <w:spacing w:after="0"/>
              <w:jc w:val="center"/>
              <w:rPr>
                <w:rFonts w:eastAsia="Times New Roman" w:cs="Times New Roman"/>
                <w:i/>
                <w:iCs/>
                <w:color w:val="000000"/>
                <w:sz w:val="20"/>
                <w:szCs w:val="20"/>
              </w:rPr>
            </w:pPr>
            <w:r w:rsidRPr="005461E8">
              <w:rPr>
                <w:rFonts w:eastAsia="Times New Roman" w:cs="Times New Roman"/>
                <w:i/>
                <w:iCs/>
                <w:color w:val="000000"/>
                <w:sz w:val="20"/>
                <w:szCs w:val="20"/>
              </w:rPr>
              <w:t> </w:t>
            </w:r>
          </w:p>
        </w:tc>
        <w:tc>
          <w:tcPr>
            <w:tcW w:w="620" w:type="pct"/>
            <w:tcBorders>
              <w:top w:val="nil"/>
              <w:left w:val="nil"/>
              <w:bottom w:val="single" w:sz="8" w:space="0" w:color="595959"/>
              <w:right w:val="nil"/>
            </w:tcBorders>
            <w:shd w:val="clear" w:color="auto" w:fill="auto"/>
            <w:noWrap/>
            <w:vAlign w:val="center"/>
            <w:hideMark/>
          </w:tcPr>
          <w:p w:rsidR="0072059B" w:rsidRPr="005461E8" w:rsidRDefault="0072059B" w:rsidP="0022281D">
            <w:pPr>
              <w:spacing w:after="0"/>
              <w:jc w:val="center"/>
              <w:rPr>
                <w:rFonts w:eastAsia="Times New Roman" w:cs="Times New Roman"/>
                <w:b/>
                <w:bCs/>
                <w:i/>
                <w:iCs/>
                <w:color w:val="000000"/>
                <w:sz w:val="20"/>
                <w:szCs w:val="20"/>
              </w:rPr>
            </w:pPr>
            <w:r w:rsidRPr="005461E8">
              <w:rPr>
                <w:rFonts w:eastAsia="Times New Roman" w:cs="Times New Roman"/>
                <w:b/>
                <w:bCs/>
                <w:i/>
                <w:iCs/>
                <w:color w:val="000000"/>
                <w:sz w:val="20"/>
                <w:szCs w:val="20"/>
              </w:rPr>
              <w:t>% от БВП</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18. Общи правителствени приходи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46 282,3</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36,5%</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48 414,7</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35,9%</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50 141,0</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35,0%</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19. Общи правителствени разходи</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46 357,2</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36,6%</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47 790,5</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35,4%</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50 067,8</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34,9%</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 xml:space="preserve">20. Баланс </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-74,9</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-0,1%</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624,2</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0,5%</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73,2</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0,1%</w:t>
            </w:r>
          </w:p>
        </w:tc>
      </w:tr>
      <w:tr w:rsidR="0072059B" w:rsidRPr="005461E8" w:rsidTr="003154BF">
        <w:trPr>
          <w:trHeight w:val="300"/>
        </w:trPr>
        <w:tc>
          <w:tcPr>
            <w:tcW w:w="1496" w:type="pct"/>
            <w:tcBorders>
              <w:top w:val="nil"/>
              <w:left w:val="nil"/>
              <w:bottom w:val="nil"/>
              <w:right w:val="nil"/>
            </w:tcBorders>
            <w:shd w:val="clear" w:color="auto" w:fill="auto"/>
            <w:vAlign w:val="center"/>
            <w:hideMark/>
          </w:tcPr>
          <w:p w:rsidR="0072059B" w:rsidRPr="005461E8" w:rsidRDefault="0072059B" w:rsidP="0022281D">
            <w:pPr>
              <w:spacing w:after="0"/>
              <w:jc w:val="left"/>
              <w:rPr>
                <w:rFonts w:eastAsia="Times New Roman" w:cs="Times New Roman"/>
                <w:i/>
                <w:iCs/>
                <w:color w:val="000000"/>
                <w:sz w:val="20"/>
                <w:szCs w:val="20"/>
              </w:rPr>
            </w:pPr>
            <w:r w:rsidRPr="005461E8">
              <w:rPr>
                <w:rFonts w:eastAsia="Times New Roman" w:cs="Times New Roman"/>
                <w:i/>
                <w:iCs/>
                <w:color w:val="000000"/>
                <w:sz w:val="20"/>
                <w:szCs w:val="20"/>
              </w:rPr>
              <w:t>20a. - първичен баланс</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617,7</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0,5%</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1 372,1</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1,0%</w:t>
            </w:r>
          </w:p>
        </w:tc>
        <w:tc>
          <w:tcPr>
            <w:tcW w:w="548"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i/>
                <w:iCs/>
                <w:color w:val="000000"/>
                <w:sz w:val="20"/>
                <w:szCs w:val="20"/>
              </w:rPr>
            </w:pPr>
            <w:r w:rsidRPr="005461E8">
              <w:rPr>
                <w:rFonts w:eastAsia="Times New Roman" w:cs="Times New Roman"/>
                <w:i/>
                <w:iCs/>
                <w:color w:val="000000"/>
                <w:sz w:val="20"/>
                <w:szCs w:val="20"/>
              </w:rPr>
              <w:t>838,8</w:t>
            </w:r>
          </w:p>
        </w:tc>
        <w:tc>
          <w:tcPr>
            <w:tcW w:w="620" w:type="pct"/>
            <w:tcBorders>
              <w:top w:val="nil"/>
              <w:left w:val="nil"/>
              <w:bottom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color w:val="000000"/>
                <w:sz w:val="20"/>
                <w:szCs w:val="20"/>
              </w:rPr>
            </w:pPr>
            <w:r w:rsidRPr="005461E8">
              <w:rPr>
                <w:rFonts w:eastAsia="Times New Roman" w:cs="Times New Roman"/>
                <w:color w:val="000000"/>
                <w:sz w:val="20"/>
                <w:szCs w:val="20"/>
              </w:rPr>
              <w:t>0,6%</w:t>
            </w:r>
          </w:p>
        </w:tc>
      </w:tr>
      <w:tr w:rsidR="0072059B" w:rsidRPr="005461E8" w:rsidTr="003154BF">
        <w:trPr>
          <w:trHeight w:val="525"/>
        </w:trPr>
        <w:tc>
          <w:tcPr>
            <w:tcW w:w="1496" w:type="pct"/>
            <w:tcBorders>
              <w:top w:val="nil"/>
              <w:left w:val="nil"/>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21. Баланс за целите на процедурата по дефицита и дълга</w:t>
            </w:r>
          </w:p>
        </w:tc>
        <w:tc>
          <w:tcPr>
            <w:tcW w:w="548" w:type="pct"/>
            <w:tcBorders>
              <w:top w:val="nil"/>
              <w:left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-74,9</w:t>
            </w:r>
          </w:p>
        </w:tc>
        <w:tc>
          <w:tcPr>
            <w:tcW w:w="620" w:type="pct"/>
            <w:tcBorders>
              <w:top w:val="nil"/>
              <w:left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-0,1%</w:t>
            </w:r>
          </w:p>
        </w:tc>
        <w:tc>
          <w:tcPr>
            <w:tcW w:w="548" w:type="pct"/>
            <w:tcBorders>
              <w:top w:val="nil"/>
              <w:left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624,2</w:t>
            </w:r>
          </w:p>
        </w:tc>
        <w:tc>
          <w:tcPr>
            <w:tcW w:w="620" w:type="pct"/>
            <w:tcBorders>
              <w:top w:val="nil"/>
              <w:left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0,5%</w:t>
            </w:r>
          </w:p>
        </w:tc>
        <w:tc>
          <w:tcPr>
            <w:tcW w:w="548" w:type="pct"/>
            <w:tcBorders>
              <w:top w:val="nil"/>
              <w:left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73,2</w:t>
            </w:r>
          </w:p>
        </w:tc>
        <w:tc>
          <w:tcPr>
            <w:tcW w:w="620" w:type="pct"/>
            <w:tcBorders>
              <w:top w:val="nil"/>
              <w:left w:val="nil"/>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0,1%</w:t>
            </w:r>
          </w:p>
        </w:tc>
      </w:tr>
      <w:tr w:rsidR="0072059B" w:rsidRPr="005461E8" w:rsidTr="003154BF">
        <w:trPr>
          <w:trHeight w:val="525"/>
        </w:trPr>
        <w:tc>
          <w:tcPr>
            <w:tcW w:w="1496" w:type="pct"/>
            <w:tcBorders>
              <w:top w:val="nil"/>
              <w:left w:val="nil"/>
              <w:bottom w:val="single" w:sz="4" w:space="0" w:color="auto"/>
              <w:right w:val="nil"/>
            </w:tcBorders>
            <w:shd w:val="clear" w:color="auto" w:fill="auto"/>
            <w:vAlign w:val="center"/>
            <w:hideMark/>
          </w:tcPr>
          <w:p w:rsidR="0072059B" w:rsidRPr="005461E8" w:rsidRDefault="0072059B" w:rsidP="0022281D">
            <w:pPr>
              <w:spacing w:after="0"/>
              <w:jc w:val="left"/>
              <w:rPr>
                <w:rFonts w:eastAsia="Times New Roman" w:cs="Times New Roman"/>
                <w:b/>
                <w:bCs/>
                <w:color w:val="000000"/>
                <w:sz w:val="20"/>
                <w:szCs w:val="20"/>
              </w:rPr>
            </w:pPr>
            <w:r w:rsidRPr="005461E8">
              <w:rPr>
                <w:rFonts w:eastAsia="Times New Roman" w:cs="Times New Roman"/>
                <w:b/>
                <w:bCs/>
                <w:color w:val="000000"/>
                <w:sz w:val="20"/>
                <w:szCs w:val="20"/>
              </w:rPr>
              <w:t xml:space="preserve">22. Консолидиран дълг на сектор „Държавно управление“ </w:t>
            </w:r>
          </w:p>
        </w:tc>
        <w:tc>
          <w:tcPr>
            <w:tcW w:w="548" w:type="pct"/>
            <w:tcBorders>
              <w:top w:val="nil"/>
              <w:left w:val="nil"/>
              <w:bottom w:val="single" w:sz="4" w:space="0" w:color="auto"/>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25 069,1</w:t>
            </w:r>
          </w:p>
        </w:tc>
        <w:tc>
          <w:tcPr>
            <w:tcW w:w="620" w:type="pct"/>
            <w:tcBorders>
              <w:top w:val="nil"/>
              <w:left w:val="nil"/>
              <w:bottom w:val="single" w:sz="4" w:space="0" w:color="auto"/>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19,8%</w:t>
            </w:r>
          </w:p>
        </w:tc>
        <w:tc>
          <w:tcPr>
            <w:tcW w:w="548" w:type="pct"/>
            <w:tcBorders>
              <w:top w:val="nil"/>
              <w:left w:val="nil"/>
              <w:bottom w:val="single" w:sz="4" w:space="0" w:color="auto"/>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26 373,0</w:t>
            </w:r>
          </w:p>
        </w:tc>
        <w:tc>
          <w:tcPr>
            <w:tcW w:w="620" w:type="pct"/>
            <w:tcBorders>
              <w:top w:val="nil"/>
              <w:left w:val="nil"/>
              <w:bottom w:val="single" w:sz="4" w:space="0" w:color="auto"/>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19,5%</w:t>
            </w:r>
          </w:p>
        </w:tc>
        <w:tc>
          <w:tcPr>
            <w:tcW w:w="548" w:type="pct"/>
            <w:tcBorders>
              <w:top w:val="nil"/>
              <w:left w:val="nil"/>
              <w:bottom w:val="single" w:sz="4" w:space="0" w:color="auto"/>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26 052,2</w:t>
            </w:r>
          </w:p>
        </w:tc>
        <w:tc>
          <w:tcPr>
            <w:tcW w:w="620" w:type="pct"/>
            <w:tcBorders>
              <w:top w:val="nil"/>
              <w:left w:val="nil"/>
              <w:bottom w:val="single" w:sz="4" w:space="0" w:color="auto"/>
              <w:right w:val="nil"/>
            </w:tcBorders>
            <w:shd w:val="clear" w:color="auto" w:fill="auto"/>
            <w:noWrap/>
            <w:vAlign w:val="center"/>
            <w:hideMark/>
          </w:tcPr>
          <w:p w:rsidR="0072059B" w:rsidRPr="005461E8" w:rsidRDefault="0072059B" w:rsidP="0022281D">
            <w:pPr>
              <w:spacing w:after="0"/>
              <w:jc w:val="right"/>
              <w:rPr>
                <w:rFonts w:eastAsia="Times New Roman" w:cs="Times New Roman"/>
                <w:b/>
                <w:bCs/>
                <w:color w:val="000000"/>
                <w:sz w:val="20"/>
                <w:szCs w:val="20"/>
              </w:rPr>
            </w:pPr>
            <w:r w:rsidRPr="005461E8">
              <w:rPr>
                <w:rFonts w:eastAsia="Times New Roman" w:cs="Times New Roman"/>
                <w:b/>
                <w:bCs/>
                <w:color w:val="000000"/>
                <w:sz w:val="20"/>
                <w:szCs w:val="20"/>
              </w:rPr>
              <w:t>18,2%</w:t>
            </w:r>
          </w:p>
        </w:tc>
      </w:tr>
    </w:tbl>
    <w:p w:rsidR="0072059B" w:rsidRPr="001A245F" w:rsidRDefault="0072059B" w:rsidP="001A245F"/>
    <w:p w:rsidR="00E2640D" w:rsidRPr="008E1EE5" w:rsidRDefault="00E2640D" w:rsidP="00517D0A">
      <w:pPr>
        <w:pStyle w:val="Heading3"/>
        <w:ind w:left="0"/>
        <w:rPr>
          <w:rStyle w:val="Strong"/>
          <w:b/>
          <w:bCs/>
        </w:rPr>
      </w:pPr>
      <w:r w:rsidRPr="00453966">
        <w:rPr>
          <w:rStyle w:val="Strong"/>
          <w:b/>
          <w:bCs/>
        </w:rPr>
        <w:t>основни показатели на сектор „държавно управление“</w:t>
      </w:r>
      <w:r>
        <w:rPr>
          <w:rStyle w:val="Strong"/>
          <w:b/>
          <w:bCs/>
        </w:rPr>
        <w:t xml:space="preserve"> и прогноза при непроменени политики</w:t>
      </w:r>
    </w:p>
    <w:p w:rsidR="0022126B" w:rsidRDefault="0022126B" w:rsidP="0022126B">
      <w:pPr>
        <w:spacing w:after="120"/>
      </w:pPr>
      <w:r>
        <w:t>Фискалната прогноза при непроменени политики е подготвена на база цикличните движения в икономическите показатели. Тя е обвързана с набор от предположения за политиките и основните икономически и финансови условия, включително валутните курсове, цените на суровините и развитието на международната икономика. Не е взето предвид въздействието на дискреционните изменения в приходите и в разходите. Промените, които се наблюдават в бюджетния сценарий при непроменени политики между прогнозните години, са основно в резултат на промени в икономически и/или демографски показатели, които имат ефект върху фискалните параметри. Предприетите политики в приходната и разходната част на бюджета водят до промя</w:t>
      </w:r>
      <w:r w:rsidR="008D4AFB">
        <w:t>на в прогнозата спрямо базисния</w:t>
      </w:r>
      <w:r>
        <w:t xml:space="preserve"> сценарий за периода 2020-2022 г. </w:t>
      </w:r>
    </w:p>
    <w:p w:rsidR="0022126B" w:rsidRDefault="0022126B" w:rsidP="0022126B">
      <w:pPr>
        <w:spacing w:after="120"/>
        <w:rPr>
          <w:highlight w:val="yellow"/>
        </w:rPr>
      </w:pPr>
      <w:r>
        <w:t>Таблицата по-долу представя прогнозата на сектор „Държавно управление“ при непроменени политики в съответствие със средносрочната бюджетна прогноза за периода 2020-2022 г.</w:t>
      </w:r>
    </w:p>
    <w:p w:rsidR="0022126B" w:rsidRDefault="0022126B" w:rsidP="001F64F0">
      <w:pPr>
        <w:pStyle w:val="Caption"/>
      </w:pPr>
    </w:p>
    <w:p w:rsidR="00483690" w:rsidRDefault="001F64F0" w:rsidP="00483690">
      <w:pPr>
        <w:pStyle w:val="Caption"/>
      </w:pPr>
      <w:bookmarkStart w:id="367" w:name="_Toc23337523"/>
      <w:r w:rsidRPr="003934A7">
        <w:t xml:space="preserve">Табл. </w:t>
      </w:r>
      <w:fldSimple w:instr=" STYLEREF 1 \s ">
        <w:r w:rsidR="0034195B">
          <w:rPr>
            <w:noProof/>
          </w:rPr>
          <w:t>II</w:t>
        </w:r>
      </w:fldSimple>
      <w:r w:rsidRPr="003934A7">
        <w:noBreakHyphen/>
      </w:r>
      <w:fldSimple w:instr=" SEQ Табл. \* ARABIC \s 1 ">
        <w:r w:rsidR="0034195B">
          <w:rPr>
            <w:noProof/>
          </w:rPr>
          <w:t>8</w:t>
        </w:r>
      </w:fldSimple>
      <w:r w:rsidRPr="003934A7">
        <w:t>:</w:t>
      </w:r>
      <w:r w:rsidRPr="003934A7">
        <w:tab/>
        <w:t xml:space="preserve"> </w:t>
      </w:r>
      <w:r w:rsidRPr="006E0DB4">
        <w:t xml:space="preserve">Бюджетна прогноза на сектор „Държавно управление“ при непроменени политики за периода </w:t>
      </w:r>
      <w:r w:rsidR="00773D90" w:rsidRPr="00773D90">
        <w:t>2020</w:t>
      </w:r>
      <w:r w:rsidRPr="00773D90">
        <w:t>-20</w:t>
      </w:r>
      <w:r w:rsidRPr="00773D90">
        <w:rPr>
          <w:lang w:val="ru-RU"/>
        </w:rPr>
        <w:t>2</w:t>
      </w:r>
      <w:r w:rsidR="00773D90" w:rsidRPr="00773D90">
        <w:rPr>
          <w:lang w:val="ru-RU"/>
        </w:rPr>
        <w:t>2</w:t>
      </w:r>
      <w:r w:rsidRPr="00773D90">
        <w:t> г.</w:t>
      </w:r>
      <w:bookmarkEnd w:id="367"/>
      <w:r w:rsidRPr="003934A7">
        <w:t xml:space="preserve"> </w:t>
      </w:r>
    </w:p>
    <w:tbl>
      <w:tblPr>
        <w:tblW w:w="5000" w:type="pct"/>
        <w:tblCellMar>
          <w:left w:w="70" w:type="dxa"/>
          <w:right w:w="70" w:type="dxa"/>
        </w:tblCellMar>
        <w:tblLook w:val="04A0" w:firstRow="1" w:lastRow="0" w:firstColumn="1" w:lastColumn="0" w:noHBand="0" w:noVBand="1"/>
      </w:tblPr>
      <w:tblGrid>
        <w:gridCol w:w="2388"/>
        <w:gridCol w:w="990"/>
        <w:gridCol w:w="1243"/>
        <w:gridCol w:w="990"/>
        <w:gridCol w:w="1226"/>
        <w:gridCol w:w="990"/>
        <w:gridCol w:w="1243"/>
      </w:tblGrid>
      <w:tr w:rsidR="0072059B" w:rsidRPr="005461E8" w:rsidTr="003154BF">
        <w:trPr>
          <w:trHeight w:val="300"/>
          <w:tblHeader/>
        </w:trPr>
        <w:tc>
          <w:tcPr>
            <w:tcW w:w="1316" w:type="pct"/>
            <w:vMerge w:val="restart"/>
            <w:tcBorders>
              <w:top w:val="single" w:sz="4" w:space="0" w:color="595959"/>
              <w:left w:val="nil"/>
              <w:bottom w:val="single" w:sz="4" w:space="0" w:color="595959"/>
              <w:right w:val="nil"/>
            </w:tcBorders>
            <w:shd w:val="clear" w:color="auto" w:fill="auto"/>
            <w:vAlign w:val="center"/>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 xml:space="preserve">Показатели </w:t>
            </w:r>
            <w:r w:rsidRPr="005461E8">
              <w:rPr>
                <w:rFonts w:eastAsia="Times New Roman" w:cs="Times New Roman"/>
                <w:b/>
                <w:bCs/>
                <w:sz w:val="20"/>
                <w:szCs w:val="20"/>
              </w:rPr>
              <w:br/>
              <w:t>млн. лв.</w:t>
            </w:r>
          </w:p>
        </w:tc>
        <w:tc>
          <w:tcPr>
            <w:tcW w:w="1231" w:type="pct"/>
            <w:gridSpan w:val="2"/>
            <w:tcBorders>
              <w:top w:val="single" w:sz="4" w:space="0" w:color="595959"/>
              <w:left w:val="nil"/>
              <w:bottom w:val="single" w:sz="4" w:space="0" w:color="595959"/>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2020</w:t>
            </w:r>
          </w:p>
        </w:tc>
        <w:tc>
          <w:tcPr>
            <w:tcW w:w="1222" w:type="pct"/>
            <w:gridSpan w:val="2"/>
            <w:tcBorders>
              <w:top w:val="single" w:sz="4" w:space="0" w:color="595959"/>
              <w:left w:val="nil"/>
              <w:bottom w:val="single" w:sz="4" w:space="0" w:color="595959"/>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2021</w:t>
            </w:r>
          </w:p>
        </w:tc>
        <w:tc>
          <w:tcPr>
            <w:tcW w:w="1231" w:type="pct"/>
            <w:gridSpan w:val="2"/>
            <w:tcBorders>
              <w:top w:val="single" w:sz="4" w:space="0" w:color="595959"/>
              <w:left w:val="nil"/>
              <w:bottom w:val="single" w:sz="4" w:space="0" w:color="595959"/>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2022</w:t>
            </w:r>
          </w:p>
        </w:tc>
      </w:tr>
      <w:tr w:rsidR="0072059B" w:rsidRPr="005461E8" w:rsidTr="003154BF">
        <w:trPr>
          <w:trHeight w:val="975"/>
          <w:tblHeader/>
        </w:trPr>
        <w:tc>
          <w:tcPr>
            <w:tcW w:w="1316" w:type="pct"/>
            <w:vMerge/>
            <w:tcBorders>
              <w:top w:val="single" w:sz="4" w:space="0" w:color="595959"/>
              <w:left w:val="nil"/>
              <w:bottom w:val="single" w:sz="4" w:space="0" w:color="595959"/>
              <w:right w:val="nil"/>
            </w:tcBorders>
            <w:vAlign w:val="center"/>
            <w:hideMark/>
          </w:tcPr>
          <w:p w:rsidR="0072059B" w:rsidRPr="005461E8" w:rsidRDefault="0072059B" w:rsidP="0022281D">
            <w:pPr>
              <w:spacing w:after="0"/>
              <w:jc w:val="left"/>
              <w:rPr>
                <w:rFonts w:eastAsia="Times New Roman" w:cs="Times New Roman"/>
                <w:b/>
                <w:bCs/>
                <w:sz w:val="20"/>
                <w:szCs w:val="20"/>
              </w:rPr>
            </w:pPr>
          </w:p>
        </w:tc>
        <w:tc>
          <w:tcPr>
            <w:tcW w:w="546" w:type="pct"/>
            <w:tcBorders>
              <w:top w:val="nil"/>
              <w:left w:val="nil"/>
              <w:bottom w:val="single" w:sz="4" w:space="0" w:color="595959"/>
              <w:right w:val="nil"/>
            </w:tcBorders>
            <w:shd w:val="clear" w:color="auto" w:fill="auto"/>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Базисен сценарий</w:t>
            </w:r>
          </w:p>
        </w:tc>
        <w:tc>
          <w:tcPr>
            <w:tcW w:w="685" w:type="pct"/>
            <w:tcBorders>
              <w:top w:val="nil"/>
              <w:left w:val="nil"/>
              <w:bottom w:val="single" w:sz="4" w:space="0" w:color="595959"/>
              <w:right w:val="nil"/>
            </w:tcBorders>
            <w:shd w:val="clear" w:color="auto" w:fill="auto"/>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Изменение спрямо основния сценарий</w:t>
            </w:r>
            <w:r w:rsidRPr="005461E8">
              <w:rPr>
                <w:rFonts w:eastAsia="Times New Roman" w:cs="Times New Roman"/>
                <w:b/>
                <w:bCs/>
                <w:sz w:val="20"/>
                <w:szCs w:val="20"/>
              </w:rPr>
              <w:br/>
              <w:t>%</w:t>
            </w:r>
          </w:p>
        </w:tc>
        <w:tc>
          <w:tcPr>
            <w:tcW w:w="546" w:type="pct"/>
            <w:tcBorders>
              <w:top w:val="nil"/>
              <w:left w:val="nil"/>
              <w:bottom w:val="single" w:sz="4" w:space="0" w:color="595959"/>
              <w:right w:val="nil"/>
            </w:tcBorders>
            <w:shd w:val="clear" w:color="auto" w:fill="auto"/>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Базисен сценарий</w:t>
            </w:r>
          </w:p>
        </w:tc>
        <w:tc>
          <w:tcPr>
            <w:tcW w:w="676" w:type="pct"/>
            <w:tcBorders>
              <w:top w:val="nil"/>
              <w:left w:val="nil"/>
              <w:bottom w:val="single" w:sz="4" w:space="0" w:color="595959"/>
              <w:right w:val="nil"/>
            </w:tcBorders>
            <w:shd w:val="clear" w:color="auto" w:fill="auto"/>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Изменение спрямо основния сценарий</w:t>
            </w:r>
            <w:r w:rsidRPr="005461E8">
              <w:rPr>
                <w:rFonts w:eastAsia="Times New Roman" w:cs="Times New Roman"/>
                <w:b/>
                <w:bCs/>
                <w:sz w:val="20"/>
                <w:szCs w:val="20"/>
              </w:rPr>
              <w:br/>
              <w:t>%</w:t>
            </w:r>
          </w:p>
        </w:tc>
        <w:tc>
          <w:tcPr>
            <w:tcW w:w="546" w:type="pct"/>
            <w:tcBorders>
              <w:top w:val="nil"/>
              <w:left w:val="nil"/>
              <w:bottom w:val="single" w:sz="4" w:space="0" w:color="595959"/>
              <w:right w:val="nil"/>
            </w:tcBorders>
            <w:shd w:val="clear" w:color="auto" w:fill="auto"/>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Базисен сценарий</w:t>
            </w:r>
          </w:p>
        </w:tc>
        <w:tc>
          <w:tcPr>
            <w:tcW w:w="685" w:type="pct"/>
            <w:tcBorders>
              <w:top w:val="nil"/>
              <w:left w:val="nil"/>
              <w:bottom w:val="single" w:sz="4" w:space="0" w:color="595959"/>
              <w:right w:val="nil"/>
            </w:tcBorders>
            <w:shd w:val="clear" w:color="auto" w:fill="auto"/>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Изменение спрямо основния сценарий</w:t>
            </w:r>
            <w:r w:rsidRPr="005461E8">
              <w:rPr>
                <w:rFonts w:eastAsia="Times New Roman" w:cs="Times New Roman"/>
                <w:b/>
                <w:bCs/>
                <w:sz w:val="20"/>
                <w:szCs w:val="20"/>
              </w:rPr>
              <w:br/>
              <w:t>%</w:t>
            </w:r>
          </w:p>
        </w:tc>
      </w:tr>
      <w:tr w:rsidR="0072059B" w:rsidRPr="005461E8" w:rsidTr="003154BF">
        <w:trPr>
          <w:trHeight w:val="525"/>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1. Данъци върху производството и вноса</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19 524,2</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5,4%</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20 348,6</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4,2%</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21 199,5</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4,2%</w:t>
            </w:r>
          </w:p>
        </w:tc>
      </w:tr>
      <w:tr w:rsidR="0072059B" w:rsidRPr="005461E8" w:rsidTr="003154BF">
        <w:trPr>
          <w:trHeight w:val="525"/>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2. Текущи данъци върху доходите, богатството и др.</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7 391,4</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6,5%</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7 901,7</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5,5%</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8 404,1</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5,6%</w:t>
            </w:r>
          </w:p>
        </w:tc>
      </w:tr>
      <w:tr w:rsidR="0072059B" w:rsidRPr="005461E8" w:rsidTr="003154BF">
        <w:trPr>
          <w:trHeight w:val="525"/>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i/>
                <w:iCs/>
                <w:sz w:val="20"/>
                <w:szCs w:val="20"/>
              </w:rPr>
            </w:pPr>
            <w:r w:rsidRPr="005461E8">
              <w:rPr>
                <w:rFonts w:eastAsia="Times New Roman" w:cs="Times New Roman"/>
                <w:i/>
                <w:iCs/>
                <w:sz w:val="20"/>
                <w:szCs w:val="20"/>
              </w:rPr>
              <w:t xml:space="preserve"> 2a. - в т.ч. платени от домакинствата</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4 504,1</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6,6%</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4 831,1</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5,0%</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5 162,9</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5,6%</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i/>
                <w:iCs/>
                <w:sz w:val="20"/>
                <w:szCs w:val="20"/>
              </w:rPr>
            </w:pPr>
            <w:r w:rsidRPr="005461E8">
              <w:rPr>
                <w:rFonts w:eastAsia="Times New Roman" w:cs="Times New Roman"/>
                <w:i/>
                <w:iCs/>
                <w:sz w:val="20"/>
                <w:szCs w:val="20"/>
              </w:rPr>
              <w:t xml:space="preserve"> 2b. - в т.ч. платени от фирмите</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2 887,3</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6,3%</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3 070,6</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6,3%</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3 241,1</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5,6%</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3. Социално-осигурителни вноски</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10 932,6</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4,7%</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11 679,0</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3,5%</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12 471,7</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4,7%</w:t>
            </w:r>
          </w:p>
        </w:tc>
      </w:tr>
      <w:tr w:rsidR="0072059B" w:rsidRPr="005461E8" w:rsidTr="003154BF">
        <w:trPr>
          <w:trHeight w:val="525"/>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i/>
                <w:iCs/>
                <w:sz w:val="20"/>
                <w:szCs w:val="20"/>
              </w:rPr>
            </w:pPr>
            <w:r w:rsidRPr="005461E8">
              <w:rPr>
                <w:rFonts w:eastAsia="Times New Roman" w:cs="Times New Roman"/>
                <w:i/>
                <w:iCs/>
                <w:sz w:val="20"/>
                <w:szCs w:val="20"/>
              </w:rPr>
              <w:t xml:space="preserve"> 3a. - в т.ч. действително платени вноски</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11 009,1</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5,4%</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11 731,5</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4,0%</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12 471,9</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4,7%</w:t>
            </w:r>
          </w:p>
        </w:tc>
      </w:tr>
      <w:tr w:rsidR="0072059B" w:rsidRPr="005461E8" w:rsidTr="003154BF">
        <w:trPr>
          <w:trHeight w:val="525"/>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4. Други приходи, вкл. приходи от продажби</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6 153,0</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-6,0%</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6 709,0</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1,6%</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6 613,7</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-3,6%</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b/>
                <w:bCs/>
                <w:sz w:val="20"/>
                <w:szCs w:val="20"/>
              </w:rPr>
            </w:pPr>
            <w:r w:rsidRPr="005461E8">
              <w:rPr>
                <w:rFonts w:eastAsia="Times New Roman" w:cs="Times New Roman"/>
                <w:b/>
                <w:bCs/>
                <w:sz w:val="20"/>
                <w:szCs w:val="20"/>
              </w:rPr>
              <w:t xml:space="preserve">5. Общо текущи приходи </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44 001,2</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3,7%</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46 638,3</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3,9%</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48 689,0</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3,4%</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6. Компенсация на наетите лица</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11 466,8</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0,9%</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12 560,0</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0,9%</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12 978,3</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-0,4%</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7. Междинно потребление</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5 699,5</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2,7%</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5 769,8</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0,4%</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6 022,1</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3,3%</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8. Социални трансфери в натура</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3 129,6</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9,3%</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3 427,1</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6,2%</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3 630,0</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3,0%</w:t>
            </w:r>
          </w:p>
        </w:tc>
      </w:tr>
      <w:tr w:rsidR="0072059B" w:rsidRPr="005461E8" w:rsidTr="003154BF">
        <w:trPr>
          <w:trHeight w:val="525"/>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9. Социални трансфери без тези в натура</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13 543,4</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5,3%</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14 396,7</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5,5%</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14 983,2</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3,8%</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10. Лихвени разходи</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692,6</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4,6%</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747,9</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8,0%</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765,6</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2,4%</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11. Субсидии</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2 481,7</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-12,5%</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2 435,4</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-1,9%</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2 429,9</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-0,2%</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12. Други текущи плащания</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1 977,9</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4,5%</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2 036,8</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3,0%</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2 367,4</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16,2%</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b/>
                <w:bCs/>
                <w:sz w:val="20"/>
                <w:szCs w:val="20"/>
              </w:rPr>
            </w:pPr>
            <w:r w:rsidRPr="005461E8">
              <w:rPr>
                <w:rFonts w:eastAsia="Times New Roman" w:cs="Times New Roman"/>
                <w:b/>
                <w:bCs/>
                <w:sz w:val="20"/>
                <w:szCs w:val="20"/>
              </w:rPr>
              <w:t xml:space="preserve">13. Общо  текущи разходи </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38 991,5</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2,5%</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41 373,7</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2,8%</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43 176,6</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2,7%</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14. Брутни спестявания (5-13)</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5 009,7</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13,7%</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5 264,6</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12,8%</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5 512,4</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9,3%</w:t>
            </w:r>
          </w:p>
        </w:tc>
      </w:tr>
      <w:tr w:rsidR="0072059B" w:rsidRPr="005461E8" w:rsidTr="003154BF">
        <w:trPr>
          <w:trHeight w:val="54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b/>
                <w:bCs/>
                <w:sz w:val="20"/>
                <w:szCs w:val="20"/>
              </w:rPr>
            </w:pPr>
            <w:r w:rsidRPr="005461E8">
              <w:rPr>
                <w:rFonts w:eastAsia="Times New Roman" w:cs="Times New Roman"/>
                <w:b/>
                <w:bCs/>
                <w:sz w:val="20"/>
                <w:szCs w:val="20"/>
              </w:rPr>
              <w:t>15. Капиталови трансфери, получени</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1 385,4</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15,7%</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1 337,8</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-3,4%</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1 418,2</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6,0%</w:t>
            </w:r>
          </w:p>
        </w:tc>
      </w:tr>
      <w:tr w:rsidR="0072059B" w:rsidRPr="005461E8" w:rsidTr="003154BF">
        <w:trPr>
          <w:trHeight w:val="525"/>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b/>
                <w:bCs/>
                <w:sz w:val="20"/>
                <w:szCs w:val="20"/>
              </w:rPr>
            </w:pPr>
            <w:r w:rsidRPr="005461E8">
              <w:rPr>
                <w:rFonts w:eastAsia="Times New Roman" w:cs="Times New Roman"/>
                <w:b/>
                <w:bCs/>
                <w:sz w:val="20"/>
                <w:szCs w:val="20"/>
              </w:rPr>
              <w:t>16. Бруто образуване на основен капитал</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5 078,4</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5,1%</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5 032,2</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-9,8%</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5 957,5</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13,3%</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r w:rsidRPr="005461E8">
              <w:rPr>
                <w:rFonts w:eastAsia="Times New Roman" w:cs="Times New Roman"/>
                <w:sz w:val="20"/>
                <w:szCs w:val="20"/>
              </w:rPr>
              <w:t>17. Други капиталови разходи</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545,1</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-24,1%</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499,7</w:t>
            </w:r>
          </w:p>
        </w:tc>
        <w:tc>
          <w:tcPr>
            <w:tcW w:w="676"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-8,3%</w:t>
            </w:r>
          </w:p>
        </w:tc>
        <w:tc>
          <w:tcPr>
            <w:tcW w:w="546" w:type="pct"/>
            <w:tcBorders>
              <w:top w:val="nil"/>
              <w:left w:val="nil"/>
              <w:bottom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332,9</w:t>
            </w:r>
          </w:p>
        </w:tc>
        <w:tc>
          <w:tcPr>
            <w:tcW w:w="685" w:type="pct"/>
            <w:tcBorders>
              <w:top w:val="nil"/>
              <w:left w:val="nil"/>
              <w:bottom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sz w:val="20"/>
                <w:szCs w:val="20"/>
              </w:rPr>
            </w:pPr>
            <w:r w:rsidRPr="005461E8">
              <w:rPr>
                <w:rFonts w:eastAsia="Times New Roman" w:cs="Times New Roman"/>
                <w:sz w:val="20"/>
                <w:szCs w:val="20"/>
              </w:rPr>
              <w:t>-33,4%</w:t>
            </w:r>
          </w:p>
        </w:tc>
      </w:tr>
      <w:tr w:rsidR="0072059B" w:rsidRPr="005461E8" w:rsidTr="003154BF">
        <w:trPr>
          <w:trHeight w:val="300"/>
        </w:trPr>
        <w:tc>
          <w:tcPr>
            <w:tcW w:w="1316" w:type="pct"/>
            <w:tcBorders>
              <w:top w:val="nil"/>
              <w:left w:val="nil"/>
              <w:bottom w:val="nil"/>
              <w:right w:val="nil"/>
            </w:tcBorders>
            <w:shd w:val="clear" w:color="auto" w:fill="auto"/>
            <w:vAlign w:val="bottom"/>
            <w:hideMark/>
          </w:tcPr>
          <w:p w:rsidR="0072059B" w:rsidRPr="005461E8" w:rsidRDefault="0072059B" w:rsidP="0022281D">
            <w:pPr>
              <w:spacing w:after="0"/>
              <w:jc w:val="left"/>
              <w:rPr>
                <w:rFonts w:eastAsia="Times New Roman" w:cs="Times New Roman"/>
                <w:sz w:val="20"/>
                <w:szCs w:val="20"/>
              </w:rPr>
            </w:pPr>
          </w:p>
        </w:tc>
        <w:tc>
          <w:tcPr>
            <w:tcW w:w="546" w:type="pct"/>
            <w:tcBorders>
              <w:top w:val="nil"/>
              <w:left w:val="nil"/>
              <w:bottom w:val="single" w:sz="4" w:space="0" w:color="595959"/>
              <w:right w:val="nil"/>
            </w:tcBorders>
            <w:shd w:val="clear" w:color="auto" w:fill="auto"/>
            <w:noWrap/>
            <w:vAlign w:val="bottom"/>
            <w:hideMark/>
          </w:tcPr>
          <w:p w:rsidR="0072059B" w:rsidRPr="005461E8" w:rsidRDefault="0072059B" w:rsidP="0022281D">
            <w:pPr>
              <w:spacing w:after="0"/>
              <w:jc w:val="right"/>
              <w:rPr>
                <w:rFonts w:eastAsia="Times New Roman" w:cs="Times New Roman"/>
                <w:sz w:val="20"/>
                <w:szCs w:val="20"/>
              </w:rPr>
            </w:pPr>
            <w:r w:rsidRPr="005461E8">
              <w:rPr>
                <w:rFonts w:eastAsia="Times New Roman" w:cs="Times New Roman"/>
                <w:sz w:val="20"/>
                <w:szCs w:val="20"/>
              </w:rPr>
              <w:t> </w:t>
            </w:r>
          </w:p>
        </w:tc>
        <w:tc>
          <w:tcPr>
            <w:tcW w:w="685" w:type="pct"/>
            <w:tcBorders>
              <w:top w:val="nil"/>
              <w:left w:val="nil"/>
              <w:bottom w:val="single" w:sz="4" w:space="0" w:color="595959"/>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i/>
                <w:iCs/>
                <w:sz w:val="20"/>
                <w:szCs w:val="20"/>
              </w:rPr>
            </w:pPr>
            <w:r w:rsidRPr="005461E8">
              <w:rPr>
                <w:rFonts w:eastAsia="Times New Roman" w:cs="Times New Roman"/>
                <w:b/>
                <w:bCs/>
                <w:i/>
                <w:iCs/>
                <w:sz w:val="20"/>
                <w:szCs w:val="20"/>
              </w:rPr>
              <w:t>% от БВП</w:t>
            </w:r>
          </w:p>
        </w:tc>
        <w:tc>
          <w:tcPr>
            <w:tcW w:w="546" w:type="pct"/>
            <w:tcBorders>
              <w:top w:val="nil"/>
              <w:left w:val="nil"/>
              <w:bottom w:val="single" w:sz="4" w:space="0" w:color="595959"/>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i/>
                <w:iCs/>
                <w:sz w:val="20"/>
                <w:szCs w:val="20"/>
              </w:rPr>
            </w:pPr>
            <w:r w:rsidRPr="005461E8">
              <w:rPr>
                <w:rFonts w:eastAsia="Times New Roman" w:cs="Times New Roman"/>
                <w:b/>
                <w:bCs/>
                <w:i/>
                <w:iCs/>
                <w:sz w:val="20"/>
                <w:szCs w:val="20"/>
              </w:rPr>
              <w:t> </w:t>
            </w:r>
          </w:p>
        </w:tc>
        <w:tc>
          <w:tcPr>
            <w:tcW w:w="676" w:type="pct"/>
            <w:tcBorders>
              <w:top w:val="nil"/>
              <w:left w:val="nil"/>
              <w:bottom w:val="single" w:sz="4" w:space="0" w:color="595959"/>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i/>
                <w:iCs/>
                <w:sz w:val="20"/>
                <w:szCs w:val="20"/>
              </w:rPr>
            </w:pPr>
            <w:r w:rsidRPr="005461E8">
              <w:rPr>
                <w:rFonts w:eastAsia="Times New Roman" w:cs="Times New Roman"/>
                <w:b/>
                <w:bCs/>
                <w:i/>
                <w:iCs/>
                <w:sz w:val="20"/>
                <w:szCs w:val="20"/>
              </w:rPr>
              <w:t>% от БВП</w:t>
            </w:r>
          </w:p>
        </w:tc>
        <w:tc>
          <w:tcPr>
            <w:tcW w:w="546" w:type="pct"/>
            <w:tcBorders>
              <w:top w:val="nil"/>
              <w:left w:val="nil"/>
              <w:bottom w:val="single" w:sz="4" w:space="0" w:color="595959"/>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i/>
                <w:iCs/>
                <w:sz w:val="20"/>
                <w:szCs w:val="20"/>
              </w:rPr>
            </w:pPr>
            <w:r w:rsidRPr="005461E8">
              <w:rPr>
                <w:rFonts w:eastAsia="Times New Roman" w:cs="Times New Roman"/>
                <w:b/>
                <w:bCs/>
                <w:i/>
                <w:iCs/>
                <w:sz w:val="20"/>
                <w:szCs w:val="20"/>
              </w:rPr>
              <w:t> </w:t>
            </w:r>
          </w:p>
        </w:tc>
        <w:tc>
          <w:tcPr>
            <w:tcW w:w="685" w:type="pct"/>
            <w:tcBorders>
              <w:top w:val="nil"/>
              <w:left w:val="nil"/>
              <w:bottom w:val="single" w:sz="4" w:space="0" w:color="595959"/>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i/>
                <w:iCs/>
                <w:sz w:val="20"/>
                <w:szCs w:val="20"/>
              </w:rPr>
            </w:pPr>
            <w:r w:rsidRPr="005461E8">
              <w:rPr>
                <w:rFonts w:eastAsia="Times New Roman" w:cs="Times New Roman"/>
                <w:b/>
                <w:bCs/>
                <w:i/>
                <w:iCs/>
                <w:sz w:val="20"/>
                <w:szCs w:val="20"/>
              </w:rPr>
              <w:t>% от БВП</w:t>
            </w:r>
          </w:p>
        </w:tc>
      </w:tr>
      <w:tr w:rsidR="0072059B" w:rsidRPr="005461E8" w:rsidTr="003154BF">
        <w:trPr>
          <w:trHeight w:val="300"/>
        </w:trPr>
        <w:tc>
          <w:tcPr>
            <w:tcW w:w="1316" w:type="pct"/>
            <w:tcBorders>
              <w:top w:val="nil"/>
              <w:left w:val="nil"/>
              <w:right w:val="nil"/>
            </w:tcBorders>
            <w:shd w:val="clear" w:color="auto" w:fill="auto"/>
            <w:vAlign w:val="bottom"/>
            <w:hideMark/>
          </w:tcPr>
          <w:p w:rsidR="0072059B" w:rsidRPr="005461E8" w:rsidRDefault="0072059B" w:rsidP="0022281D">
            <w:pPr>
              <w:spacing w:after="0"/>
              <w:jc w:val="left"/>
              <w:rPr>
                <w:rFonts w:eastAsia="Times New Roman" w:cs="Times New Roman"/>
                <w:b/>
                <w:bCs/>
                <w:sz w:val="20"/>
                <w:szCs w:val="20"/>
              </w:rPr>
            </w:pPr>
            <w:r w:rsidRPr="005461E8">
              <w:rPr>
                <w:rFonts w:eastAsia="Times New Roman" w:cs="Times New Roman"/>
                <w:b/>
                <w:bCs/>
                <w:sz w:val="20"/>
                <w:szCs w:val="20"/>
              </w:rPr>
              <w:t>18. Общи правителствени приходи</w:t>
            </w:r>
          </w:p>
        </w:tc>
        <w:tc>
          <w:tcPr>
            <w:tcW w:w="546" w:type="pct"/>
            <w:tcBorders>
              <w:top w:val="nil"/>
              <w:left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45 386,6</w:t>
            </w:r>
          </w:p>
        </w:tc>
        <w:tc>
          <w:tcPr>
            <w:tcW w:w="685" w:type="pct"/>
            <w:tcBorders>
              <w:top w:val="nil"/>
              <w:left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35,8%</w:t>
            </w:r>
          </w:p>
        </w:tc>
        <w:tc>
          <w:tcPr>
            <w:tcW w:w="546" w:type="pct"/>
            <w:tcBorders>
              <w:top w:val="nil"/>
              <w:left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47 976,1</w:t>
            </w:r>
          </w:p>
        </w:tc>
        <w:tc>
          <w:tcPr>
            <w:tcW w:w="676" w:type="pct"/>
            <w:tcBorders>
              <w:top w:val="nil"/>
              <w:left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35,6%</w:t>
            </w:r>
          </w:p>
        </w:tc>
        <w:tc>
          <w:tcPr>
            <w:tcW w:w="546" w:type="pct"/>
            <w:tcBorders>
              <w:top w:val="nil"/>
              <w:left w:val="nil"/>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50 107,2</w:t>
            </w:r>
          </w:p>
        </w:tc>
        <w:tc>
          <w:tcPr>
            <w:tcW w:w="685" w:type="pct"/>
            <w:tcBorders>
              <w:top w:val="nil"/>
              <w:left w:val="nil"/>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35,0%</w:t>
            </w:r>
          </w:p>
        </w:tc>
      </w:tr>
      <w:tr w:rsidR="0072059B" w:rsidRPr="005461E8" w:rsidTr="003154BF">
        <w:trPr>
          <w:trHeight w:val="300"/>
        </w:trPr>
        <w:tc>
          <w:tcPr>
            <w:tcW w:w="1316" w:type="pct"/>
            <w:tcBorders>
              <w:top w:val="nil"/>
              <w:left w:val="nil"/>
              <w:bottom w:val="single" w:sz="4" w:space="0" w:color="auto"/>
              <w:right w:val="nil"/>
            </w:tcBorders>
            <w:shd w:val="clear" w:color="auto" w:fill="auto"/>
            <w:vAlign w:val="bottom"/>
            <w:hideMark/>
          </w:tcPr>
          <w:p w:rsidR="0072059B" w:rsidRPr="005461E8" w:rsidRDefault="0072059B" w:rsidP="0022281D">
            <w:pPr>
              <w:spacing w:after="0"/>
              <w:jc w:val="left"/>
              <w:rPr>
                <w:rFonts w:eastAsia="Times New Roman" w:cs="Times New Roman"/>
                <w:b/>
                <w:bCs/>
                <w:sz w:val="20"/>
                <w:szCs w:val="20"/>
              </w:rPr>
            </w:pPr>
            <w:r w:rsidRPr="005461E8">
              <w:rPr>
                <w:rFonts w:eastAsia="Times New Roman" w:cs="Times New Roman"/>
                <w:b/>
                <w:bCs/>
                <w:sz w:val="20"/>
                <w:szCs w:val="20"/>
              </w:rPr>
              <w:t>19. Общи правителствени разходи</w:t>
            </w:r>
          </w:p>
        </w:tc>
        <w:tc>
          <w:tcPr>
            <w:tcW w:w="546" w:type="pct"/>
            <w:tcBorders>
              <w:top w:val="nil"/>
              <w:left w:val="nil"/>
              <w:bottom w:val="single" w:sz="4" w:space="0" w:color="auto"/>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44 615,1</w:t>
            </w:r>
          </w:p>
        </w:tc>
        <w:tc>
          <w:tcPr>
            <w:tcW w:w="685" w:type="pct"/>
            <w:tcBorders>
              <w:top w:val="nil"/>
              <w:left w:val="nil"/>
              <w:bottom w:val="single" w:sz="4" w:space="0" w:color="auto"/>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35,2%</w:t>
            </w:r>
          </w:p>
        </w:tc>
        <w:tc>
          <w:tcPr>
            <w:tcW w:w="546" w:type="pct"/>
            <w:tcBorders>
              <w:top w:val="nil"/>
              <w:left w:val="nil"/>
              <w:bottom w:val="single" w:sz="4" w:space="0" w:color="auto"/>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46 905,6</w:t>
            </w:r>
          </w:p>
        </w:tc>
        <w:tc>
          <w:tcPr>
            <w:tcW w:w="676" w:type="pct"/>
            <w:tcBorders>
              <w:top w:val="nil"/>
              <w:left w:val="nil"/>
              <w:bottom w:val="single" w:sz="4" w:space="0" w:color="auto"/>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34,8%</w:t>
            </w:r>
          </w:p>
        </w:tc>
        <w:tc>
          <w:tcPr>
            <w:tcW w:w="546" w:type="pct"/>
            <w:tcBorders>
              <w:top w:val="nil"/>
              <w:left w:val="nil"/>
              <w:bottom w:val="single" w:sz="4" w:space="0" w:color="auto"/>
              <w:right w:val="nil"/>
            </w:tcBorders>
            <w:shd w:val="clear" w:color="auto" w:fill="auto"/>
            <w:noWrap/>
            <w:vAlign w:val="bottom"/>
            <w:hideMark/>
          </w:tcPr>
          <w:p w:rsidR="0072059B" w:rsidRPr="005461E8" w:rsidRDefault="0072059B" w:rsidP="0022281D">
            <w:pPr>
              <w:spacing w:after="0"/>
              <w:jc w:val="right"/>
              <w:rPr>
                <w:rFonts w:eastAsia="Times New Roman" w:cs="Times New Roman"/>
                <w:b/>
                <w:bCs/>
                <w:sz w:val="20"/>
                <w:szCs w:val="20"/>
              </w:rPr>
            </w:pPr>
            <w:r w:rsidRPr="005461E8">
              <w:rPr>
                <w:rFonts w:eastAsia="Times New Roman" w:cs="Times New Roman"/>
                <w:b/>
                <w:bCs/>
                <w:sz w:val="20"/>
                <w:szCs w:val="20"/>
              </w:rPr>
              <w:t>49 467,0</w:t>
            </w:r>
          </w:p>
        </w:tc>
        <w:tc>
          <w:tcPr>
            <w:tcW w:w="685" w:type="pct"/>
            <w:tcBorders>
              <w:top w:val="nil"/>
              <w:left w:val="nil"/>
              <w:bottom w:val="single" w:sz="4" w:space="0" w:color="auto"/>
              <w:right w:val="nil"/>
            </w:tcBorders>
            <w:shd w:val="clear" w:color="auto" w:fill="auto"/>
            <w:noWrap/>
            <w:vAlign w:val="bottom"/>
            <w:hideMark/>
          </w:tcPr>
          <w:p w:rsidR="0072059B" w:rsidRPr="005461E8" w:rsidRDefault="0072059B" w:rsidP="0022281D">
            <w:pPr>
              <w:spacing w:after="0"/>
              <w:jc w:val="center"/>
              <w:rPr>
                <w:rFonts w:eastAsia="Times New Roman" w:cs="Times New Roman"/>
                <w:b/>
                <w:bCs/>
                <w:sz w:val="20"/>
                <w:szCs w:val="20"/>
              </w:rPr>
            </w:pPr>
            <w:r w:rsidRPr="005461E8">
              <w:rPr>
                <w:rFonts w:eastAsia="Times New Roman" w:cs="Times New Roman"/>
                <w:b/>
                <w:bCs/>
                <w:sz w:val="20"/>
                <w:szCs w:val="20"/>
              </w:rPr>
              <w:t>34,5%</w:t>
            </w:r>
          </w:p>
        </w:tc>
      </w:tr>
    </w:tbl>
    <w:p w:rsidR="0072059B" w:rsidRDefault="0072059B" w:rsidP="00483690">
      <w:pPr>
        <w:spacing w:after="120"/>
        <w:rPr>
          <w:rFonts w:eastAsia="Calibri" w:cs="Times New Roman"/>
          <w:bCs/>
          <w:iCs/>
          <w:szCs w:val="24"/>
          <w:lang w:eastAsia="en-US"/>
        </w:rPr>
      </w:pPr>
    </w:p>
    <w:p w:rsidR="00483690" w:rsidRPr="00483690" w:rsidRDefault="00483690" w:rsidP="00483690">
      <w:pPr>
        <w:spacing w:after="120"/>
        <w:rPr>
          <w:rFonts w:eastAsia="Calibri" w:cs="Times New Roman"/>
          <w:bCs/>
          <w:iCs/>
          <w:szCs w:val="24"/>
          <w:lang w:eastAsia="en-US"/>
        </w:rPr>
      </w:pPr>
      <w:r w:rsidRPr="00DF438C">
        <w:rPr>
          <w:rFonts w:eastAsia="Calibri" w:cs="Times New Roman"/>
          <w:b/>
          <w:bCs/>
          <w:iCs/>
          <w:szCs w:val="24"/>
          <w:lang w:eastAsia="en-US"/>
        </w:rPr>
        <w:t>В</w:t>
      </w:r>
      <w:r w:rsidRPr="00483690">
        <w:rPr>
          <w:rFonts w:eastAsia="Calibri" w:cs="Times New Roman"/>
          <w:bCs/>
          <w:iCs/>
          <w:szCs w:val="24"/>
          <w:lang w:eastAsia="en-US"/>
        </w:rPr>
        <w:t xml:space="preserve"> </w:t>
      </w:r>
      <w:r w:rsidRPr="00483690">
        <w:rPr>
          <w:rFonts w:eastAsia="Calibri" w:cs="Times New Roman"/>
          <w:b/>
          <w:bCs/>
          <w:iCs/>
          <w:szCs w:val="24"/>
          <w:lang w:eastAsia="en-US"/>
        </w:rPr>
        <w:t>приходите</w:t>
      </w:r>
      <w:r w:rsidRPr="00483690">
        <w:rPr>
          <w:rFonts w:eastAsia="Calibri" w:cs="Times New Roman"/>
          <w:bCs/>
          <w:iCs/>
          <w:szCs w:val="24"/>
          <w:lang w:eastAsia="en-US"/>
        </w:rPr>
        <w:t xml:space="preserve"> разлики между базисния сценарий и бюджетната прогноза се наблюдават при преките данъци и социално-осигурителните вноски, както и в неданъчните приходи. </w:t>
      </w:r>
    </w:p>
    <w:p w:rsidR="00483690" w:rsidRPr="00483690" w:rsidRDefault="00483690" w:rsidP="00483690">
      <w:pPr>
        <w:spacing w:after="120"/>
        <w:rPr>
          <w:rFonts w:eastAsia="Calibri" w:cs="Times New Roman"/>
          <w:bCs/>
          <w:iCs/>
          <w:szCs w:val="24"/>
          <w:lang w:eastAsia="en-US"/>
        </w:rPr>
      </w:pPr>
      <w:r w:rsidRPr="00483690">
        <w:rPr>
          <w:rFonts w:eastAsia="Calibri" w:cs="Times New Roman"/>
          <w:bCs/>
          <w:iCs/>
          <w:szCs w:val="24"/>
          <w:lang w:eastAsia="en-US"/>
        </w:rPr>
        <w:t>Приходите от преки данъци при сценарий без промяна в политиката се очакват да нарастват съответно с 6,5%, 5,5% и 5,6% за периода 2020-2022 г. спрямо основния сценарий. Същевременно в последния, поради предприетите мерки за увеличението на възнагражденията в бюджетната сфера и на заплатите на педагогическия персонал, увеличението на МРЗ и на минималните осигурителни доходи, се очаква приходите да се увеличат съответно със 7,9%, 6,3% и 5,6%.</w:t>
      </w:r>
    </w:p>
    <w:p w:rsidR="00483690" w:rsidRPr="00483690" w:rsidRDefault="00483690" w:rsidP="00483690">
      <w:pPr>
        <w:spacing w:after="120"/>
        <w:rPr>
          <w:rFonts w:eastAsia="Calibri" w:cs="Times New Roman"/>
          <w:bCs/>
          <w:iCs/>
          <w:szCs w:val="24"/>
          <w:lang w:eastAsia="en-US"/>
        </w:rPr>
      </w:pPr>
      <w:r w:rsidRPr="00483690">
        <w:rPr>
          <w:rFonts w:eastAsia="Calibri" w:cs="Times New Roman"/>
          <w:bCs/>
          <w:iCs/>
          <w:szCs w:val="24"/>
          <w:lang w:eastAsia="en-US"/>
        </w:rPr>
        <w:t xml:space="preserve">Прогнозата за приходите от социални и здравни осигуровки в сценария с непроменени политики предвижда нарастване на компонента от 4,7%, 3,5% и 4,7% на годишна база съответно за 2020 г., 2021 г. и 2022 г. В следствие на предприетите мерки за увеличаване на минималната работна заплата и на заплатите в системата на образованието през 2020 г. и 2021 г., на възнагражденията в бюджетната сфера през следващата година, както и в резултат на прехвърлянето на средства от лица, осигурени в частни пенсионни фондове, към фонд „Пенсии“ на ДОО, в бюджетната прогноза се предвиждат допълнителни приходи от осигуровки в размер на средногодишно 0,16 пр.п. от БВП в сравнение с базисния сценарий. </w:t>
      </w:r>
    </w:p>
    <w:p w:rsidR="0049222F" w:rsidRPr="00483690" w:rsidRDefault="0049222F" w:rsidP="0049222F">
      <w:pPr>
        <w:spacing w:after="120"/>
        <w:rPr>
          <w:rFonts w:eastAsia="Calibri" w:cs="Times New Roman"/>
          <w:bCs/>
          <w:iCs/>
          <w:szCs w:val="24"/>
          <w:lang w:eastAsia="en-US"/>
        </w:rPr>
      </w:pPr>
      <w:r w:rsidRPr="00483690">
        <w:rPr>
          <w:rFonts w:eastAsia="Calibri" w:cs="Times New Roman"/>
          <w:bCs/>
          <w:iCs/>
          <w:szCs w:val="24"/>
          <w:lang w:eastAsia="en-US"/>
        </w:rPr>
        <w:t>При неданъчните приходи разликите между базисния и основния сценарий се дължат на очаквани</w:t>
      </w:r>
      <w:r>
        <w:rPr>
          <w:rFonts w:eastAsia="Calibri" w:cs="Times New Roman"/>
          <w:bCs/>
          <w:iCs/>
          <w:szCs w:val="24"/>
          <w:lang w:eastAsia="en-US"/>
        </w:rPr>
        <w:t>те приходи от въвеждането на ТОЛ</w:t>
      </w:r>
      <w:r w:rsidRPr="00483690">
        <w:rPr>
          <w:rFonts w:eastAsia="Calibri" w:cs="Times New Roman"/>
          <w:bCs/>
          <w:iCs/>
          <w:szCs w:val="24"/>
          <w:lang w:eastAsia="en-US"/>
        </w:rPr>
        <w:t xml:space="preserve"> такса през 2020-2021 г. При непроменени по</w:t>
      </w:r>
      <w:r>
        <w:rPr>
          <w:rFonts w:eastAsia="Calibri" w:cs="Times New Roman"/>
          <w:bCs/>
          <w:iCs/>
          <w:szCs w:val="24"/>
          <w:lang w:eastAsia="en-US"/>
        </w:rPr>
        <w:t>литики тези приходи спадат с 6,0</w:t>
      </w:r>
      <w:r w:rsidRPr="00483690">
        <w:rPr>
          <w:rFonts w:eastAsia="Calibri" w:cs="Times New Roman"/>
          <w:bCs/>
          <w:iCs/>
          <w:szCs w:val="24"/>
          <w:lang w:eastAsia="en-US"/>
        </w:rPr>
        <w:t>% през 2020 г.,</w:t>
      </w:r>
      <w:r>
        <w:rPr>
          <w:rFonts w:eastAsia="Calibri" w:cs="Times New Roman"/>
          <w:bCs/>
          <w:iCs/>
          <w:szCs w:val="24"/>
          <w:lang w:eastAsia="en-US"/>
        </w:rPr>
        <w:t xml:space="preserve"> нарастват с</w:t>
      </w:r>
      <w:r w:rsidRPr="00483690">
        <w:rPr>
          <w:rFonts w:eastAsia="Calibri" w:cs="Times New Roman"/>
          <w:bCs/>
          <w:iCs/>
          <w:szCs w:val="24"/>
          <w:lang w:eastAsia="en-US"/>
        </w:rPr>
        <w:t xml:space="preserve"> </w:t>
      </w:r>
      <w:r>
        <w:rPr>
          <w:rFonts w:eastAsia="Calibri" w:cs="Times New Roman"/>
          <w:bCs/>
          <w:iCs/>
          <w:szCs w:val="24"/>
          <w:lang w:eastAsia="en-US"/>
        </w:rPr>
        <w:t>1,6</w:t>
      </w:r>
      <w:r w:rsidRPr="00483690">
        <w:rPr>
          <w:rFonts w:eastAsia="Calibri" w:cs="Times New Roman"/>
          <w:bCs/>
          <w:iCs/>
          <w:szCs w:val="24"/>
          <w:lang w:eastAsia="en-US"/>
        </w:rPr>
        <w:t xml:space="preserve">% през 2021 и спадат с 3,6% през 2022 г. В бюджетната прогноза </w:t>
      </w:r>
      <w:r>
        <w:rPr>
          <w:rFonts w:eastAsia="Calibri" w:cs="Times New Roman"/>
          <w:bCs/>
          <w:iCs/>
          <w:szCs w:val="24"/>
          <w:lang w:eastAsia="en-US"/>
        </w:rPr>
        <w:t xml:space="preserve">неданъчните приходи нарастват с 0,9% и </w:t>
      </w:r>
      <w:r w:rsidRPr="00483690">
        <w:rPr>
          <w:rFonts w:eastAsia="Calibri" w:cs="Times New Roman"/>
          <w:bCs/>
          <w:iCs/>
          <w:szCs w:val="24"/>
          <w:lang w:eastAsia="en-US"/>
        </w:rPr>
        <w:t>3</w:t>
      </w:r>
      <w:r>
        <w:rPr>
          <w:rFonts w:eastAsia="Calibri" w:cs="Times New Roman"/>
          <w:bCs/>
          <w:iCs/>
          <w:szCs w:val="24"/>
          <w:lang w:eastAsia="en-US"/>
        </w:rPr>
        <w:t>,9</w:t>
      </w:r>
      <w:r w:rsidRPr="00483690">
        <w:rPr>
          <w:rFonts w:eastAsia="Calibri" w:cs="Times New Roman"/>
          <w:bCs/>
          <w:iCs/>
          <w:szCs w:val="24"/>
          <w:lang w:eastAsia="en-US"/>
        </w:rPr>
        <w:t>% през 202</w:t>
      </w:r>
      <w:r>
        <w:rPr>
          <w:rFonts w:eastAsia="Calibri" w:cs="Times New Roman"/>
          <w:bCs/>
          <w:iCs/>
          <w:szCs w:val="24"/>
          <w:lang w:eastAsia="en-US"/>
        </w:rPr>
        <w:t>0 г. и 2021 г. и спадат с 3,6% през</w:t>
      </w:r>
      <w:r w:rsidRPr="00483690">
        <w:rPr>
          <w:rFonts w:eastAsia="Calibri" w:cs="Times New Roman"/>
          <w:bCs/>
          <w:iCs/>
          <w:szCs w:val="24"/>
          <w:lang w:eastAsia="en-US"/>
        </w:rPr>
        <w:t xml:space="preserve"> </w:t>
      </w:r>
      <w:r>
        <w:rPr>
          <w:rFonts w:eastAsia="Calibri" w:cs="Times New Roman"/>
          <w:bCs/>
          <w:iCs/>
          <w:szCs w:val="24"/>
          <w:lang w:eastAsia="en-US"/>
        </w:rPr>
        <w:t>2022 г.</w:t>
      </w:r>
    </w:p>
    <w:p w:rsidR="00483690" w:rsidRPr="00483690" w:rsidRDefault="00483690" w:rsidP="00483690">
      <w:pPr>
        <w:spacing w:after="120"/>
        <w:rPr>
          <w:rFonts w:eastAsia="Calibri" w:cs="Times New Roman"/>
          <w:bCs/>
          <w:iCs/>
          <w:szCs w:val="24"/>
          <w:lang w:eastAsia="en-US"/>
        </w:rPr>
      </w:pPr>
      <w:r w:rsidRPr="00483690">
        <w:rPr>
          <w:rFonts w:eastAsia="Calibri" w:cs="Times New Roman"/>
          <w:b/>
          <w:bCs/>
          <w:iCs/>
          <w:szCs w:val="24"/>
          <w:lang w:eastAsia="en-US"/>
        </w:rPr>
        <w:t>При разходите</w:t>
      </w:r>
      <w:r w:rsidRPr="00483690">
        <w:rPr>
          <w:rFonts w:eastAsia="Calibri" w:cs="Times New Roman"/>
          <w:bCs/>
          <w:iCs/>
          <w:szCs w:val="24"/>
          <w:lang w:eastAsia="en-US"/>
        </w:rPr>
        <w:t xml:space="preserve"> разлики между базисния сценарий и бюджетната прогноза се наблюдават при разходите за заплати в бюджетния сектор, в издръжката, при социално-осигурителните плащания и в капиталовите разходи.</w:t>
      </w:r>
    </w:p>
    <w:p w:rsidR="0049222F" w:rsidRPr="00483690" w:rsidRDefault="0049222F" w:rsidP="0049222F">
      <w:pPr>
        <w:spacing w:after="120"/>
        <w:rPr>
          <w:rFonts w:eastAsia="Calibri" w:cs="Times New Roman"/>
          <w:bCs/>
          <w:iCs/>
          <w:szCs w:val="24"/>
          <w:lang w:eastAsia="en-US"/>
        </w:rPr>
      </w:pPr>
      <w:r w:rsidRPr="00483690">
        <w:rPr>
          <w:rFonts w:eastAsia="Calibri" w:cs="Times New Roman"/>
          <w:bCs/>
          <w:iCs/>
          <w:szCs w:val="24"/>
          <w:lang w:eastAsia="en-US"/>
        </w:rPr>
        <w:t xml:space="preserve">Разходите за компенсации на наетите лица в базисния сценарий се очаква да се покачат с </w:t>
      </w:r>
      <w:r>
        <w:rPr>
          <w:rFonts w:eastAsia="Calibri" w:cs="Times New Roman"/>
          <w:bCs/>
          <w:iCs/>
          <w:szCs w:val="24"/>
          <w:lang w:eastAsia="en-US"/>
        </w:rPr>
        <w:t>по 0,9</w:t>
      </w:r>
      <w:r w:rsidRPr="00483690">
        <w:rPr>
          <w:rFonts w:eastAsia="Calibri" w:cs="Times New Roman"/>
          <w:bCs/>
          <w:iCs/>
          <w:szCs w:val="24"/>
          <w:lang w:eastAsia="en-US"/>
        </w:rPr>
        <w:t xml:space="preserve">% през 2020 </w:t>
      </w:r>
      <w:r w:rsidR="00F55E33">
        <w:rPr>
          <w:rFonts w:eastAsia="Calibri" w:cs="Times New Roman"/>
          <w:bCs/>
          <w:iCs/>
          <w:szCs w:val="24"/>
          <w:lang w:eastAsia="en-US"/>
        </w:rPr>
        <w:t xml:space="preserve">г. </w:t>
      </w:r>
      <w:r>
        <w:rPr>
          <w:rFonts w:eastAsia="Calibri" w:cs="Times New Roman"/>
          <w:bCs/>
          <w:iCs/>
          <w:szCs w:val="24"/>
          <w:lang w:eastAsia="en-US"/>
        </w:rPr>
        <w:t>и 2021 г.</w:t>
      </w:r>
      <w:r w:rsidRPr="00483690">
        <w:rPr>
          <w:rFonts w:eastAsia="Calibri" w:cs="Times New Roman"/>
          <w:bCs/>
          <w:iCs/>
          <w:szCs w:val="24"/>
          <w:lang w:eastAsia="en-US"/>
        </w:rPr>
        <w:t>, и да намал</w:t>
      </w:r>
      <w:r>
        <w:rPr>
          <w:rFonts w:eastAsia="Calibri" w:cs="Times New Roman"/>
          <w:bCs/>
          <w:iCs/>
          <w:szCs w:val="24"/>
          <w:lang w:eastAsia="en-US"/>
        </w:rPr>
        <w:t>ея</w:t>
      </w:r>
      <w:r w:rsidRPr="00483690">
        <w:rPr>
          <w:rFonts w:eastAsia="Calibri" w:cs="Times New Roman"/>
          <w:bCs/>
          <w:iCs/>
          <w:szCs w:val="24"/>
          <w:lang w:eastAsia="en-US"/>
        </w:rPr>
        <w:t>т с 0,4% на годишна база за 2022 г. Повишението в разходите за заплати в основния сценарий спрямо базисния е свързано с предприетите политики по доходите в бюджетната сфера и свързаното с тях  съответно увеличение на разходите за социално-осигурителни вноски. Предварителните оценки са за ръст в разходите за персонал от</w:t>
      </w:r>
      <w:r>
        <w:rPr>
          <w:rFonts w:eastAsia="Calibri" w:cs="Times New Roman"/>
          <w:bCs/>
          <w:iCs/>
          <w:szCs w:val="24"/>
          <w:lang w:eastAsia="en-US"/>
        </w:rPr>
        <w:t xml:space="preserve"> 9,6%,</w:t>
      </w:r>
      <w:r w:rsidRPr="00483690">
        <w:rPr>
          <w:rFonts w:eastAsia="Calibri" w:cs="Times New Roman"/>
          <w:bCs/>
          <w:iCs/>
          <w:szCs w:val="24"/>
          <w:lang w:eastAsia="en-US"/>
        </w:rPr>
        <w:t xml:space="preserve"> </w:t>
      </w:r>
      <w:r>
        <w:rPr>
          <w:rFonts w:eastAsia="Calibri" w:cs="Times New Roman"/>
          <w:bCs/>
          <w:iCs/>
          <w:szCs w:val="24"/>
          <w:lang w:eastAsia="en-US"/>
        </w:rPr>
        <w:t>4</w:t>
      </w:r>
      <w:r w:rsidRPr="00483690">
        <w:rPr>
          <w:rFonts w:eastAsia="Calibri" w:cs="Times New Roman"/>
          <w:bCs/>
          <w:iCs/>
          <w:szCs w:val="24"/>
          <w:lang w:eastAsia="en-US"/>
        </w:rPr>
        <w:t xml:space="preserve">,6% </w:t>
      </w:r>
      <w:r>
        <w:rPr>
          <w:rFonts w:eastAsia="Calibri" w:cs="Times New Roman"/>
          <w:bCs/>
          <w:iCs/>
          <w:szCs w:val="24"/>
          <w:lang w:eastAsia="en-US"/>
        </w:rPr>
        <w:t>съответно за</w:t>
      </w:r>
      <w:r w:rsidRPr="00483690">
        <w:rPr>
          <w:rFonts w:eastAsia="Calibri" w:cs="Times New Roman"/>
          <w:bCs/>
          <w:iCs/>
          <w:szCs w:val="24"/>
          <w:lang w:eastAsia="en-US"/>
        </w:rPr>
        <w:t xml:space="preserve"> 2020</w:t>
      </w:r>
      <w:r>
        <w:rPr>
          <w:rFonts w:eastAsia="Calibri" w:cs="Times New Roman"/>
          <w:bCs/>
          <w:iCs/>
          <w:szCs w:val="24"/>
          <w:lang w:eastAsia="en-US"/>
        </w:rPr>
        <w:t xml:space="preserve"> и</w:t>
      </w:r>
      <w:r w:rsidRPr="00483690">
        <w:rPr>
          <w:rFonts w:eastAsia="Calibri" w:cs="Times New Roman"/>
          <w:bCs/>
          <w:iCs/>
          <w:szCs w:val="24"/>
          <w:lang w:eastAsia="en-US"/>
        </w:rPr>
        <w:t xml:space="preserve"> 2021 г. и спад от 0,4% за 2022 г.</w:t>
      </w:r>
    </w:p>
    <w:p w:rsidR="00051051" w:rsidRPr="00483690" w:rsidRDefault="00051051" w:rsidP="00051051">
      <w:pPr>
        <w:spacing w:after="120"/>
        <w:rPr>
          <w:rFonts w:eastAsia="Calibri" w:cs="Times New Roman"/>
          <w:bCs/>
          <w:iCs/>
          <w:szCs w:val="24"/>
          <w:lang w:eastAsia="en-US"/>
        </w:rPr>
      </w:pPr>
      <w:r w:rsidRPr="00483690">
        <w:rPr>
          <w:rFonts w:eastAsia="Calibri" w:cs="Times New Roman"/>
          <w:bCs/>
          <w:iCs/>
          <w:szCs w:val="24"/>
          <w:lang w:eastAsia="en-US"/>
        </w:rPr>
        <w:t xml:space="preserve">Разликата в разходите за издръжка между двата сценария се дължи основно </w:t>
      </w:r>
      <w:r>
        <w:rPr>
          <w:rFonts w:eastAsia="Calibri" w:cs="Times New Roman"/>
          <w:bCs/>
          <w:iCs/>
          <w:szCs w:val="24"/>
          <w:lang w:eastAsia="en-US"/>
        </w:rPr>
        <w:t>на предвиденото въвеждане на ТОЛ</w:t>
      </w:r>
      <w:r w:rsidRPr="00483690">
        <w:rPr>
          <w:rFonts w:eastAsia="Calibri" w:cs="Times New Roman"/>
          <w:bCs/>
          <w:iCs/>
          <w:szCs w:val="24"/>
          <w:lang w:eastAsia="en-US"/>
        </w:rPr>
        <w:t xml:space="preserve"> системата в страната през 2020-2021 г. В следствие на това, се очаква разходите за издръжка да нараснат на годишна база съответно с </w:t>
      </w:r>
      <w:r>
        <w:rPr>
          <w:rFonts w:eastAsia="Calibri" w:cs="Times New Roman"/>
          <w:bCs/>
          <w:iCs/>
          <w:szCs w:val="24"/>
          <w:lang w:eastAsia="en-US"/>
        </w:rPr>
        <w:t>3,5</w:t>
      </w:r>
      <w:r w:rsidRPr="00483690">
        <w:rPr>
          <w:rFonts w:eastAsia="Calibri" w:cs="Times New Roman"/>
          <w:bCs/>
          <w:iCs/>
          <w:szCs w:val="24"/>
          <w:lang w:eastAsia="en-US"/>
        </w:rPr>
        <w:t xml:space="preserve">%, </w:t>
      </w:r>
      <w:r>
        <w:rPr>
          <w:rFonts w:eastAsia="Calibri" w:cs="Times New Roman"/>
          <w:bCs/>
          <w:iCs/>
          <w:szCs w:val="24"/>
          <w:lang w:eastAsia="en-US"/>
        </w:rPr>
        <w:t>1,4</w:t>
      </w:r>
      <w:r w:rsidRPr="00483690">
        <w:rPr>
          <w:rFonts w:eastAsia="Calibri" w:cs="Times New Roman"/>
          <w:bCs/>
          <w:iCs/>
          <w:szCs w:val="24"/>
          <w:lang w:eastAsia="en-US"/>
        </w:rPr>
        <w:t xml:space="preserve">% и 3,3%, докато при непроменени политики този показател има нарастване </w:t>
      </w:r>
      <w:r>
        <w:rPr>
          <w:rFonts w:eastAsia="Calibri" w:cs="Times New Roman"/>
          <w:bCs/>
          <w:iCs/>
          <w:szCs w:val="24"/>
          <w:lang w:eastAsia="en-US"/>
        </w:rPr>
        <w:t xml:space="preserve">съответно </w:t>
      </w:r>
      <w:r w:rsidRPr="00483690">
        <w:rPr>
          <w:rFonts w:eastAsia="Calibri" w:cs="Times New Roman"/>
          <w:bCs/>
          <w:iCs/>
          <w:szCs w:val="24"/>
          <w:lang w:eastAsia="en-US"/>
        </w:rPr>
        <w:t xml:space="preserve">от </w:t>
      </w:r>
      <w:r>
        <w:rPr>
          <w:rFonts w:eastAsia="Calibri" w:cs="Times New Roman"/>
          <w:bCs/>
          <w:iCs/>
          <w:szCs w:val="24"/>
          <w:lang w:eastAsia="en-US"/>
        </w:rPr>
        <w:t>2</w:t>
      </w:r>
      <w:r w:rsidRPr="00483690">
        <w:rPr>
          <w:rFonts w:eastAsia="Calibri" w:cs="Times New Roman"/>
          <w:bCs/>
          <w:iCs/>
          <w:szCs w:val="24"/>
          <w:lang w:eastAsia="en-US"/>
        </w:rPr>
        <w:t xml:space="preserve">,7% </w:t>
      </w:r>
      <w:r>
        <w:rPr>
          <w:rFonts w:eastAsia="Calibri" w:cs="Times New Roman"/>
          <w:bCs/>
          <w:iCs/>
          <w:szCs w:val="24"/>
          <w:lang w:eastAsia="en-US"/>
        </w:rPr>
        <w:t xml:space="preserve">, 0,4% </w:t>
      </w:r>
      <w:r w:rsidRPr="00483690">
        <w:rPr>
          <w:rFonts w:eastAsia="Calibri" w:cs="Times New Roman"/>
          <w:bCs/>
          <w:iCs/>
          <w:szCs w:val="24"/>
          <w:lang w:eastAsia="en-US"/>
        </w:rPr>
        <w:t xml:space="preserve">и 3,3% за </w:t>
      </w:r>
      <w:r>
        <w:rPr>
          <w:rFonts w:eastAsia="Calibri" w:cs="Times New Roman"/>
          <w:bCs/>
          <w:iCs/>
          <w:szCs w:val="24"/>
          <w:lang w:eastAsia="en-US"/>
        </w:rPr>
        <w:t xml:space="preserve">2020 г., </w:t>
      </w:r>
      <w:r w:rsidRPr="00483690">
        <w:rPr>
          <w:rFonts w:eastAsia="Calibri" w:cs="Times New Roman"/>
          <w:bCs/>
          <w:iCs/>
          <w:szCs w:val="24"/>
          <w:lang w:eastAsia="en-US"/>
        </w:rPr>
        <w:t xml:space="preserve">2021 г. и 2022 г. </w:t>
      </w:r>
    </w:p>
    <w:p w:rsidR="00483690" w:rsidRPr="00483690" w:rsidRDefault="00483690" w:rsidP="00483690">
      <w:pPr>
        <w:spacing w:after="120"/>
        <w:rPr>
          <w:rFonts w:eastAsia="Calibri" w:cs="Times New Roman"/>
          <w:bCs/>
          <w:iCs/>
          <w:szCs w:val="24"/>
          <w:lang w:eastAsia="en-US"/>
        </w:rPr>
      </w:pPr>
      <w:r w:rsidRPr="00483690">
        <w:rPr>
          <w:rFonts w:eastAsia="Calibri" w:cs="Times New Roman"/>
          <w:bCs/>
          <w:iCs/>
          <w:szCs w:val="24"/>
          <w:lang w:eastAsia="en-US"/>
        </w:rPr>
        <w:t>В следствие на приетото поетапно увеличение на трансферите за здравно осигуряване за лицата, осигурявани от държавния бюджет</w:t>
      </w:r>
      <w:r w:rsidRPr="00483690">
        <w:rPr>
          <w:rFonts w:eastAsia="Calibri" w:cs="Times New Roman"/>
          <w:sz w:val="22"/>
          <w:vertAlign w:val="superscript"/>
          <w:lang w:eastAsia="en-US"/>
        </w:rPr>
        <w:footnoteReference w:id="15"/>
      </w:r>
      <w:r w:rsidRPr="00483690">
        <w:rPr>
          <w:rFonts w:eastAsia="Calibri" w:cs="Times New Roman"/>
          <w:bCs/>
          <w:iCs/>
          <w:szCs w:val="24"/>
          <w:lang w:eastAsia="en-US"/>
        </w:rPr>
        <w:t xml:space="preserve">, с по 5 пр.п./годишно, както и на нарастването на минималните осигурителни доходи е предвидено увеличение на разходите за социални трансфери в натура (за здравно-осигурителни плащания) в бюджетната прогноза спрямо базисния сценарий съответно с по 0,1 пр.п. от БВП на годишна база. </w:t>
      </w:r>
    </w:p>
    <w:p w:rsidR="00483690" w:rsidRPr="00483690" w:rsidRDefault="00483690" w:rsidP="00483690">
      <w:pPr>
        <w:spacing w:after="120"/>
        <w:rPr>
          <w:rFonts w:eastAsia="Calibri" w:cs="Times New Roman"/>
          <w:bCs/>
          <w:iCs/>
          <w:szCs w:val="24"/>
          <w:lang w:eastAsia="en-US"/>
        </w:rPr>
      </w:pPr>
      <w:r w:rsidRPr="00483690">
        <w:rPr>
          <w:rFonts w:eastAsia="Calibri" w:cs="Times New Roman"/>
          <w:bCs/>
          <w:iCs/>
          <w:szCs w:val="24"/>
          <w:lang w:eastAsia="en-US"/>
        </w:rPr>
        <w:t xml:space="preserve">Разходите за пенсии и обезщетения в базисния сценарий нарастват в средносрочен план съответно с 5,3%, 5,5% и 3,8%, но поради приетите дискреционни мерки са предвидени ръстове от съответно 6,1%, 5,7% и 4,6% за периода 2020-2022 г. до достигане на ниво от 10,5% от БВП. Изменението на този елемент спрямо базисния сценарий е свързано с увеличаване на възрастта и стажа за придобиване на право на пенсия, базисен ефект от увеличението на максималната пенсия през 2019 г., както и с предприетите мерки в областта на социалните помощи свързани с осигуряване на средства </w:t>
      </w:r>
      <w:r w:rsidR="00AC6B73" w:rsidRPr="00AC6B73">
        <w:rPr>
          <w:rFonts w:eastAsia="Calibri" w:cs="Times New Roman"/>
          <w:bCs/>
          <w:iCs/>
          <w:szCs w:val="24"/>
          <w:lang w:eastAsia="en-US"/>
        </w:rPr>
        <w:t>за обезпечаване на новото законодателство в областта на държавната политика за правата на хората с увреждания: Закона за хората с увреждания, Закона за личната помощ и др.</w:t>
      </w:r>
    </w:p>
    <w:p w:rsidR="00051051" w:rsidRPr="00E17312" w:rsidRDefault="00051051" w:rsidP="00051051">
      <w:pPr>
        <w:spacing w:after="120"/>
        <w:rPr>
          <w:rStyle w:val="Strong"/>
          <w:rFonts w:eastAsia="Calibri" w:cs="Times New Roman"/>
          <w:b w:val="0"/>
          <w:iCs/>
          <w:szCs w:val="24"/>
          <w:lang w:eastAsia="en-US"/>
        </w:rPr>
      </w:pPr>
      <w:r w:rsidRPr="00483690">
        <w:rPr>
          <w:rFonts w:eastAsia="Calibri" w:cs="Times New Roman"/>
          <w:bCs/>
          <w:iCs/>
          <w:szCs w:val="24"/>
          <w:lang w:eastAsia="en-US"/>
        </w:rPr>
        <w:t xml:space="preserve">Капиталовите разходи в прогнозата нарастват по-съществено, отколкото в базисния сценарий. Основно влияние за това имат допълнителните мерки, предприети от правителството в сектор „Отбрана и сигурност“, както и средствата отделени за пътни инфраструктурни проекти и обезпечаване функционирането на </w:t>
      </w:r>
      <w:r>
        <w:rPr>
          <w:rFonts w:eastAsia="Calibri" w:cs="Times New Roman"/>
          <w:bCs/>
          <w:iCs/>
          <w:szCs w:val="24"/>
          <w:lang w:eastAsia="en-US"/>
        </w:rPr>
        <w:t>ТОЛ</w:t>
      </w:r>
      <w:r w:rsidRPr="00483690">
        <w:rPr>
          <w:rFonts w:eastAsia="Calibri" w:cs="Times New Roman"/>
          <w:bCs/>
          <w:iCs/>
          <w:szCs w:val="24"/>
          <w:lang w:eastAsia="en-US"/>
        </w:rPr>
        <w:t xml:space="preserve"> системата. </w:t>
      </w:r>
      <w:r>
        <w:rPr>
          <w:rFonts w:eastAsia="Calibri" w:cs="Times New Roman"/>
          <w:bCs/>
          <w:iCs/>
          <w:szCs w:val="24"/>
          <w:lang w:eastAsia="en-US"/>
        </w:rPr>
        <w:t>Изменението</w:t>
      </w:r>
      <w:r w:rsidRPr="00483690">
        <w:rPr>
          <w:rFonts w:eastAsia="Calibri" w:cs="Times New Roman"/>
          <w:bCs/>
          <w:iCs/>
          <w:szCs w:val="24"/>
          <w:lang w:eastAsia="en-US"/>
        </w:rPr>
        <w:t xml:space="preserve"> на разходите за бруто образуване на основен капи</w:t>
      </w:r>
      <w:r>
        <w:rPr>
          <w:rFonts w:eastAsia="Calibri" w:cs="Times New Roman"/>
          <w:bCs/>
          <w:iCs/>
          <w:szCs w:val="24"/>
          <w:lang w:eastAsia="en-US"/>
        </w:rPr>
        <w:t>тал при базисния сценарий е нарастване от 5,1</w:t>
      </w:r>
      <w:r w:rsidRPr="00483690">
        <w:rPr>
          <w:rFonts w:eastAsia="Calibri" w:cs="Times New Roman"/>
          <w:bCs/>
          <w:iCs/>
          <w:szCs w:val="24"/>
          <w:lang w:eastAsia="en-US"/>
        </w:rPr>
        <w:t>%</w:t>
      </w:r>
      <w:r>
        <w:rPr>
          <w:rFonts w:eastAsia="Calibri" w:cs="Times New Roman"/>
          <w:bCs/>
          <w:iCs/>
          <w:szCs w:val="24"/>
          <w:lang w:eastAsia="en-US"/>
        </w:rPr>
        <w:t xml:space="preserve"> за 2020 г.</w:t>
      </w:r>
      <w:r w:rsidRPr="00483690">
        <w:rPr>
          <w:rFonts w:eastAsia="Calibri" w:cs="Times New Roman"/>
          <w:bCs/>
          <w:iCs/>
          <w:szCs w:val="24"/>
          <w:lang w:eastAsia="en-US"/>
        </w:rPr>
        <w:t>,</w:t>
      </w:r>
      <w:r>
        <w:rPr>
          <w:rFonts w:eastAsia="Calibri" w:cs="Times New Roman"/>
          <w:bCs/>
          <w:iCs/>
          <w:szCs w:val="24"/>
          <w:lang w:eastAsia="en-US"/>
        </w:rPr>
        <w:t xml:space="preserve"> спад от 9,8% за 2021 г. и растеж от </w:t>
      </w:r>
      <w:r w:rsidRPr="00483690">
        <w:rPr>
          <w:rFonts w:eastAsia="Calibri" w:cs="Times New Roman"/>
          <w:bCs/>
          <w:iCs/>
          <w:szCs w:val="24"/>
          <w:lang w:eastAsia="en-US"/>
        </w:rPr>
        <w:t>13,3%</w:t>
      </w:r>
      <w:r>
        <w:rPr>
          <w:rFonts w:eastAsia="Calibri" w:cs="Times New Roman"/>
          <w:bCs/>
          <w:iCs/>
          <w:szCs w:val="24"/>
          <w:lang w:eastAsia="en-US"/>
        </w:rPr>
        <w:t xml:space="preserve"> за 2022</w:t>
      </w:r>
      <w:r w:rsidR="00F55E33">
        <w:rPr>
          <w:rFonts w:eastAsia="Calibri" w:cs="Times New Roman"/>
          <w:bCs/>
          <w:iCs/>
          <w:szCs w:val="24"/>
          <w:lang w:eastAsia="en-US"/>
        </w:rPr>
        <w:t xml:space="preserve"> г.</w:t>
      </w:r>
      <w:r w:rsidRPr="00483690">
        <w:rPr>
          <w:rFonts w:eastAsia="Calibri" w:cs="Times New Roman"/>
          <w:bCs/>
          <w:iCs/>
          <w:szCs w:val="24"/>
          <w:lang w:eastAsia="en-US"/>
        </w:rPr>
        <w:t xml:space="preserve">, докато при бюджетната прогноза този показател </w:t>
      </w:r>
      <w:r>
        <w:rPr>
          <w:rFonts w:eastAsia="Calibri" w:cs="Times New Roman"/>
          <w:bCs/>
          <w:iCs/>
          <w:szCs w:val="24"/>
          <w:lang w:eastAsia="en-US"/>
        </w:rPr>
        <w:t>е</w:t>
      </w:r>
      <w:r w:rsidRPr="00483690">
        <w:rPr>
          <w:rFonts w:eastAsia="Calibri" w:cs="Times New Roman"/>
          <w:bCs/>
          <w:iCs/>
          <w:szCs w:val="24"/>
          <w:lang w:eastAsia="en-US"/>
        </w:rPr>
        <w:t xml:space="preserve"> съответно </w:t>
      </w:r>
      <w:r>
        <w:rPr>
          <w:rFonts w:eastAsia="Calibri" w:cs="Times New Roman"/>
          <w:bCs/>
          <w:iCs/>
          <w:szCs w:val="24"/>
          <w:lang w:eastAsia="en-US"/>
        </w:rPr>
        <w:t>ръст от</w:t>
      </w:r>
      <w:r w:rsidRPr="00483690">
        <w:rPr>
          <w:rFonts w:eastAsia="Calibri" w:cs="Times New Roman"/>
          <w:bCs/>
          <w:iCs/>
          <w:szCs w:val="24"/>
          <w:lang w:eastAsia="en-US"/>
        </w:rPr>
        <w:t xml:space="preserve"> 15,5%</w:t>
      </w:r>
      <w:r>
        <w:rPr>
          <w:rFonts w:eastAsia="Calibri" w:cs="Times New Roman"/>
          <w:bCs/>
          <w:iCs/>
          <w:szCs w:val="24"/>
          <w:lang w:eastAsia="en-US"/>
        </w:rPr>
        <w:t xml:space="preserve"> за 2020 г.</w:t>
      </w:r>
      <w:r w:rsidRPr="00483690">
        <w:rPr>
          <w:rFonts w:eastAsia="Calibri" w:cs="Times New Roman"/>
          <w:bCs/>
          <w:iCs/>
          <w:szCs w:val="24"/>
          <w:lang w:eastAsia="en-US"/>
        </w:rPr>
        <w:t xml:space="preserve">, </w:t>
      </w:r>
      <w:r>
        <w:rPr>
          <w:rFonts w:eastAsia="Calibri" w:cs="Times New Roman"/>
          <w:bCs/>
          <w:iCs/>
          <w:szCs w:val="24"/>
          <w:lang w:eastAsia="en-US"/>
        </w:rPr>
        <w:t xml:space="preserve">спад </w:t>
      </w:r>
      <w:r w:rsidRPr="008D4AFB">
        <w:rPr>
          <w:rFonts w:eastAsia="Calibri" w:cs="Times New Roman"/>
          <w:bCs/>
          <w:iCs/>
          <w:szCs w:val="24"/>
          <w:lang w:eastAsia="en-US"/>
        </w:rPr>
        <w:t>от 5,</w:t>
      </w:r>
      <w:r>
        <w:rPr>
          <w:rFonts w:eastAsia="Calibri" w:cs="Times New Roman"/>
          <w:bCs/>
          <w:iCs/>
          <w:szCs w:val="24"/>
          <w:lang w:eastAsia="en-US"/>
        </w:rPr>
        <w:t>8</w:t>
      </w:r>
      <w:r w:rsidRPr="008D4AFB">
        <w:rPr>
          <w:rFonts w:eastAsia="Calibri" w:cs="Times New Roman"/>
          <w:bCs/>
          <w:iCs/>
          <w:szCs w:val="24"/>
          <w:lang w:eastAsia="en-US"/>
        </w:rPr>
        <w:t>% за 2021</w:t>
      </w:r>
      <w:r>
        <w:rPr>
          <w:rFonts w:eastAsia="Calibri" w:cs="Times New Roman"/>
          <w:bCs/>
          <w:iCs/>
          <w:szCs w:val="24"/>
          <w:lang w:eastAsia="en-US"/>
        </w:rPr>
        <w:t xml:space="preserve"> г. </w:t>
      </w:r>
      <w:r w:rsidRPr="00483690">
        <w:rPr>
          <w:rFonts w:eastAsia="Calibri" w:cs="Times New Roman"/>
          <w:bCs/>
          <w:iCs/>
          <w:szCs w:val="24"/>
          <w:lang w:eastAsia="en-US"/>
        </w:rPr>
        <w:t xml:space="preserve">и </w:t>
      </w:r>
      <w:r>
        <w:rPr>
          <w:rFonts w:eastAsia="Calibri" w:cs="Times New Roman"/>
          <w:bCs/>
          <w:iCs/>
          <w:szCs w:val="24"/>
          <w:lang w:eastAsia="en-US"/>
        </w:rPr>
        <w:t xml:space="preserve">ръст от </w:t>
      </w:r>
      <w:r w:rsidRPr="00483690">
        <w:rPr>
          <w:rFonts w:eastAsia="Calibri" w:cs="Times New Roman"/>
          <w:bCs/>
          <w:iCs/>
          <w:szCs w:val="24"/>
          <w:lang w:eastAsia="en-US"/>
        </w:rPr>
        <w:t>21,</w:t>
      </w:r>
      <w:r>
        <w:rPr>
          <w:rFonts w:eastAsia="Calibri" w:cs="Times New Roman"/>
          <w:bCs/>
          <w:iCs/>
          <w:szCs w:val="24"/>
          <w:lang w:eastAsia="en-US"/>
        </w:rPr>
        <w:t>7</w:t>
      </w:r>
      <w:r w:rsidRPr="00483690">
        <w:rPr>
          <w:rFonts w:eastAsia="Calibri" w:cs="Times New Roman"/>
          <w:bCs/>
          <w:iCs/>
          <w:szCs w:val="24"/>
          <w:lang w:eastAsia="en-US"/>
        </w:rPr>
        <w:t>% за 2022 г.</w:t>
      </w:r>
    </w:p>
    <w:p w:rsidR="00A20B48" w:rsidRPr="008E1EE5" w:rsidRDefault="00464E7E" w:rsidP="00517D0A">
      <w:pPr>
        <w:pStyle w:val="Heading3"/>
        <w:ind w:left="0"/>
        <w:rPr>
          <w:rStyle w:val="Strong"/>
          <w:b/>
          <w:bCs/>
        </w:rPr>
      </w:pPr>
      <w:r>
        <w:rPr>
          <w:rStyle w:val="Strong"/>
          <w:b/>
          <w:bCs/>
        </w:rPr>
        <w:t>дискреционни мерки и фискални ефекти на начислена основа</w:t>
      </w:r>
    </w:p>
    <w:p w:rsidR="0027583B" w:rsidRDefault="0027583B" w:rsidP="0027583B">
      <w:pPr>
        <w:spacing w:after="120"/>
      </w:pPr>
      <w:r>
        <w:t>Дискреционните мерки са всички нови мерки и политики на правителството, които имат въздействие върху бюджетните параметри и основните фискални показатели. Оценяват се всички дискреционни мерки, които правителството изпълнява или възнамерява да изпълн</w:t>
      </w:r>
      <w:r w:rsidR="00592C64">
        <w:t xml:space="preserve">ява през указания период, като </w:t>
      </w:r>
      <w:r>
        <w:t xml:space="preserve">е </w:t>
      </w:r>
      <w:r w:rsidR="00592C64">
        <w:t>отразено</w:t>
      </w:r>
      <w:r>
        <w:t xml:space="preserve"> допълнителното им бюджетно въздействие за съответната година спрямо предходната. Мерките се отразяват единствено в годината, в която се въвеждат, независимо че въздействието им продължава и през останалите години на прогнозния период. Съгласно изискване на Директива 2011/85/ЕС на Съвета от 8 ноември 2011 г., член 9, параграф 2, буква „б“ средносрочн</w:t>
      </w:r>
      <w:r w:rsidR="00E17312">
        <w:t xml:space="preserve">ите бюджетни рамки на държавите </w:t>
      </w:r>
      <w:r>
        <w:t xml:space="preserve">членки следва да включват процедури за установяването на прогнози за всички основни разходни и приходни пера на сектор „Държавно управление“ за съответната бюджетна година и за годините след нея, на базата на непроменени политики, и поради тази причина оценката на дискреционните мерки на правителството е от съществено значение. По този начин се гарантира, че избраният фискален сценарий може да бъде оценен както по отношение на влиянието на макроикономическите променливи, така и по отношение на дискреционните изменения в политиката на правителството. </w:t>
      </w:r>
    </w:p>
    <w:p w:rsidR="0027583B" w:rsidRDefault="0027583B" w:rsidP="0027583B">
      <w:pPr>
        <w:spacing w:after="120"/>
      </w:pPr>
      <w:r>
        <w:t>Промените в дискреционните мерки за периода 2020-2022 г. спрямо прогнозите, които бяха представени през пролетта на 2019 г. в СБП 2020-2022 г., се дължат на въвеждане на нови мерки, преоценка на очаквания размер при някои от мерките, както и на промяна в годините на доставки, свързани с инвестиционните разходи в сектор „Отбрана и сигурност“. Ефектът от приходните мерки, планирани на начислена основа възлиза на 1</w:t>
      </w:r>
      <w:r w:rsidR="00E17312">
        <w:t xml:space="preserve"> </w:t>
      </w:r>
      <w:r>
        <w:t>368,</w:t>
      </w:r>
      <w:r w:rsidR="00253A58">
        <w:t>1</w:t>
      </w:r>
      <w:r>
        <w:t xml:space="preserve"> млн. лв. общо за периода 2020-2022 г., а ефектът от разходните мерки възлиза общо на </w:t>
      </w:r>
      <w:r w:rsidR="00964569" w:rsidRPr="00FD386E">
        <w:t>3</w:t>
      </w:r>
      <w:r w:rsidR="00FD386E">
        <w:t xml:space="preserve"> 2</w:t>
      </w:r>
      <w:r w:rsidR="00964569" w:rsidRPr="00FD386E">
        <w:t>27,9</w:t>
      </w:r>
      <w:r>
        <w:t xml:space="preserve"> млн. лв. за същия период. </w:t>
      </w:r>
    </w:p>
    <w:p w:rsidR="002A2FC9" w:rsidRPr="00256EFF" w:rsidRDefault="002A2FC9" w:rsidP="002A2FC9">
      <w:pPr>
        <w:pStyle w:val="Heading4"/>
        <w:numPr>
          <w:ilvl w:val="0"/>
          <w:numId w:val="0"/>
        </w:numPr>
      </w:pPr>
      <w:r w:rsidRPr="00256EFF">
        <w:t>Приходна част</w:t>
      </w:r>
    </w:p>
    <w:p w:rsidR="0027583B" w:rsidRPr="0027583B" w:rsidRDefault="0027583B" w:rsidP="0027583B">
      <w:pPr>
        <w:spacing w:after="120"/>
        <w:rPr>
          <w:rFonts w:eastAsiaTheme="minorHAnsi"/>
          <w:szCs w:val="24"/>
          <w:lang w:eastAsia="en-US"/>
        </w:rPr>
      </w:pPr>
      <w:r w:rsidRPr="0027583B">
        <w:rPr>
          <w:rFonts w:eastAsiaTheme="minorHAnsi"/>
          <w:szCs w:val="24"/>
          <w:lang w:eastAsia="en-US"/>
        </w:rPr>
        <w:t>От страна на приходите за периода 2020-2022 г., като дискреционна мярка с най-</w:t>
      </w:r>
      <w:r w:rsidR="009A2870">
        <w:rPr>
          <w:rFonts w:eastAsiaTheme="minorHAnsi"/>
          <w:szCs w:val="24"/>
          <w:lang w:eastAsia="en-US"/>
        </w:rPr>
        <w:t xml:space="preserve">голям ефект е въвеждането на </w:t>
      </w:r>
      <w:r w:rsidR="00F161B3">
        <w:rPr>
          <w:rFonts w:eastAsiaTheme="minorHAnsi"/>
          <w:szCs w:val="24"/>
          <w:lang w:eastAsia="en-US"/>
        </w:rPr>
        <w:t>ТОЛ</w:t>
      </w:r>
      <w:r w:rsidR="006C10EA" w:rsidRPr="0027583B">
        <w:rPr>
          <w:rFonts w:eastAsiaTheme="minorHAnsi"/>
          <w:szCs w:val="24"/>
          <w:lang w:eastAsia="en-US"/>
        </w:rPr>
        <w:t xml:space="preserve"> </w:t>
      </w:r>
      <w:r w:rsidRPr="0027583B">
        <w:rPr>
          <w:rFonts w:eastAsiaTheme="minorHAnsi"/>
          <w:szCs w:val="24"/>
          <w:lang w:eastAsia="en-US"/>
        </w:rPr>
        <w:t>такса с общ ефект от 600,0 млн. лв. за прогнозния период. За 2020 г. се предвижда бю</w:t>
      </w:r>
      <w:r w:rsidR="00F161B3">
        <w:rPr>
          <w:rFonts w:eastAsiaTheme="minorHAnsi"/>
          <w:szCs w:val="24"/>
          <w:lang w:eastAsia="en-US"/>
        </w:rPr>
        <w:t>джетен ефект от приходите от ТОЛ</w:t>
      </w:r>
      <w:r w:rsidRPr="0027583B">
        <w:rPr>
          <w:rFonts w:eastAsiaTheme="minorHAnsi"/>
          <w:szCs w:val="24"/>
          <w:lang w:eastAsia="en-US"/>
        </w:rPr>
        <w:t xml:space="preserve"> такса в размер на 450,0 млн. лв., а през 2021 г. се очаква допълнително увеличение на планираните приходи със 150,0 млн.</w:t>
      </w:r>
      <w:r w:rsidR="00E17312">
        <w:rPr>
          <w:rFonts w:eastAsiaTheme="minorHAnsi"/>
          <w:szCs w:val="24"/>
          <w:lang w:eastAsia="en-US"/>
        </w:rPr>
        <w:t xml:space="preserve"> </w:t>
      </w:r>
      <w:r w:rsidRPr="0027583B">
        <w:rPr>
          <w:rFonts w:eastAsiaTheme="minorHAnsi"/>
          <w:szCs w:val="24"/>
          <w:lang w:eastAsia="en-US"/>
        </w:rPr>
        <w:t>лв.</w:t>
      </w:r>
    </w:p>
    <w:p w:rsidR="0027583B" w:rsidRDefault="0027583B" w:rsidP="0027583B">
      <w:pPr>
        <w:spacing w:after="120"/>
        <w:rPr>
          <w:rFonts w:eastAsiaTheme="minorHAnsi"/>
          <w:szCs w:val="24"/>
          <w:lang w:eastAsia="en-US"/>
        </w:rPr>
      </w:pPr>
      <w:r w:rsidRPr="0027583B">
        <w:rPr>
          <w:rFonts w:eastAsiaTheme="minorHAnsi"/>
          <w:szCs w:val="24"/>
          <w:lang w:eastAsia="en-US"/>
        </w:rPr>
        <w:t>Останалите дискреционни мерки в приходната част на прогнозата са свързани с приходите от данъците върху доходите на физическите лица и осигурителни вноски вследствие на промяната на минималната работна заплата и на увеличаване на заплатите в бюджетната сфера, в това число на заплатите на педагогическия персонал. Планираното увеличаване на минималната месечна работна заплата с 50 лв. от началото 2020 г. и с 40 лв. от началото на 2021 г., води до съответното нарастване и на минималните осигурителни доходи на самоосигуряващите се лица. Очакваният ефект от тази мярка е нарастване на приходите от социално-осигурителни вноски с 216,9 млн. лв. и нарастване на приходите от ДДФЛ със 70,0 млн. лв. общо за 2020 г. и 2021 г. Увеличението на заплатите в бюджетната сфера, в това число и на педагогическия персонал, води до нарастване на приходите от социално-осигурителни вноски с 297,2 млн. лв. и нарастване на приходите от ДДФЛ с 88,6 млн. лв. за същия период. Приходите от избор на осигуряване, заедно с приходите от осигурителни вноски от увеличение на изискването за осигурителен стаж при пенсиониране са оценени на 95,</w:t>
      </w:r>
      <w:r w:rsidR="00253A58">
        <w:rPr>
          <w:rFonts w:eastAsiaTheme="minorHAnsi"/>
          <w:szCs w:val="24"/>
          <w:lang w:eastAsia="en-US"/>
        </w:rPr>
        <w:t>4</w:t>
      </w:r>
      <w:r w:rsidRPr="0027583B">
        <w:rPr>
          <w:rFonts w:eastAsiaTheme="minorHAnsi"/>
          <w:szCs w:val="24"/>
          <w:lang w:eastAsia="en-US"/>
        </w:rPr>
        <w:t xml:space="preserve"> млн. лв. за периода 2020-2022 г.</w:t>
      </w:r>
    </w:p>
    <w:p w:rsidR="004C164F" w:rsidRDefault="00167089" w:rsidP="00167089">
      <w:pPr>
        <w:pStyle w:val="Caption"/>
      </w:pPr>
      <w:bookmarkStart w:id="368" w:name="_Toc464737641"/>
      <w:bookmarkStart w:id="369" w:name="_Toc23337524"/>
      <w:r w:rsidRPr="0078117A">
        <w:t xml:space="preserve">Табл. </w:t>
      </w:r>
      <w:fldSimple w:instr=" STYLEREF 1 \s ">
        <w:r w:rsidR="0034195B">
          <w:rPr>
            <w:noProof/>
          </w:rPr>
          <w:t>II</w:t>
        </w:r>
      </w:fldSimple>
      <w:r w:rsidRPr="0078117A">
        <w:noBreakHyphen/>
      </w:r>
      <w:fldSimple w:instr=" SEQ Табл. \* ARABIC \s 1 ">
        <w:r w:rsidR="0034195B">
          <w:rPr>
            <w:noProof/>
          </w:rPr>
          <w:t>9</w:t>
        </w:r>
      </w:fldSimple>
      <w:r>
        <w:t>:</w:t>
      </w:r>
      <w:r w:rsidRPr="00664F93">
        <w:rPr>
          <w:lang w:val="ru-RU"/>
        </w:rPr>
        <w:t xml:space="preserve"> </w:t>
      </w:r>
      <w:r w:rsidR="004C164F" w:rsidRPr="0078117A">
        <w:t>Дискреционни приходни мерки на начислена основа, млн. лв.</w:t>
      </w:r>
      <w:bookmarkEnd w:id="368"/>
      <w:bookmarkEnd w:id="369"/>
    </w:p>
    <w:tbl>
      <w:tblPr>
        <w:tblW w:w="9214" w:type="dxa"/>
        <w:tblInd w:w="70" w:type="dxa"/>
        <w:tblCellMar>
          <w:left w:w="70" w:type="dxa"/>
          <w:right w:w="70" w:type="dxa"/>
        </w:tblCellMar>
        <w:tblLook w:val="04A0" w:firstRow="1" w:lastRow="0" w:firstColumn="1" w:lastColumn="0" w:noHBand="0" w:noVBand="1"/>
      </w:tblPr>
      <w:tblGrid>
        <w:gridCol w:w="6360"/>
        <w:gridCol w:w="960"/>
        <w:gridCol w:w="960"/>
        <w:gridCol w:w="934"/>
      </w:tblGrid>
      <w:tr w:rsidR="009A2870" w:rsidRPr="009A2870" w:rsidTr="00262669">
        <w:trPr>
          <w:trHeight w:val="300"/>
          <w:tblHeader/>
        </w:trPr>
        <w:tc>
          <w:tcPr>
            <w:tcW w:w="6360" w:type="dxa"/>
            <w:vMerge w:val="restart"/>
            <w:tcBorders>
              <w:top w:val="single" w:sz="4" w:space="0" w:color="595959"/>
              <w:left w:val="nil"/>
              <w:bottom w:val="single" w:sz="4" w:space="0" w:color="595959"/>
              <w:right w:val="nil"/>
            </w:tcBorders>
            <w:shd w:val="clear" w:color="auto" w:fill="auto"/>
            <w:vAlign w:val="center"/>
            <w:hideMark/>
          </w:tcPr>
          <w:p w:rsidR="009A2870" w:rsidRPr="009A2870" w:rsidRDefault="009A2870" w:rsidP="009A2870">
            <w:pPr>
              <w:spacing w:after="0"/>
              <w:jc w:val="center"/>
              <w:rPr>
                <w:rFonts w:eastAsia="Times New Roman" w:cs="Times New Roman"/>
                <w:b/>
                <w:bCs/>
                <w:color w:val="000000"/>
                <w:szCs w:val="24"/>
              </w:rPr>
            </w:pPr>
            <w:r w:rsidRPr="009A2870">
              <w:rPr>
                <w:rFonts w:eastAsia="Times New Roman" w:cs="Times New Roman"/>
                <w:b/>
                <w:bCs/>
                <w:color w:val="000000"/>
                <w:szCs w:val="24"/>
              </w:rPr>
              <w:t xml:space="preserve">Приходни мерки </w:t>
            </w:r>
          </w:p>
        </w:tc>
        <w:tc>
          <w:tcPr>
            <w:tcW w:w="960" w:type="dxa"/>
            <w:vMerge w:val="restart"/>
            <w:tcBorders>
              <w:top w:val="single" w:sz="4" w:space="0" w:color="595959"/>
              <w:left w:val="nil"/>
              <w:bottom w:val="single" w:sz="4" w:space="0" w:color="595959"/>
              <w:right w:val="nil"/>
            </w:tcBorders>
            <w:shd w:val="clear" w:color="auto" w:fill="auto"/>
            <w:noWrap/>
            <w:vAlign w:val="center"/>
            <w:hideMark/>
          </w:tcPr>
          <w:p w:rsidR="009A2870" w:rsidRPr="009A2870" w:rsidRDefault="009A2870" w:rsidP="009A2870">
            <w:pPr>
              <w:spacing w:after="0"/>
              <w:jc w:val="center"/>
              <w:rPr>
                <w:rFonts w:eastAsia="Times New Roman" w:cs="Times New Roman"/>
                <w:b/>
                <w:bCs/>
                <w:color w:val="000000"/>
                <w:sz w:val="20"/>
                <w:szCs w:val="20"/>
              </w:rPr>
            </w:pPr>
            <w:r w:rsidRPr="009A2870">
              <w:rPr>
                <w:rFonts w:eastAsia="Times New Roman" w:cs="Times New Roman"/>
                <w:b/>
                <w:bCs/>
                <w:color w:val="000000"/>
                <w:sz w:val="20"/>
                <w:szCs w:val="20"/>
              </w:rPr>
              <w:t>2020</w:t>
            </w:r>
          </w:p>
        </w:tc>
        <w:tc>
          <w:tcPr>
            <w:tcW w:w="960" w:type="dxa"/>
            <w:vMerge w:val="restart"/>
            <w:tcBorders>
              <w:top w:val="single" w:sz="4" w:space="0" w:color="595959"/>
              <w:left w:val="nil"/>
              <w:bottom w:val="single" w:sz="4" w:space="0" w:color="595959"/>
              <w:right w:val="nil"/>
            </w:tcBorders>
            <w:shd w:val="clear" w:color="auto" w:fill="auto"/>
            <w:noWrap/>
            <w:vAlign w:val="center"/>
            <w:hideMark/>
          </w:tcPr>
          <w:p w:rsidR="009A2870" w:rsidRPr="009A2870" w:rsidRDefault="009A2870" w:rsidP="009A2870">
            <w:pPr>
              <w:spacing w:after="0"/>
              <w:jc w:val="center"/>
              <w:rPr>
                <w:rFonts w:eastAsia="Times New Roman" w:cs="Times New Roman"/>
                <w:b/>
                <w:bCs/>
                <w:color w:val="000000"/>
                <w:sz w:val="20"/>
                <w:szCs w:val="20"/>
              </w:rPr>
            </w:pPr>
            <w:r w:rsidRPr="009A2870">
              <w:rPr>
                <w:rFonts w:eastAsia="Times New Roman" w:cs="Times New Roman"/>
                <w:b/>
                <w:bCs/>
                <w:color w:val="000000"/>
                <w:sz w:val="20"/>
                <w:szCs w:val="20"/>
              </w:rPr>
              <w:t>2021</w:t>
            </w:r>
          </w:p>
        </w:tc>
        <w:tc>
          <w:tcPr>
            <w:tcW w:w="934" w:type="dxa"/>
            <w:vMerge w:val="restart"/>
            <w:tcBorders>
              <w:top w:val="single" w:sz="4" w:space="0" w:color="595959"/>
              <w:left w:val="nil"/>
              <w:bottom w:val="single" w:sz="4" w:space="0" w:color="595959"/>
              <w:right w:val="nil"/>
            </w:tcBorders>
            <w:shd w:val="clear" w:color="auto" w:fill="auto"/>
            <w:noWrap/>
            <w:vAlign w:val="center"/>
            <w:hideMark/>
          </w:tcPr>
          <w:p w:rsidR="009A2870" w:rsidRPr="009A2870" w:rsidRDefault="009A2870" w:rsidP="009A2870">
            <w:pPr>
              <w:spacing w:after="0"/>
              <w:jc w:val="center"/>
              <w:rPr>
                <w:rFonts w:eastAsia="Times New Roman" w:cs="Times New Roman"/>
                <w:b/>
                <w:bCs/>
                <w:color w:val="000000"/>
                <w:sz w:val="20"/>
                <w:szCs w:val="20"/>
              </w:rPr>
            </w:pPr>
            <w:r w:rsidRPr="009A2870">
              <w:rPr>
                <w:rFonts w:eastAsia="Times New Roman" w:cs="Times New Roman"/>
                <w:b/>
                <w:bCs/>
                <w:color w:val="000000"/>
                <w:sz w:val="20"/>
                <w:szCs w:val="20"/>
              </w:rPr>
              <w:t>2022</w:t>
            </w:r>
          </w:p>
        </w:tc>
      </w:tr>
      <w:tr w:rsidR="009A2870" w:rsidRPr="009A2870" w:rsidTr="00DA4EF2">
        <w:trPr>
          <w:trHeight w:val="315"/>
        </w:trPr>
        <w:tc>
          <w:tcPr>
            <w:tcW w:w="6360" w:type="dxa"/>
            <w:vMerge/>
            <w:tcBorders>
              <w:left w:val="nil"/>
              <w:bottom w:val="single" w:sz="4" w:space="0" w:color="595959"/>
              <w:right w:val="nil"/>
            </w:tcBorders>
            <w:shd w:val="clear" w:color="auto" w:fill="auto"/>
            <w:vAlign w:val="center"/>
            <w:hideMark/>
          </w:tcPr>
          <w:p w:rsidR="009A2870" w:rsidRPr="009A2870" w:rsidRDefault="009A2870" w:rsidP="009A2870">
            <w:pPr>
              <w:spacing w:after="0"/>
              <w:jc w:val="left"/>
              <w:rPr>
                <w:rFonts w:eastAsia="Times New Roman" w:cs="Times New Roman"/>
                <w:b/>
                <w:bCs/>
                <w:color w:val="000000"/>
                <w:szCs w:val="24"/>
              </w:rPr>
            </w:pPr>
          </w:p>
        </w:tc>
        <w:tc>
          <w:tcPr>
            <w:tcW w:w="960" w:type="dxa"/>
            <w:vMerge/>
            <w:tcBorders>
              <w:left w:val="nil"/>
              <w:bottom w:val="single" w:sz="4" w:space="0" w:color="595959"/>
              <w:right w:val="nil"/>
            </w:tcBorders>
            <w:shd w:val="clear" w:color="auto" w:fill="auto"/>
            <w:vAlign w:val="center"/>
            <w:hideMark/>
          </w:tcPr>
          <w:p w:rsidR="009A2870" w:rsidRPr="009A2870" w:rsidRDefault="009A2870" w:rsidP="009A2870">
            <w:pPr>
              <w:spacing w:after="0"/>
              <w:jc w:val="left"/>
              <w:rPr>
                <w:rFonts w:eastAsia="Times New Roman" w:cs="Times New Roman"/>
                <w:b/>
                <w:bCs/>
                <w:color w:val="000000"/>
                <w:sz w:val="20"/>
                <w:szCs w:val="20"/>
              </w:rPr>
            </w:pPr>
          </w:p>
        </w:tc>
        <w:tc>
          <w:tcPr>
            <w:tcW w:w="960" w:type="dxa"/>
            <w:vMerge/>
            <w:tcBorders>
              <w:left w:val="nil"/>
              <w:bottom w:val="single" w:sz="4" w:space="0" w:color="595959"/>
              <w:right w:val="nil"/>
            </w:tcBorders>
            <w:shd w:val="clear" w:color="auto" w:fill="auto"/>
            <w:vAlign w:val="center"/>
            <w:hideMark/>
          </w:tcPr>
          <w:p w:rsidR="009A2870" w:rsidRPr="009A2870" w:rsidRDefault="009A2870" w:rsidP="009A2870">
            <w:pPr>
              <w:spacing w:after="0"/>
              <w:jc w:val="left"/>
              <w:rPr>
                <w:rFonts w:eastAsia="Times New Roman" w:cs="Times New Roman"/>
                <w:b/>
                <w:bCs/>
                <w:color w:val="000000"/>
                <w:sz w:val="20"/>
                <w:szCs w:val="20"/>
              </w:rPr>
            </w:pPr>
          </w:p>
        </w:tc>
        <w:tc>
          <w:tcPr>
            <w:tcW w:w="934" w:type="dxa"/>
            <w:vMerge/>
            <w:tcBorders>
              <w:left w:val="nil"/>
              <w:bottom w:val="single" w:sz="4" w:space="0" w:color="595959"/>
              <w:right w:val="nil"/>
            </w:tcBorders>
            <w:shd w:val="clear" w:color="auto" w:fill="auto"/>
            <w:vAlign w:val="center"/>
            <w:hideMark/>
          </w:tcPr>
          <w:p w:rsidR="009A2870" w:rsidRPr="009A2870" w:rsidRDefault="009A2870" w:rsidP="009A2870">
            <w:pPr>
              <w:spacing w:after="0"/>
              <w:jc w:val="left"/>
              <w:rPr>
                <w:rFonts w:eastAsia="Times New Roman" w:cs="Times New Roman"/>
                <w:b/>
                <w:bCs/>
                <w:color w:val="000000"/>
                <w:sz w:val="20"/>
                <w:szCs w:val="20"/>
              </w:rPr>
            </w:pPr>
          </w:p>
        </w:tc>
      </w:tr>
      <w:tr w:rsidR="009A2870" w:rsidRPr="009A2870" w:rsidTr="009A2870">
        <w:trPr>
          <w:trHeight w:val="300"/>
        </w:trPr>
        <w:tc>
          <w:tcPr>
            <w:tcW w:w="6360" w:type="dxa"/>
            <w:tcBorders>
              <w:top w:val="nil"/>
              <w:left w:val="nil"/>
              <w:bottom w:val="nil"/>
              <w:right w:val="nil"/>
            </w:tcBorders>
            <w:shd w:val="clear" w:color="auto" w:fill="auto"/>
            <w:vAlign w:val="center"/>
            <w:hideMark/>
          </w:tcPr>
          <w:p w:rsidR="009A2870" w:rsidRPr="009A2870" w:rsidRDefault="00F161B3" w:rsidP="009A2870">
            <w:pPr>
              <w:spacing w:after="0"/>
              <w:jc w:val="left"/>
              <w:rPr>
                <w:rFonts w:eastAsia="Times New Roman" w:cs="Times New Roman"/>
                <w:color w:val="000000"/>
                <w:sz w:val="20"/>
                <w:szCs w:val="20"/>
              </w:rPr>
            </w:pPr>
            <w:r>
              <w:rPr>
                <w:rFonts w:eastAsia="Times New Roman" w:cs="Times New Roman"/>
                <w:color w:val="000000"/>
                <w:sz w:val="20"/>
                <w:szCs w:val="20"/>
              </w:rPr>
              <w:t>Въвеждане на ТОЛ</w:t>
            </w:r>
            <w:r w:rsidR="009A2870" w:rsidRPr="009A2870">
              <w:rPr>
                <w:rFonts w:eastAsia="Times New Roman" w:cs="Times New Roman"/>
                <w:color w:val="000000"/>
                <w:sz w:val="20"/>
                <w:szCs w:val="20"/>
              </w:rPr>
              <w:t xml:space="preserve"> такса  </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450,0</w:t>
            </w:r>
          </w:p>
        </w:tc>
        <w:tc>
          <w:tcPr>
            <w:tcW w:w="960" w:type="dxa"/>
            <w:tcBorders>
              <w:top w:val="nil"/>
              <w:left w:val="nil"/>
              <w:bottom w:val="nil"/>
              <w:right w:val="nil"/>
            </w:tcBorders>
            <w:shd w:val="clear" w:color="auto" w:fill="auto"/>
            <w:noWrap/>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150,0</w:t>
            </w:r>
          </w:p>
        </w:tc>
        <w:tc>
          <w:tcPr>
            <w:tcW w:w="934"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p>
        </w:tc>
      </w:tr>
      <w:tr w:rsidR="009A2870" w:rsidRPr="009A2870" w:rsidTr="009A2870">
        <w:trPr>
          <w:trHeight w:val="510"/>
        </w:trPr>
        <w:tc>
          <w:tcPr>
            <w:tcW w:w="6360" w:type="dxa"/>
            <w:tcBorders>
              <w:top w:val="nil"/>
              <w:left w:val="nil"/>
              <w:bottom w:val="nil"/>
              <w:right w:val="nil"/>
            </w:tcBorders>
            <w:shd w:val="clear" w:color="auto" w:fill="auto"/>
            <w:vAlign w:val="center"/>
            <w:hideMark/>
          </w:tcPr>
          <w:p w:rsidR="009A2870" w:rsidRPr="009A2870" w:rsidRDefault="009A2870" w:rsidP="009A2870">
            <w:pPr>
              <w:spacing w:after="0"/>
              <w:jc w:val="left"/>
              <w:rPr>
                <w:rFonts w:eastAsia="Times New Roman" w:cs="Times New Roman"/>
                <w:color w:val="000000"/>
                <w:sz w:val="20"/>
                <w:szCs w:val="20"/>
              </w:rPr>
            </w:pPr>
            <w:r w:rsidRPr="009A2870">
              <w:rPr>
                <w:rFonts w:eastAsia="Times New Roman" w:cs="Times New Roman"/>
                <w:color w:val="000000"/>
                <w:sz w:val="20"/>
                <w:szCs w:val="20"/>
              </w:rPr>
              <w:t>Приходи от  осигурителни вноски от промяна на МРЗ, минималните осигурителни прагове и минималния осигурителен доход</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105,9</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111,0</w:t>
            </w:r>
          </w:p>
        </w:tc>
        <w:tc>
          <w:tcPr>
            <w:tcW w:w="934"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p>
        </w:tc>
      </w:tr>
      <w:tr w:rsidR="009A2870" w:rsidRPr="009A2870" w:rsidTr="009A2870">
        <w:trPr>
          <w:trHeight w:val="300"/>
        </w:trPr>
        <w:tc>
          <w:tcPr>
            <w:tcW w:w="6360" w:type="dxa"/>
            <w:tcBorders>
              <w:top w:val="nil"/>
              <w:left w:val="nil"/>
              <w:bottom w:val="nil"/>
              <w:right w:val="nil"/>
            </w:tcBorders>
            <w:shd w:val="clear" w:color="auto" w:fill="auto"/>
            <w:vAlign w:val="center"/>
            <w:hideMark/>
          </w:tcPr>
          <w:p w:rsidR="009A2870" w:rsidRPr="009A2870" w:rsidRDefault="009A2870" w:rsidP="009A2870">
            <w:pPr>
              <w:spacing w:after="0"/>
              <w:jc w:val="left"/>
              <w:rPr>
                <w:rFonts w:eastAsia="Times New Roman" w:cs="Times New Roman"/>
                <w:color w:val="000000"/>
                <w:sz w:val="20"/>
                <w:szCs w:val="20"/>
              </w:rPr>
            </w:pPr>
            <w:r w:rsidRPr="009A2870">
              <w:rPr>
                <w:rFonts w:eastAsia="Times New Roman" w:cs="Times New Roman"/>
                <w:color w:val="000000"/>
                <w:sz w:val="20"/>
                <w:szCs w:val="20"/>
              </w:rPr>
              <w:t>Приходи от избор на осигуряване</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29,3</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31,3</w:t>
            </w:r>
          </w:p>
        </w:tc>
        <w:tc>
          <w:tcPr>
            <w:tcW w:w="934" w:type="dxa"/>
            <w:tcBorders>
              <w:top w:val="nil"/>
              <w:left w:val="nil"/>
              <w:bottom w:val="nil"/>
              <w:right w:val="nil"/>
            </w:tcBorders>
            <w:shd w:val="clear" w:color="auto" w:fill="auto"/>
            <w:vAlign w:val="center"/>
            <w:hideMark/>
          </w:tcPr>
          <w:p w:rsidR="009A2870" w:rsidRPr="009A2870" w:rsidRDefault="00253A58" w:rsidP="00DE76AA">
            <w:pPr>
              <w:spacing w:after="0"/>
              <w:jc w:val="right"/>
              <w:rPr>
                <w:rFonts w:eastAsia="Times New Roman" w:cs="Times New Roman"/>
                <w:color w:val="000000"/>
                <w:sz w:val="20"/>
                <w:szCs w:val="20"/>
              </w:rPr>
            </w:pPr>
            <w:r>
              <w:rPr>
                <w:rFonts w:eastAsia="Times New Roman" w:cs="Times New Roman"/>
                <w:color w:val="000000"/>
                <w:sz w:val="20"/>
                <w:szCs w:val="20"/>
              </w:rPr>
              <w:t>33,3</w:t>
            </w:r>
          </w:p>
        </w:tc>
      </w:tr>
      <w:tr w:rsidR="009A2870" w:rsidRPr="009A2870" w:rsidTr="009A2870">
        <w:trPr>
          <w:trHeight w:val="765"/>
        </w:trPr>
        <w:tc>
          <w:tcPr>
            <w:tcW w:w="6360" w:type="dxa"/>
            <w:tcBorders>
              <w:top w:val="nil"/>
              <w:left w:val="nil"/>
              <w:bottom w:val="nil"/>
              <w:right w:val="nil"/>
            </w:tcBorders>
            <w:shd w:val="clear" w:color="auto" w:fill="auto"/>
            <w:vAlign w:val="center"/>
            <w:hideMark/>
          </w:tcPr>
          <w:p w:rsidR="009A2870" w:rsidRPr="009A2870" w:rsidRDefault="009A2870" w:rsidP="009A2870">
            <w:pPr>
              <w:spacing w:after="0"/>
              <w:jc w:val="left"/>
              <w:rPr>
                <w:rFonts w:eastAsia="Times New Roman" w:cs="Times New Roman"/>
                <w:color w:val="000000"/>
                <w:sz w:val="20"/>
                <w:szCs w:val="20"/>
              </w:rPr>
            </w:pPr>
            <w:r w:rsidRPr="009A2870">
              <w:rPr>
                <w:rFonts w:eastAsia="Times New Roman" w:cs="Times New Roman"/>
                <w:color w:val="000000"/>
                <w:sz w:val="20"/>
                <w:szCs w:val="20"/>
              </w:rPr>
              <w:t>Приходи от осигурителни вноски от увеличаване на заплатите в бюджетната сфера, в т.ч. от увеличаване на заплатите на педагогическия персонал</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211,1</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86,1</w:t>
            </w:r>
          </w:p>
        </w:tc>
        <w:tc>
          <w:tcPr>
            <w:tcW w:w="934"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p>
        </w:tc>
      </w:tr>
      <w:tr w:rsidR="009A2870" w:rsidRPr="009A2870" w:rsidTr="009A2870">
        <w:trPr>
          <w:trHeight w:val="510"/>
        </w:trPr>
        <w:tc>
          <w:tcPr>
            <w:tcW w:w="6360" w:type="dxa"/>
            <w:tcBorders>
              <w:top w:val="nil"/>
              <w:left w:val="nil"/>
              <w:bottom w:val="nil"/>
              <w:right w:val="nil"/>
            </w:tcBorders>
            <w:shd w:val="clear" w:color="auto" w:fill="auto"/>
            <w:vAlign w:val="center"/>
            <w:hideMark/>
          </w:tcPr>
          <w:p w:rsidR="009A2870" w:rsidRPr="009A2870" w:rsidRDefault="009A2870" w:rsidP="009A2870">
            <w:pPr>
              <w:spacing w:after="0"/>
              <w:jc w:val="left"/>
              <w:rPr>
                <w:rFonts w:eastAsia="Times New Roman" w:cs="Times New Roman"/>
                <w:color w:val="000000"/>
                <w:sz w:val="20"/>
                <w:szCs w:val="20"/>
              </w:rPr>
            </w:pPr>
            <w:r w:rsidRPr="009A2870">
              <w:rPr>
                <w:rFonts w:eastAsia="Times New Roman" w:cs="Times New Roman"/>
                <w:color w:val="000000"/>
                <w:sz w:val="20"/>
                <w:szCs w:val="20"/>
              </w:rPr>
              <w:t>Приходи от осигурителни вноски от увеличение на осигурителния стаж при пенсиониране</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sz w:val="20"/>
                <w:szCs w:val="20"/>
              </w:rPr>
            </w:pPr>
            <w:r w:rsidRPr="009A2870">
              <w:rPr>
                <w:rFonts w:eastAsia="Times New Roman" w:cs="Times New Roman"/>
                <w:sz w:val="20"/>
                <w:szCs w:val="20"/>
              </w:rPr>
              <w:t>0,5</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0,5</w:t>
            </w:r>
          </w:p>
        </w:tc>
        <w:tc>
          <w:tcPr>
            <w:tcW w:w="934"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0,5</w:t>
            </w:r>
          </w:p>
        </w:tc>
      </w:tr>
      <w:tr w:rsidR="009A2870" w:rsidRPr="009A2870" w:rsidTr="009A2870">
        <w:trPr>
          <w:trHeight w:val="510"/>
        </w:trPr>
        <w:tc>
          <w:tcPr>
            <w:tcW w:w="6360" w:type="dxa"/>
            <w:tcBorders>
              <w:top w:val="nil"/>
              <w:left w:val="nil"/>
              <w:bottom w:val="nil"/>
              <w:right w:val="nil"/>
            </w:tcBorders>
            <w:shd w:val="clear" w:color="auto" w:fill="auto"/>
            <w:vAlign w:val="center"/>
            <w:hideMark/>
          </w:tcPr>
          <w:p w:rsidR="009A2870" w:rsidRPr="009A2870" w:rsidRDefault="009A2870" w:rsidP="009A2870">
            <w:pPr>
              <w:spacing w:after="0"/>
              <w:jc w:val="left"/>
              <w:rPr>
                <w:rFonts w:eastAsia="Times New Roman" w:cs="Times New Roman"/>
                <w:color w:val="000000"/>
                <w:sz w:val="20"/>
                <w:szCs w:val="20"/>
              </w:rPr>
            </w:pPr>
            <w:r w:rsidRPr="009A2870">
              <w:rPr>
                <w:rFonts w:eastAsia="Times New Roman" w:cs="Times New Roman"/>
                <w:color w:val="000000"/>
                <w:sz w:val="20"/>
                <w:szCs w:val="20"/>
              </w:rPr>
              <w:t>Приходи от ДДФЛ от промяна на МРЗ, минималните осигурителни прагове и минималния осигурителен доход</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sz w:val="20"/>
                <w:szCs w:val="20"/>
              </w:rPr>
            </w:pPr>
            <w:r w:rsidRPr="009A2870">
              <w:rPr>
                <w:rFonts w:eastAsia="Times New Roman" w:cs="Times New Roman"/>
                <w:sz w:val="20"/>
                <w:szCs w:val="20"/>
              </w:rPr>
              <w:t>35,5</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34,5</w:t>
            </w:r>
          </w:p>
        </w:tc>
        <w:tc>
          <w:tcPr>
            <w:tcW w:w="934"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p>
        </w:tc>
      </w:tr>
      <w:tr w:rsidR="009A2870" w:rsidRPr="009A2870" w:rsidTr="009A2870">
        <w:trPr>
          <w:trHeight w:val="510"/>
        </w:trPr>
        <w:tc>
          <w:tcPr>
            <w:tcW w:w="6360" w:type="dxa"/>
            <w:tcBorders>
              <w:top w:val="nil"/>
              <w:left w:val="nil"/>
              <w:bottom w:val="nil"/>
              <w:right w:val="nil"/>
            </w:tcBorders>
            <w:shd w:val="clear" w:color="auto" w:fill="auto"/>
            <w:vAlign w:val="center"/>
            <w:hideMark/>
          </w:tcPr>
          <w:p w:rsidR="009A2870" w:rsidRPr="009A2870" w:rsidRDefault="009A2870" w:rsidP="009A2870">
            <w:pPr>
              <w:spacing w:after="0"/>
              <w:jc w:val="left"/>
              <w:rPr>
                <w:rFonts w:eastAsia="Times New Roman" w:cs="Times New Roman"/>
                <w:color w:val="000000"/>
                <w:sz w:val="20"/>
                <w:szCs w:val="20"/>
              </w:rPr>
            </w:pPr>
            <w:r w:rsidRPr="009A2870">
              <w:rPr>
                <w:rFonts w:eastAsia="Times New Roman" w:cs="Times New Roman"/>
                <w:color w:val="000000"/>
                <w:sz w:val="20"/>
                <w:szCs w:val="20"/>
              </w:rPr>
              <w:t>Приходи от ДДФЛ от увеличаване на заплатите в бюджетната сфера, в т.ч. от увеличаване на заплатите на педагогическия персонал</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sz w:val="20"/>
                <w:szCs w:val="20"/>
              </w:rPr>
            </w:pPr>
            <w:r w:rsidRPr="009A2870">
              <w:rPr>
                <w:rFonts w:eastAsia="Times New Roman" w:cs="Times New Roman"/>
                <w:sz w:val="20"/>
                <w:szCs w:val="20"/>
              </w:rPr>
              <w:t>63,4</w:t>
            </w:r>
          </w:p>
        </w:tc>
        <w:tc>
          <w:tcPr>
            <w:tcW w:w="960"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r w:rsidRPr="009A2870">
              <w:rPr>
                <w:rFonts w:eastAsia="Times New Roman" w:cs="Times New Roman"/>
                <w:color w:val="000000"/>
                <w:sz w:val="20"/>
                <w:szCs w:val="20"/>
              </w:rPr>
              <w:t>25,2</w:t>
            </w:r>
          </w:p>
        </w:tc>
        <w:tc>
          <w:tcPr>
            <w:tcW w:w="934" w:type="dxa"/>
            <w:tcBorders>
              <w:top w:val="nil"/>
              <w:left w:val="nil"/>
              <w:bottom w:val="nil"/>
              <w:right w:val="nil"/>
            </w:tcBorders>
            <w:shd w:val="clear" w:color="auto" w:fill="auto"/>
            <w:vAlign w:val="center"/>
            <w:hideMark/>
          </w:tcPr>
          <w:p w:rsidR="009A2870" w:rsidRPr="009A2870" w:rsidRDefault="009A2870" w:rsidP="00DE76AA">
            <w:pPr>
              <w:spacing w:after="0"/>
              <w:jc w:val="right"/>
              <w:rPr>
                <w:rFonts w:eastAsia="Times New Roman" w:cs="Times New Roman"/>
                <w:color w:val="000000"/>
                <w:sz w:val="20"/>
                <w:szCs w:val="20"/>
              </w:rPr>
            </w:pPr>
          </w:p>
        </w:tc>
      </w:tr>
      <w:tr w:rsidR="009A2870" w:rsidRPr="009A2870" w:rsidTr="009A2870">
        <w:trPr>
          <w:trHeight w:val="300"/>
        </w:trPr>
        <w:tc>
          <w:tcPr>
            <w:tcW w:w="6360" w:type="dxa"/>
            <w:tcBorders>
              <w:top w:val="nil"/>
              <w:left w:val="nil"/>
              <w:bottom w:val="single" w:sz="4" w:space="0" w:color="595959"/>
              <w:right w:val="nil"/>
            </w:tcBorders>
            <w:shd w:val="clear" w:color="auto" w:fill="auto"/>
            <w:vAlign w:val="center"/>
            <w:hideMark/>
          </w:tcPr>
          <w:p w:rsidR="009A2870" w:rsidRPr="009A2870" w:rsidRDefault="009A2870" w:rsidP="009A2870">
            <w:pPr>
              <w:spacing w:after="0"/>
              <w:jc w:val="left"/>
              <w:rPr>
                <w:rFonts w:eastAsia="Times New Roman" w:cs="Times New Roman"/>
                <w:b/>
                <w:bCs/>
                <w:color w:val="000000"/>
                <w:sz w:val="20"/>
                <w:szCs w:val="20"/>
              </w:rPr>
            </w:pPr>
            <w:r w:rsidRPr="009A2870">
              <w:rPr>
                <w:rFonts w:eastAsia="Times New Roman" w:cs="Times New Roman"/>
                <w:b/>
                <w:bCs/>
                <w:color w:val="000000"/>
                <w:sz w:val="20"/>
                <w:szCs w:val="20"/>
              </w:rPr>
              <w:t>Общо:</w:t>
            </w:r>
          </w:p>
        </w:tc>
        <w:tc>
          <w:tcPr>
            <w:tcW w:w="960" w:type="dxa"/>
            <w:tcBorders>
              <w:top w:val="nil"/>
              <w:left w:val="nil"/>
              <w:bottom w:val="single" w:sz="4" w:space="0" w:color="595959"/>
              <w:right w:val="nil"/>
            </w:tcBorders>
            <w:shd w:val="clear" w:color="auto" w:fill="auto"/>
            <w:noWrap/>
            <w:vAlign w:val="center"/>
            <w:hideMark/>
          </w:tcPr>
          <w:p w:rsidR="009A2870" w:rsidRPr="009A2870" w:rsidRDefault="009A2870" w:rsidP="00DE76AA">
            <w:pPr>
              <w:spacing w:after="0"/>
              <w:jc w:val="right"/>
              <w:rPr>
                <w:rFonts w:eastAsia="Times New Roman" w:cs="Times New Roman"/>
                <w:b/>
                <w:bCs/>
                <w:color w:val="000000"/>
                <w:sz w:val="20"/>
                <w:szCs w:val="20"/>
              </w:rPr>
            </w:pPr>
            <w:r w:rsidRPr="009A2870">
              <w:rPr>
                <w:rFonts w:eastAsia="Times New Roman" w:cs="Times New Roman"/>
                <w:b/>
                <w:bCs/>
                <w:color w:val="000000"/>
                <w:sz w:val="20"/>
                <w:szCs w:val="20"/>
              </w:rPr>
              <w:t>895,7</w:t>
            </w:r>
          </w:p>
        </w:tc>
        <w:tc>
          <w:tcPr>
            <w:tcW w:w="960" w:type="dxa"/>
            <w:tcBorders>
              <w:top w:val="nil"/>
              <w:left w:val="nil"/>
              <w:bottom w:val="single" w:sz="4" w:space="0" w:color="595959"/>
              <w:right w:val="nil"/>
            </w:tcBorders>
            <w:shd w:val="clear" w:color="auto" w:fill="auto"/>
            <w:noWrap/>
            <w:vAlign w:val="center"/>
            <w:hideMark/>
          </w:tcPr>
          <w:p w:rsidR="009A2870" w:rsidRPr="009A2870" w:rsidRDefault="009A2870" w:rsidP="00DE76AA">
            <w:pPr>
              <w:spacing w:after="0"/>
              <w:jc w:val="right"/>
              <w:rPr>
                <w:rFonts w:eastAsia="Times New Roman" w:cs="Times New Roman"/>
                <w:b/>
                <w:bCs/>
                <w:color w:val="000000"/>
                <w:sz w:val="20"/>
                <w:szCs w:val="20"/>
              </w:rPr>
            </w:pPr>
            <w:r w:rsidRPr="009A2870">
              <w:rPr>
                <w:rFonts w:eastAsia="Times New Roman" w:cs="Times New Roman"/>
                <w:b/>
                <w:bCs/>
                <w:color w:val="000000"/>
                <w:sz w:val="20"/>
                <w:szCs w:val="20"/>
              </w:rPr>
              <w:t>438,6</w:t>
            </w:r>
          </w:p>
        </w:tc>
        <w:tc>
          <w:tcPr>
            <w:tcW w:w="934" w:type="dxa"/>
            <w:tcBorders>
              <w:top w:val="nil"/>
              <w:left w:val="nil"/>
              <w:bottom w:val="single" w:sz="4" w:space="0" w:color="595959"/>
              <w:right w:val="nil"/>
            </w:tcBorders>
            <w:shd w:val="clear" w:color="auto" w:fill="auto"/>
            <w:noWrap/>
            <w:vAlign w:val="center"/>
            <w:hideMark/>
          </w:tcPr>
          <w:p w:rsidR="009A2870" w:rsidRPr="009A2870" w:rsidRDefault="009A2870" w:rsidP="00253A58">
            <w:pPr>
              <w:spacing w:after="0"/>
              <w:jc w:val="right"/>
              <w:rPr>
                <w:rFonts w:eastAsia="Times New Roman" w:cs="Times New Roman"/>
                <w:b/>
                <w:bCs/>
                <w:color w:val="000000"/>
                <w:sz w:val="20"/>
                <w:szCs w:val="20"/>
              </w:rPr>
            </w:pPr>
            <w:r w:rsidRPr="009A2870">
              <w:rPr>
                <w:rFonts w:eastAsia="Times New Roman" w:cs="Times New Roman"/>
                <w:b/>
                <w:bCs/>
                <w:color w:val="000000"/>
                <w:sz w:val="20"/>
                <w:szCs w:val="20"/>
              </w:rPr>
              <w:t>33,</w:t>
            </w:r>
            <w:r w:rsidR="00253A58">
              <w:rPr>
                <w:rFonts w:eastAsia="Times New Roman" w:cs="Times New Roman"/>
                <w:b/>
                <w:bCs/>
                <w:color w:val="000000"/>
                <w:sz w:val="20"/>
                <w:szCs w:val="20"/>
              </w:rPr>
              <w:t>8</w:t>
            </w:r>
          </w:p>
        </w:tc>
      </w:tr>
    </w:tbl>
    <w:p w:rsidR="003C27E4" w:rsidRPr="000807AA" w:rsidRDefault="003C27E4" w:rsidP="00F308B8">
      <w:pPr>
        <w:pStyle w:val="Heading4"/>
        <w:numPr>
          <w:ilvl w:val="0"/>
          <w:numId w:val="0"/>
        </w:numPr>
      </w:pPr>
      <w:r w:rsidRPr="000807AA">
        <w:t>Разходна част</w:t>
      </w:r>
    </w:p>
    <w:p w:rsidR="004139AA" w:rsidRPr="004139AA" w:rsidRDefault="004139AA" w:rsidP="004139AA">
      <w:pPr>
        <w:rPr>
          <w:rFonts w:eastAsia="Calibri" w:cs="Times New Roman"/>
          <w:szCs w:val="24"/>
          <w:lang w:eastAsia="en-US"/>
        </w:rPr>
      </w:pPr>
      <w:bookmarkStart w:id="370" w:name="_Toc464737642"/>
      <w:r w:rsidRPr="004139AA">
        <w:rPr>
          <w:rFonts w:eastAsia="Calibri" w:cs="Times New Roman"/>
          <w:szCs w:val="24"/>
          <w:lang w:eastAsia="en-US"/>
        </w:rPr>
        <w:t xml:space="preserve">Дискреционните разходни мерки за периода 2020-2022 г. са свързани основно с увеличаване на заплатите на педагогическия персонал, на минималната работна заплата и с въвеждането на </w:t>
      </w:r>
      <w:r w:rsidR="00F161B3">
        <w:rPr>
          <w:rFonts w:eastAsia="Calibri" w:cs="Times New Roman"/>
          <w:szCs w:val="24"/>
          <w:lang w:eastAsia="en-US"/>
        </w:rPr>
        <w:t>ТОЛ</w:t>
      </w:r>
      <w:r w:rsidR="009A2870">
        <w:rPr>
          <w:rFonts w:eastAsia="Calibri" w:cs="Times New Roman"/>
          <w:szCs w:val="24"/>
          <w:lang w:eastAsia="en-US"/>
        </w:rPr>
        <w:t xml:space="preserve"> </w:t>
      </w:r>
      <w:r w:rsidRPr="004139AA">
        <w:rPr>
          <w:rFonts w:eastAsia="Calibri" w:cs="Times New Roman"/>
          <w:szCs w:val="24"/>
          <w:lang w:eastAsia="en-US"/>
        </w:rPr>
        <w:t xml:space="preserve">такса. </w:t>
      </w:r>
    </w:p>
    <w:p w:rsidR="004139AA" w:rsidRPr="004139AA" w:rsidRDefault="004139AA" w:rsidP="004139AA">
      <w:pPr>
        <w:rPr>
          <w:rFonts w:eastAsia="Calibri" w:cs="Times New Roman"/>
          <w:szCs w:val="24"/>
          <w:lang w:eastAsia="en-US"/>
        </w:rPr>
      </w:pPr>
      <w:r w:rsidRPr="004139AA">
        <w:rPr>
          <w:rFonts w:eastAsia="Calibri" w:cs="Times New Roman"/>
          <w:szCs w:val="24"/>
          <w:lang w:eastAsia="en-US"/>
        </w:rPr>
        <w:t>Предвижда се ефектът от повишаването на заплащането на педагогическия персонал да е в размер на 360,0 млн. лв. годишно за периода 2020-2021 г. Увеличението с 10% на разходите за персонал в бюджетната сфера и увеличаването на МРЗ е с общ ефект от 731</w:t>
      </w:r>
      <w:r>
        <w:rPr>
          <w:rFonts w:eastAsia="Calibri" w:cs="Times New Roman"/>
          <w:szCs w:val="24"/>
          <w:lang w:eastAsia="en-US"/>
        </w:rPr>
        <w:t>,</w:t>
      </w:r>
      <w:r w:rsidR="001D01DB">
        <w:rPr>
          <w:rFonts w:eastAsia="Calibri" w:cs="Times New Roman"/>
          <w:szCs w:val="24"/>
          <w:lang w:eastAsia="en-US"/>
        </w:rPr>
        <w:t>7</w:t>
      </w:r>
      <w:r w:rsidRPr="004139AA">
        <w:rPr>
          <w:rFonts w:eastAsia="Calibri" w:cs="Times New Roman"/>
          <w:szCs w:val="24"/>
          <w:lang w:eastAsia="en-US"/>
        </w:rPr>
        <w:t xml:space="preserve"> млн. л</w:t>
      </w:r>
      <w:r>
        <w:rPr>
          <w:rFonts w:eastAsia="Calibri" w:cs="Times New Roman"/>
          <w:szCs w:val="24"/>
          <w:lang w:eastAsia="en-US"/>
        </w:rPr>
        <w:t>в. за периода 2020-</w:t>
      </w:r>
      <w:r w:rsidRPr="004139AA">
        <w:rPr>
          <w:rFonts w:eastAsia="Calibri" w:cs="Times New Roman"/>
          <w:szCs w:val="24"/>
          <w:lang w:eastAsia="en-US"/>
        </w:rPr>
        <w:t>2021 г. Допълнителните разх</w:t>
      </w:r>
      <w:r w:rsidR="00F161B3">
        <w:rPr>
          <w:rFonts w:eastAsia="Calibri" w:cs="Times New Roman"/>
          <w:szCs w:val="24"/>
          <w:lang w:eastAsia="en-US"/>
        </w:rPr>
        <w:t>оди, свързани с въвеждане на ТОЛ</w:t>
      </w:r>
      <w:r w:rsidRPr="004139AA">
        <w:rPr>
          <w:rFonts w:eastAsia="Calibri" w:cs="Times New Roman"/>
          <w:szCs w:val="24"/>
          <w:lang w:eastAsia="en-US"/>
        </w:rPr>
        <w:t xml:space="preserve"> такса, са в размер на 450,0 млн. лв. за първата година от периода и 150,0 млн. лв. през 2021 г. </w:t>
      </w:r>
    </w:p>
    <w:p w:rsidR="00964569" w:rsidRPr="00BA5AD5" w:rsidRDefault="00964569" w:rsidP="00964569">
      <w:pPr>
        <w:rPr>
          <w:rFonts w:eastAsia="Calibri" w:cs="Times New Roman"/>
          <w:color w:val="FF0000"/>
          <w:szCs w:val="24"/>
          <w:lang w:eastAsia="en-US"/>
        </w:rPr>
      </w:pPr>
      <w:r w:rsidRPr="004139AA">
        <w:rPr>
          <w:rFonts w:eastAsia="Calibri" w:cs="Times New Roman"/>
          <w:szCs w:val="24"/>
          <w:lang w:eastAsia="en-US"/>
        </w:rPr>
        <w:t xml:space="preserve">Със значителен ефект за нивото на дискреционните разходни мерки са планираните разходи в сектор „Отбрана и сигурност“ във връзка с придобиването на нов тип боен самолет и основна бойна техника с общ размер от </w:t>
      </w:r>
      <w:r>
        <w:rPr>
          <w:rFonts w:eastAsia="Calibri" w:cs="Times New Roman"/>
          <w:szCs w:val="24"/>
          <w:lang w:eastAsia="en-US"/>
        </w:rPr>
        <w:t>6</w:t>
      </w:r>
      <w:r w:rsidRPr="004139AA">
        <w:rPr>
          <w:rFonts w:eastAsia="Calibri" w:cs="Times New Roman"/>
          <w:szCs w:val="24"/>
          <w:lang w:eastAsia="en-US"/>
        </w:rPr>
        <w:t>74,0 млн.</w:t>
      </w:r>
      <w:r w:rsidRPr="004139AA">
        <w:rPr>
          <w:rFonts w:eastAsia="Calibri" w:cs="Times New Roman"/>
          <w:szCs w:val="24"/>
          <w:lang w:val="ru-RU" w:eastAsia="en-US"/>
        </w:rPr>
        <w:t xml:space="preserve"> </w:t>
      </w:r>
      <w:r w:rsidRPr="004139AA">
        <w:rPr>
          <w:rFonts w:eastAsia="Calibri" w:cs="Times New Roman"/>
          <w:szCs w:val="24"/>
          <w:lang w:eastAsia="en-US"/>
        </w:rPr>
        <w:t xml:space="preserve">лв. за прогнозния период. </w:t>
      </w:r>
      <w:r w:rsidRPr="00666436">
        <w:rPr>
          <w:rFonts w:eastAsia="Calibri" w:cs="Times New Roman"/>
          <w:szCs w:val="24"/>
          <w:lang w:eastAsia="en-US"/>
        </w:rPr>
        <w:t xml:space="preserve">Разходите за </w:t>
      </w:r>
      <w:r>
        <w:rPr>
          <w:rFonts w:eastAsia="Calibri" w:cs="Times New Roman"/>
          <w:szCs w:val="24"/>
          <w:lang w:eastAsia="en-US"/>
        </w:rPr>
        <w:t xml:space="preserve">придобиване на </w:t>
      </w:r>
      <w:r w:rsidRPr="00666436">
        <w:rPr>
          <w:rFonts w:eastAsia="Calibri" w:cs="Times New Roman"/>
          <w:szCs w:val="24"/>
          <w:lang w:eastAsia="en-US"/>
        </w:rPr>
        <w:t>основна бойна техника за изграждане на батальонни бойни групи от състава на механизирана бригада</w:t>
      </w:r>
      <w:r w:rsidRPr="00666436">
        <w:rPr>
          <w:rFonts w:eastAsia="Calibri" w:cs="Times New Roman"/>
          <w:sz w:val="22"/>
          <w:vertAlign w:val="superscript"/>
          <w:lang w:eastAsia="en-US"/>
        </w:rPr>
        <w:footnoteReference w:id="16"/>
      </w:r>
      <w:r w:rsidRPr="00666436">
        <w:rPr>
          <w:rFonts w:eastAsia="Calibri" w:cs="Times New Roman"/>
          <w:sz w:val="22"/>
          <w:lang w:eastAsia="en-US"/>
        </w:rPr>
        <w:t xml:space="preserve"> </w:t>
      </w:r>
      <w:r w:rsidRPr="00666436">
        <w:rPr>
          <w:rFonts w:eastAsia="Calibri" w:cs="Times New Roman"/>
          <w:szCs w:val="24"/>
          <w:lang w:eastAsia="en-US"/>
        </w:rPr>
        <w:t>възлизат общо на 334,0 млн. лв., а разходи</w:t>
      </w:r>
      <w:r>
        <w:rPr>
          <w:rFonts w:eastAsia="Calibri" w:cs="Times New Roman"/>
          <w:szCs w:val="24"/>
          <w:lang w:eastAsia="en-US"/>
        </w:rPr>
        <w:t>те</w:t>
      </w:r>
      <w:r w:rsidRPr="00666436">
        <w:rPr>
          <w:rFonts w:eastAsia="Calibri" w:cs="Times New Roman"/>
          <w:szCs w:val="24"/>
          <w:lang w:eastAsia="en-US"/>
        </w:rPr>
        <w:t xml:space="preserve"> за придобиване на нов тип боен самолет в съответствие с Решение на Народното събрание от 08.06.2018 г. възлизат на 240,0 млн. лв. за 2022 г.</w:t>
      </w:r>
      <w:r w:rsidRPr="00666436">
        <w:rPr>
          <w:rFonts w:eastAsia="Calibri" w:cs="Times New Roman"/>
          <w:sz w:val="22"/>
          <w:vertAlign w:val="superscript"/>
          <w:lang w:eastAsia="en-US"/>
        </w:rPr>
        <w:footnoteReference w:id="17"/>
      </w:r>
      <w:r w:rsidRPr="00BA5AD5">
        <w:rPr>
          <w:rFonts w:eastAsia="Calibri" w:cs="Times New Roman"/>
          <w:szCs w:val="24"/>
          <w:lang w:eastAsia="en-US"/>
        </w:rPr>
        <w:t xml:space="preserve"> </w:t>
      </w:r>
      <w:r w:rsidRPr="007D7EBD">
        <w:rPr>
          <w:rFonts w:eastAsia="Times New Roman" w:cs="Times New Roman"/>
        </w:rPr>
        <w:t xml:space="preserve">Допълнително са планирани 100,0 </w:t>
      </w:r>
      <w:r>
        <w:rPr>
          <w:rFonts w:eastAsia="Times New Roman" w:cs="Times New Roman"/>
        </w:rPr>
        <w:t>млн. лв.</w:t>
      </w:r>
      <w:r w:rsidRPr="007D7EBD">
        <w:rPr>
          <w:rFonts w:eastAsia="Times New Roman" w:cs="Times New Roman"/>
        </w:rPr>
        <w:t xml:space="preserve"> за изграждане на интегрирана система и инфраструктура за усвояване, експлоатация и осигуряване на новия тип боен самолет.</w:t>
      </w:r>
    </w:p>
    <w:p w:rsidR="00964569" w:rsidRPr="00BA5AD5" w:rsidRDefault="000636E7" w:rsidP="00964569">
      <w:pPr>
        <w:rPr>
          <w:rFonts w:eastAsia="Calibri" w:cs="Times New Roman"/>
          <w:szCs w:val="24"/>
          <w:lang w:eastAsia="en-US"/>
        </w:rPr>
      </w:pPr>
      <w:r>
        <w:rPr>
          <w:rFonts w:eastAsia="Calibri" w:cs="Times New Roman"/>
          <w:szCs w:val="24"/>
          <w:lang w:eastAsia="en-US"/>
        </w:rPr>
        <w:t>Е</w:t>
      </w:r>
      <w:r w:rsidR="00964569" w:rsidRPr="004139AA">
        <w:rPr>
          <w:rFonts w:eastAsia="Calibri" w:cs="Times New Roman"/>
          <w:szCs w:val="24"/>
          <w:lang w:eastAsia="en-US"/>
        </w:rPr>
        <w:t xml:space="preserve">фект върху разходите оказва и нарастването на минималния осигурителен доход, върху който от държавния бюджет се внасят здравноосигурителни вноски на определени категории лица по реда на Закона за здравното осигуряване, което ще доведе до нарастване на разходите с 244,5 млн. лв. за периода 2020-2022 г. Във връзка с влизането в сила на Закона за личната помощ, както и на новия Закон за хората с увреждания, се очаква нарастване на разходите за социални помощи с общ бюджетен ефект за разглеждания период от 218,0 млн. лв., като в това число се включва </w:t>
      </w:r>
      <w:r w:rsidR="00964569" w:rsidRPr="00FD3457">
        <w:rPr>
          <w:rFonts w:eastAsia="Calibri" w:cs="Times New Roman"/>
          <w:szCs w:val="24"/>
          <w:lang w:eastAsia="en-US"/>
        </w:rPr>
        <w:t>кумулативния ефект от нарастването на базата и на коефициента от 1</w:t>
      </w:r>
      <w:r w:rsidR="00C40111">
        <w:rPr>
          <w:rFonts w:eastAsia="Calibri" w:cs="Times New Roman"/>
          <w:szCs w:val="24"/>
          <w:lang w:eastAsia="en-US"/>
        </w:rPr>
        <w:t>,</w:t>
      </w:r>
      <w:r w:rsidR="00964569" w:rsidRPr="00FD3457">
        <w:rPr>
          <w:rFonts w:eastAsia="Calibri" w:cs="Times New Roman"/>
          <w:szCs w:val="24"/>
          <w:lang w:eastAsia="en-US"/>
        </w:rPr>
        <w:t>0 на 1</w:t>
      </w:r>
      <w:r w:rsidR="00C40111">
        <w:rPr>
          <w:rFonts w:eastAsia="Calibri" w:cs="Times New Roman"/>
          <w:szCs w:val="24"/>
          <w:lang w:eastAsia="en-US"/>
        </w:rPr>
        <w:t>,</w:t>
      </w:r>
      <w:r w:rsidR="00964569" w:rsidRPr="00FD3457">
        <w:rPr>
          <w:rFonts w:eastAsia="Calibri" w:cs="Times New Roman"/>
          <w:szCs w:val="24"/>
          <w:lang w:eastAsia="en-US"/>
        </w:rPr>
        <w:t>2 за 2020 г. и от 1</w:t>
      </w:r>
      <w:r w:rsidR="00C40111">
        <w:rPr>
          <w:rFonts w:eastAsia="Calibri" w:cs="Times New Roman"/>
          <w:szCs w:val="24"/>
          <w:lang w:eastAsia="en-US"/>
        </w:rPr>
        <w:t>,</w:t>
      </w:r>
      <w:r w:rsidR="00964569" w:rsidRPr="00FD3457">
        <w:rPr>
          <w:rFonts w:eastAsia="Calibri" w:cs="Times New Roman"/>
          <w:szCs w:val="24"/>
          <w:lang w:eastAsia="en-US"/>
        </w:rPr>
        <w:t>2 на 1</w:t>
      </w:r>
      <w:r w:rsidR="00C40111">
        <w:rPr>
          <w:rFonts w:eastAsia="Calibri" w:cs="Times New Roman"/>
          <w:szCs w:val="24"/>
          <w:lang w:eastAsia="en-US"/>
        </w:rPr>
        <w:t>,</w:t>
      </w:r>
      <w:r w:rsidR="00964569" w:rsidRPr="00FD3457">
        <w:rPr>
          <w:rFonts w:eastAsia="Calibri" w:cs="Times New Roman"/>
          <w:szCs w:val="24"/>
          <w:lang w:eastAsia="en-US"/>
        </w:rPr>
        <w:t>4 за 2021 г. при определяне на часовата ставка за положен труд за изчисляване на възнаграж</w:t>
      </w:r>
      <w:r w:rsidR="00964569">
        <w:rPr>
          <w:rFonts w:eastAsia="Calibri" w:cs="Times New Roman"/>
          <w:szCs w:val="24"/>
          <w:lang w:eastAsia="en-US"/>
        </w:rPr>
        <w:t>денията на асистенти</w:t>
      </w:r>
      <w:r w:rsidR="00AC6B73">
        <w:rPr>
          <w:rFonts w:eastAsia="Calibri" w:cs="Times New Roman"/>
          <w:szCs w:val="24"/>
          <w:lang w:eastAsia="en-US"/>
        </w:rPr>
        <w:t>те</w:t>
      </w:r>
      <w:r w:rsidR="00964569">
        <w:rPr>
          <w:rFonts w:eastAsia="Calibri" w:cs="Times New Roman"/>
          <w:szCs w:val="24"/>
          <w:lang w:eastAsia="en-US"/>
        </w:rPr>
        <w:t xml:space="preserve"> по</w:t>
      </w:r>
      <w:r w:rsidR="00964569" w:rsidRPr="00FD3457">
        <w:rPr>
          <w:rFonts w:eastAsia="Calibri" w:cs="Times New Roman"/>
          <w:szCs w:val="24"/>
          <w:lang w:eastAsia="en-US"/>
        </w:rPr>
        <w:t xml:space="preserve"> Закона за личната помощ </w:t>
      </w:r>
      <w:r w:rsidR="00964569" w:rsidRPr="006E0CF5">
        <w:rPr>
          <w:rFonts w:eastAsia="Calibri" w:cs="Times New Roman"/>
          <w:szCs w:val="24"/>
          <w:lang w:eastAsia="en-US"/>
        </w:rPr>
        <w:t>(</w:t>
      </w:r>
      <w:r w:rsidR="00964569" w:rsidRPr="00FD3457">
        <w:rPr>
          <w:rFonts w:eastAsia="Calibri" w:cs="Times New Roman"/>
          <w:szCs w:val="24"/>
          <w:lang w:eastAsia="en-US"/>
        </w:rPr>
        <w:t>с общ ефект от 144,1 млн. лв. за периода 2020-2022 г.</w:t>
      </w:r>
      <w:r w:rsidR="00964569" w:rsidRPr="006E0CF5">
        <w:rPr>
          <w:rFonts w:eastAsia="Calibri" w:cs="Times New Roman"/>
          <w:szCs w:val="24"/>
          <w:lang w:eastAsia="en-US"/>
        </w:rPr>
        <w:t xml:space="preserve">). </w:t>
      </w:r>
      <w:bookmarkStart w:id="371" w:name="page36"/>
      <w:bookmarkEnd w:id="371"/>
    </w:p>
    <w:p w:rsidR="00964569" w:rsidRPr="004139AA" w:rsidRDefault="00964569" w:rsidP="00964569">
      <w:pPr>
        <w:rPr>
          <w:rFonts w:eastAsia="Calibri" w:cs="Times New Roman"/>
          <w:szCs w:val="24"/>
          <w:lang w:eastAsia="en-US"/>
        </w:rPr>
      </w:pPr>
      <w:r w:rsidRPr="004139AA">
        <w:rPr>
          <w:rFonts w:eastAsia="Calibri" w:cs="Times New Roman"/>
          <w:szCs w:val="24"/>
          <w:lang w:eastAsia="en-US"/>
        </w:rPr>
        <w:t xml:space="preserve">Останалите разходни мерки са свързани с промяна на параметрите на пенсионната система. Нарастването на максималния размер на пенсията от средата на 2019 г.,  заедно с продължаващото нарастване на изискуемите възраст и осигурителен стаж за придобиване на право на пенсия, е с общ ефект от </w:t>
      </w:r>
      <w:r w:rsidRPr="00BA5AD5">
        <w:rPr>
          <w:rFonts w:eastAsia="Calibri" w:cs="Times New Roman"/>
          <w:szCs w:val="24"/>
          <w:lang w:eastAsia="en-US"/>
        </w:rPr>
        <w:t>36,3</w:t>
      </w:r>
      <w:r w:rsidRPr="004139AA">
        <w:rPr>
          <w:rFonts w:eastAsia="Calibri" w:cs="Times New Roman"/>
          <w:szCs w:val="24"/>
          <w:lang w:eastAsia="en-US"/>
        </w:rPr>
        <w:t xml:space="preserve"> млн. лв. за периода 2020-2022 г. </w:t>
      </w:r>
    </w:p>
    <w:p w:rsidR="00964569" w:rsidRDefault="00964569" w:rsidP="004139AA">
      <w:pPr>
        <w:rPr>
          <w:rFonts w:eastAsia="Calibri" w:cs="Times New Roman"/>
          <w:szCs w:val="24"/>
          <w:lang w:eastAsia="en-US"/>
        </w:rPr>
      </w:pPr>
      <w:r w:rsidRPr="004139AA">
        <w:rPr>
          <w:rFonts w:eastAsia="Calibri" w:cs="Times New Roman"/>
          <w:szCs w:val="24"/>
          <w:lang w:eastAsia="en-US"/>
        </w:rPr>
        <w:t xml:space="preserve">През 2020 г. разходите, свързани с прилагането на Закона за признаване, изпълнение и изпращане на съдебни актове за налагане на наказание лишаване от свобода </w:t>
      </w:r>
      <w:r w:rsidR="00865AF3" w:rsidRPr="00865AF3">
        <w:rPr>
          <w:rFonts w:eastAsia="Calibri" w:cs="Times New Roman"/>
          <w:szCs w:val="24"/>
          <w:lang w:eastAsia="en-US"/>
        </w:rPr>
        <w:t>или на мерки, включващи лишаване от свобода</w:t>
      </w:r>
      <w:r w:rsidR="00ED386E">
        <w:rPr>
          <w:rFonts w:eastAsia="Calibri" w:cs="Times New Roman"/>
          <w:szCs w:val="24"/>
          <w:lang w:eastAsia="en-US"/>
        </w:rPr>
        <w:t>,</w:t>
      </w:r>
      <w:r w:rsidR="00865AF3">
        <w:rPr>
          <w:rFonts w:eastAsia="Calibri" w:cs="Times New Roman"/>
          <w:szCs w:val="24"/>
          <w:lang w:eastAsia="en-US"/>
        </w:rPr>
        <w:t xml:space="preserve"> </w:t>
      </w:r>
      <w:r w:rsidR="00DA4EF2">
        <w:rPr>
          <w:rFonts w:eastAsia="Calibri" w:cs="Times New Roman"/>
          <w:szCs w:val="24"/>
          <w:lang w:eastAsia="en-US"/>
        </w:rPr>
        <w:t>са</w:t>
      </w:r>
      <w:r w:rsidRPr="004139AA">
        <w:rPr>
          <w:rFonts w:eastAsia="Calibri" w:cs="Times New Roman"/>
          <w:szCs w:val="24"/>
          <w:lang w:eastAsia="en-US"/>
        </w:rPr>
        <w:t xml:space="preserve"> в размер на 3,4 млн. лв.</w:t>
      </w:r>
    </w:p>
    <w:p w:rsidR="004139AA" w:rsidRDefault="004139AA" w:rsidP="00C70181">
      <w:pPr>
        <w:spacing w:after="120"/>
        <w:rPr>
          <w:rFonts w:eastAsiaTheme="minorHAnsi"/>
          <w:szCs w:val="24"/>
          <w:highlight w:val="yellow"/>
          <w:lang w:eastAsia="en-US"/>
        </w:rPr>
      </w:pPr>
    </w:p>
    <w:p w:rsidR="004C164F" w:rsidRDefault="001875C4" w:rsidP="001875C4">
      <w:pPr>
        <w:pStyle w:val="Caption"/>
      </w:pPr>
      <w:bookmarkStart w:id="372" w:name="_Toc23337525"/>
      <w:r w:rsidRPr="003934A7">
        <w:t xml:space="preserve">Табл. </w:t>
      </w:r>
      <w:fldSimple w:instr=" STYLEREF 1 \s ">
        <w:r w:rsidR="0034195B">
          <w:rPr>
            <w:noProof/>
          </w:rPr>
          <w:t>II</w:t>
        </w:r>
      </w:fldSimple>
      <w:r w:rsidRPr="003934A7">
        <w:noBreakHyphen/>
      </w:r>
      <w:fldSimple w:instr=" SEQ Табл. \* ARABIC \s 1 ">
        <w:r w:rsidR="0034195B">
          <w:rPr>
            <w:noProof/>
          </w:rPr>
          <w:t>10</w:t>
        </w:r>
      </w:fldSimple>
      <w:r w:rsidR="008F756B">
        <w:t xml:space="preserve">: </w:t>
      </w:r>
      <w:r w:rsidRPr="003934A7">
        <w:t>Дискреционни разходни мерки на начислена основа, млн. лв.</w:t>
      </w:r>
      <w:bookmarkEnd w:id="370"/>
      <w:bookmarkEnd w:id="372"/>
    </w:p>
    <w:p w:rsidR="004139AA" w:rsidRDefault="004139AA" w:rsidP="004139AA"/>
    <w:tbl>
      <w:tblPr>
        <w:tblW w:w="9215" w:type="dxa"/>
        <w:tblInd w:w="70" w:type="dxa"/>
        <w:tblCellMar>
          <w:left w:w="70" w:type="dxa"/>
          <w:right w:w="70" w:type="dxa"/>
        </w:tblCellMar>
        <w:tblLook w:val="04A0" w:firstRow="1" w:lastRow="0" w:firstColumn="1" w:lastColumn="0" w:noHBand="0" w:noVBand="1"/>
      </w:tblPr>
      <w:tblGrid>
        <w:gridCol w:w="5530"/>
        <w:gridCol w:w="1134"/>
        <w:gridCol w:w="1275"/>
        <w:gridCol w:w="1276"/>
      </w:tblGrid>
      <w:tr w:rsidR="004139AA" w:rsidRPr="004139AA" w:rsidTr="00EF0C83">
        <w:trPr>
          <w:trHeight w:val="300"/>
          <w:tblHeader/>
        </w:trPr>
        <w:tc>
          <w:tcPr>
            <w:tcW w:w="5530" w:type="dxa"/>
            <w:vMerge w:val="restart"/>
            <w:tcBorders>
              <w:top w:val="single" w:sz="4" w:space="0" w:color="595959"/>
              <w:left w:val="nil"/>
              <w:bottom w:val="single" w:sz="4" w:space="0" w:color="595959"/>
              <w:right w:val="nil"/>
            </w:tcBorders>
            <w:shd w:val="clear" w:color="auto" w:fill="auto"/>
            <w:vAlign w:val="center"/>
            <w:hideMark/>
          </w:tcPr>
          <w:p w:rsidR="004139AA" w:rsidRPr="004139AA" w:rsidRDefault="004139AA" w:rsidP="004139AA">
            <w:pPr>
              <w:spacing w:after="0"/>
              <w:jc w:val="center"/>
              <w:rPr>
                <w:rFonts w:eastAsia="Times New Roman" w:cs="Times New Roman"/>
                <w:b/>
                <w:bCs/>
                <w:color w:val="000000"/>
                <w:szCs w:val="24"/>
              </w:rPr>
            </w:pPr>
            <w:r w:rsidRPr="004139AA">
              <w:rPr>
                <w:rFonts w:eastAsia="Times New Roman" w:cs="Times New Roman"/>
                <w:b/>
                <w:bCs/>
                <w:color w:val="000000"/>
                <w:szCs w:val="24"/>
              </w:rPr>
              <w:t xml:space="preserve">Разходни мерки </w:t>
            </w:r>
          </w:p>
        </w:tc>
        <w:tc>
          <w:tcPr>
            <w:tcW w:w="1134" w:type="dxa"/>
            <w:vMerge w:val="restart"/>
            <w:tcBorders>
              <w:top w:val="single" w:sz="4" w:space="0" w:color="595959"/>
              <w:left w:val="nil"/>
              <w:bottom w:val="single" w:sz="4" w:space="0" w:color="595959"/>
              <w:right w:val="nil"/>
            </w:tcBorders>
            <w:shd w:val="clear" w:color="auto" w:fill="auto"/>
            <w:noWrap/>
            <w:vAlign w:val="center"/>
            <w:hideMark/>
          </w:tcPr>
          <w:p w:rsidR="004139AA" w:rsidRPr="004139AA" w:rsidRDefault="004139AA" w:rsidP="00DE76AA">
            <w:pPr>
              <w:spacing w:after="0"/>
              <w:jc w:val="right"/>
              <w:rPr>
                <w:rFonts w:eastAsia="Times New Roman" w:cs="Times New Roman"/>
                <w:b/>
                <w:bCs/>
                <w:color w:val="000000"/>
                <w:sz w:val="20"/>
                <w:szCs w:val="20"/>
              </w:rPr>
            </w:pPr>
            <w:r w:rsidRPr="004139AA">
              <w:rPr>
                <w:rFonts w:eastAsia="Times New Roman" w:cs="Times New Roman"/>
                <w:b/>
                <w:bCs/>
                <w:color w:val="000000"/>
                <w:sz w:val="20"/>
                <w:szCs w:val="20"/>
              </w:rPr>
              <w:t>2020</w:t>
            </w:r>
          </w:p>
        </w:tc>
        <w:tc>
          <w:tcPr>
            <w:tcW w:w="1275" w:type="dxa"/>
            <w:vMerge w:val="restart"/>
            <w:tcBorders>
              <w:top w:val="single" w:sz="4" w:space="0" w:color="595959"/>
              <w:left w:val="nil"/>
              <w:bottom w:val="single" w:sz="4" w:space="0" w:color="595959"/>
              <w:right w:val="nil"/>
            </w:tcBorders>
            <w:shd w:val="clear" w:color="auto" w:fill="auto"/>
            <w:noWrap/>
            <w:vAlign w:val="center"/>
            <w:hideMark/>
          </w:tcPr>
          <w:p w:rsidR="004139AA" w:rsidRPr="004139AA" w:rsidRDefault="004139AA" w:rsidP="00DE76AA">
            <w:pPr>
              <w:spacing w:after="0"/>
              <w:jc w:val="right"/>
              <w:rPr>
                <w:rFonts w:eastAsia="Times New Roman" w:cs="Times New Roman"/>
                <w:b/>
                <w:bCs/>
                <w:color w:val="000000"/>
                <w:sz w:val="20"/>
                <w:szCs w:val="20"/>
              </w:rPr>
            </w:pPr>
            <w:r w:rsidRPr="004139AA">
              <w:rPr>
                <w:rFonts w:eastAsia="Times New Roman" w:cs="Times New Roman"/>
                <w:b/>
                <w:bCs/>
                <w:color w:val="000000"/>
                <w:sz w:val="20"/>
                <w:szCs w:val="20"/>
              </w:rPr>
              <w:t>2021</w:t>
            </w:r>
          </w:p>
        </w:tc>
        <w:tc>
          <w:tcPr>
            <w:tcW w:w="1276" w:type="dxa"/>
            <w:vMerge w:val="restart"/>
            <w:tcBorders>
              <w:top w:val="single" w:sz="4" w:space="0" w:color="595959"/>
              <w:left w:val="nil"/>
              <w:bottom w:val="single" w:sz="4" w:space="0" w:color="595959"/>
              <w:right w:val="nil"/>
            </w:tcBorders>
            <w:shd w:val="clear" w:color="auto" w:fill="auto"/>
            <w:noWrap/>
            <w:vAlign w:val="center"/>
            <w:hideMark/>
          </w:tcPr>
          <w:p w:rsidR="004139AA" w:rsidRPr="004139AA" w:rsidRDefault="004139AA" w:rsidP="00DE76AA">
            <w:pPr>
              <w:spacing w:after="0"/>
              <w:jc w:val="right"/>
              <w:rPr>
                <w:rFonts w:eastAsia="Times New Roman" w:cs="Times New Roman"/>
                <w:b/>
                <w:bCs/>
                <w:color w:val="000000"/>
                <w:sz w:val="20"/>
                <w:szCs w:val="20"/>
              </w:rPr>
            </w:pPr>
            <w:r w:rsidRPr="004139AA">
              <w:rPr>
                <w:rFonts w:eastAsia="Times New Roman" w:cs="Times New Roman"/>
                <w:b/>
                <w:bCs/>
                <w:color w:val="000000"/>
                <w:sz w:val="20"/>
                <w:szCs w:val="20"/>
              </w:rPr>
              <w:t>2022</w:t>
            </w:r>
          </w:p>
        </w:tc>
      </w:tr>
      <w:tr w:rsidR="004139AA" w:rsidRPr="004139AA" w:rsidTr="00EF0C83">
        <w:trPr>
          <w:trHeight w:val="300"/>
          <w:tblHeader/>
        </w:trPr>
        <w:tc>
          <w:tcPr>
            <w:tcW w:w="5530" w:type="dxa"/>
            <w:vMerge/>
            <w:tcBorders>
              <w:left w:val="nil"/>
              <w:bottom w:val="single" w:sz="4" w:space="0" w:color="595959"/>
              <w:right w:val="nil"/>
            </w:tcBorders>
            <w:shd w:val="clear" w:color="auto" w:fill="auto"/>
            <w:vAlign w:val="center"/>
            <w:hideMark/>
          </w:tcPr>
          <w:p w:rsidR="004139AA" w:rsidRPr="004139AA" w:rsidRDefault="004139AA" w:rsidP="004139AA">
            <w:pPr>
              <w:spacing w:after="0"/>
              <w:jc w:val="left"/>
              <w:rPr>
                <w:rFonts w:eastAsia="Times New Roman" w:cs="Times New Roman"/>
                <w:b/>
                <w:bCs/>
                <w:color w:val="000000"/>
                <w:szCs w:val="24"/>
              </w:rPr>
            </w:pPr>
          </w:p>
        </w:tc>
        <w:tc>
          <w:tcPr>
            <w:tcW w:w="1134" w:type="dxa"/>
            <w:vMerge/>
            <w:tcBorders>
              <w:left w:val="nil"/>
              <w:bottom w:val="single" w:sz="4" w:space="0" w:color="595959"/>
              <w:right w:val="nil"/>
            </w:tcBorders>
            <w:shd w:val="clear" w:color="auto" w:fill="auto"/>
            <w:vAlign w:val="center"/>
            <w:hideMark/>
          </w:tcPr>
          <w:p w:rsidR="004139AA" w:rsidRPr="004139AA" w:rsidRDefault="004139AA" w:rsidP="004139AA">
            <w:pPr>
              <w:spacing w:after="0"/>
              <w:jc w:val="left"/>
              <w:rPr>
                <w:rFonts w:eastAsia="Times New Roman" w:cs="Times New Roman"/>
                <w:b/>
                <w:bCs/>
                <w:color w:val="000000"/>
                <w:sz w:val="20"/>
                <w:szCs w:val="20"/>
              </w:rPr>
            </w:pPr>
          </w:p>
        </w:tc>
        <w:tc>
          <w:tcPr>
            <w:tcW w:w="1275" w:type="dxa"/>
            <w:vMerge/>
            <w:tcBorders>
              <w:left w:val="nil"/>
              <w:bottom w:val="single" w:sz="4" w:space="0" w:color="595959"/>
              <w:right w:val="nil"/>
            </w:tcBorders>
            <w:shd w:val="clear" w:color="auto" w:fill="auto"/>
            <w:vAlign w:val="center"/>
            <w:hideMark/>
          </w:tcPr>
          <w:p w:rsidR="004139AA" w:rsidRPr="004139AA" w:rsidRDefault="004139AA" w:rsidP="004139AA">
            <w:pPr>
              <w:spacing w:after="0"/>
              <w:jc w:val="left"/>
              <w:rPr>
                <w:rFonts w:eastAsia="Times New Roman" w:cs="Times New Roman"/>
                <w:b/>
                <w:bCs/>
                <w:color w:val="000000"/>
                <w:sz w:val="20"/>
                <w:szCs w:val="20"/>
              </w:rPr>
            </w:pPr>
          </w:p>
        </w:tc>
        <w:tc>
          <w:tcPr>
            <w:tcW w:w="1276" w:type="dxa"/>
            <w:vMerge/>
            <w:tcBorders>
              <w:left w:val="nil"/>
              <w:bottom w:val="single" w:sz="4" w:space="0" w:color="595959"/>
              <w:right w:val="nil"/>
            </w:tcBorders>
            <w:shd w:val="clear" w:color="auto" w:fill="auto"/>
            <w:vAlign w:val="center"/>
            <w:hideMark/>
          </w:tcPr>
          <w:p w:rsidR="004139AA" w:rsidRPr="004139AA" w:rsidRDefault="004139AA" w:rsidP="004139AA">
            <w:pPr>
              <w:spacing w:after="0"/>
              <w:jc w:val="left"/>
              <w:rPr>
                <w:rFonts w:eastAsia="Times New Roman" w:cs="Times New Roman"/>
                <w:b/>
                <w:bCs/>
                <w:color w:val="000000"/>
                <w:sz w:val="20"/>
                <w:szCs w:val="20"/>
              </w:rPr>
            </w:pPr>
          </w:p>
        </w:tc>
      </w:tr>
      <w:tr w:rsidR="004139AA" w:rsidRPr="004139AA" w:rsidTr="00DE76AA">
        <w:trPr>
          <w:trHeight w:val="300"/>
        </w:trPr>
        <w:tc>
          <w:tcPr>
            <w:tcW w:w="5530" w:type="dxa"/>
            <w:tcBorders>
              <w:top w:val="nil"/>
              <w:left w:val="nil"/>
              <w:bottom w:val="nil"/>
              <w:right w:val="nil"/>
            </w:tcBorders>
            <w:shd w:val="clear" w:color="auto" w:fill="auto"/>
            <w:vAlign w:val="center"/>
            <w:hideMark/>
          </w:tcPr>
          <w:p w:rsidR="004139AA" w:rsidRPr="004139AA" w:rsidRDefault="00F161B3" w:rsidP="004139AA">
            <w:pPr>
              <w:spacing w:after="0"/>
              <w:jc w:val="left"/>
              <w:rPr>
                <w:rFonts w:eastAsia="Times New Roman" w:cs="Times New Roman"/>
                <w:color w:val="000000"/>
                <w:sz w:val="20"/>
                <w:szCs w:val="20"/>
              </w:rPr>
            </w:pPr>
            <w:r>
              <w:rPr>
                <w:rFonts w:eastAsia="Times New Roman" w:cs="Times New Roman"/>
                <w:color w:val="000000"/>
                <w:sz w:val="20"/>
                <w:szCs w:val="20"/>
              </w:rPr>
              <w:t>Въвеждане на ТОЛ</w:t>
            </w:r>
            <w:r w:rsidR="004139AA" w:rsidRPr="004139AA">
              <w:rPr>
                <w:rFonts w:eastAsia="Times New Roman" w:cs="Times New Roman"/>
                <w:color w:val="000000"/>
                <w:sz w:val="20"/>
                <w:szCs w:val="20"/>
              </w:rPr>
              <w:t xml:space="preserve"> такса</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450,0</w:t>
            </w:r>
          </w:p>
        </w:tc>
        <w:tc>
          <w:tcPr>
            <w:tcW w:w="1275" w:type="dxa"/>
            <w:tcBorders>
              <w:top w:val="nil"/>
              <w:left w:val="nil"/>
              <w:bottom w:val="nil"/>
              <w:right w:val="nil"/>
            </w:tcBorders>
            <w:shd w:val="clear" w:color="auto" w:fill="auto"/>
            <w:noWrap/>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150,0</w:t>
            </w: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p>
        </w:tc>
      </w:tr>
      <w:tr w:rsidR="004139AA" w:rsidRPr="004139AA" w:rsidTr="00DE76AA">
        <w:trPr>
          <w:trHeight w:val="510"/>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sidRPr="004139AA">
              <w:rPr>
                <w:rFonts w:eastAsia="Times New Roman" w:cs="Times New Roman"/>
                <w:color w:val="000000"/>
                <w:sz w:val="20"/>
                <w:szCs w:val="20"/>
              </w:rPr>
              <w:t>Политик</w:t>
            </w:r>
            <w:r>
              <w:rPr>
                <w:rFonts w:eastAsia="Times New Roman" w:cs="Times New Roman"/>
                <w:color w:val="000000"/>
                <w:sz w:val="20"/>
                <w:szCs w:val="20"/>
              </w:rPr>
              <w:t>а по доходите - увеличение с 10</w:t>
            </w:r>
            <w:r w:rsidRPr="004139AA">
              <w:rPr>
                <w:rFonts w:eastAsia="Times New Roman" w:cs="Times New Roman"/>
                <w:color w:val="000000"/>
                <w:sz w:val="20"/>
                <w:szCs w:val="20"/>
              </w:rPr>
              <w:t>% на разходите за персонал в бюджетната сфера и увеличение на МРЗ</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624,8</w:t>
            </w:r>
          </w:p>
        </w:tc>
        <w:tc>
          <w:tcPr>
            <w:tcW w:w="1275"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106,9</w:t>
            </w: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p>
        </w:tc>
      </w:tr>
      <w:tr w:rsidR="004139AA" w:rsidRPr="004139AA" w:rsidTr="00DE76AA">
        <w:trPr>
          <w:trHeight w:val="300"/>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sidRPr="004139AA">
              <w:rPr>
                <w:rFonts w:eastAsia="Times New Roman" w:cs="Times New Roman"/>
                <w:color w:val="000000"/>
                <w:sz w:val="20"/>
                <w:szCs w:val="20"/>
              </w:rPr>
              <w:t>Увеличаване на заплатите на педагогическия персонал</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360,0</w:t>
            </w:r>
          </w:p>
        </w:tc>
        <w:tc>
          <w:tcPr>
            <w:tcW w:w="1275"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360,0</w:t>
            </w: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p>
        </w:tc>
      </w:tr>
      <w:tr w:rsidR="004139AA" w:rsidRPr="004139AA" w:rsidTr="00DE76AA">
        <w:trPr>
          <w:trHeight w:val="765"/>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sidRPr="004139AA">
              <w:rPr>
                <w:rFonts w:eastAsia="Times New Roman" w:cs="Times New Roman"/>
                <w:color w:val="000000"/>
                <w:sz w:val="20"/>
                <w:szCs w:val="20"/>
              </w:rPr>
              <w:t>Увеличаване на частта от осигурителния доход, върху който държавата внася здравни вноски за лицата, осигурявани за сметка на държавния бюджет</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r w:rsidRPr="004139AA">
              <w:rPr>
                <w:rFonts w:eastAsia="Times New Roman" w:cs="Times New Roman"/>
                <w:sz w:val="20"/>
                <w:szCs w:val="20"/>
              </w:rPr>
              <w:t>96,0</w:t>
            </w:r>
          </w:p>
        </w:tc>
        <w:tc>
          <w:tcPr>
            <w:tcW w:w="1275"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97,7</w:t>
            </w: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50,8</w:t>
            </w:r>
          </w:p>
        </w:tc>
      </w:tr>
      <w:tr w:rsidR="004139AA" w:rsidRPr="004139AA" w:rsidTr="00DE76AA">
        <w:trPr>
          <w:trHeight w:val="300"/>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sidRPr="004139AA">
              <w:rPr>
                <w:rFonts w:eastAsia="Times New Roman" w:cs="Times New Roman"/>
                <w:color w:val="000000"/>
                <w:sz w:val="20"/>
                <w:szCs w:val="20"/>
              </w:rPr>
              <w:t>Социални помощи</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r w:rsidRPr="004139AA">
              <w:rPr>
                <w:rFonts w:eastAsia="Times New Roman" w:cs="Times New Roman"/>
                <w:sz w:val="20"/>
                <w:szCs w:val="20"/>
              </w:rPr>
              <w:t>46,6</w:t>
            </w:r>
          </w:p>
        </w:tc>
        <w:tc>
          <w:tcPr>
            <w:tcW w:w="1275"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49,4</w:t>
            </w: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122,0</w:t>
            </w:r>
          </w:p>
        </w:tc>
      </w:tr>
      <w:tr w:rsidR="004139AA" w:rsidRPr="004139AA" w:rsidTr="00DE76AA">
        <w:trPr>
          <w:trHeight w:val="300"/>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sidRPr="004139AA">
              <w:rPr>
                <w:rFonts w:eastAsia="Times New Roman" w:cs="Times New Roman"/>
                <w:color w:val="000000"/>
                <w:sz w:val="20"/>
                <w:szCs w:val="20"/>
              </w:rPr>
              <w:t xml:space="preserve">Изменение на максималния размер на пенсия  от 2019 г. </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r w:rsidRPr="004139AA">
              <w:rPr>
                <w:rFonts w:eastAsia="Times New Roman" w:cs="Times New Roman"/>
                <w:sz w:val="20"/>
                <w:szCs w:val="20"/>
              </w:rPr>
              <w:t>74,8</w:t>
            </w:r>
          </w:p>
        </w:tc>
        <w:tc>
          <w:tcPr>
            <w:tcW w:w="1275"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p>
        </w:tc>
      </w:tr>
      <w:tr w:rsidR="004139AA" w:rsidRPr="004139AA" w:rsidTr="00DE76AA">
        <w:trPr>
          <w:trHeight w:val="765"/>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sidRPr="004139AA">
              <w:rPr>
                <w:rFonts w:eastAsia="Times New Roman" w:cs="Times New Roman"/>
                <w:color w:val="000000"/>
                <w:sz w:val="20"/>
                <w:szCs w:val="20"/>
              </w:rPr>
              <w:t xml:space="preserve">Разходи свързани с прилагането на </w:t>
            </w:r>
            <w:r w:rsidR="00C40111">
              <w:rPr>
                <w:rFonts w:eastAsia="Times New Roman" w:cs="Times New Roman"/>
                <w:color w:val="000000"/>
                <w:sz w:val="20"/>
                <w:szCs w:val="20"/>
              </w:rPr>
              <w:t>З</w:t>
            </w:r>
            <w:r w:rsidRPr="004139AA">
              <w:rPr>
                <w:rFonts w:eastAsia="Times New Roman" w:cs="Times New Roman"/>
                <w:color w:val="000000"/>
                <w:sz w:val="20"/>
                <w:szCs w:val="20"/>
              </w:rPr>
              <w:t>акона за признаване, изпълнение и изпращане на съдебни актове за налагане на наказание лишаване от свобода</w:t>
            </w:r>
            <w:r w:rsidR="00643F0B">
              <w:rPr>
                <w:rFonts w:eastAsia="Times New Roman" w:cs="Times New Roman"/>
                <w:color w:val="000000"/>
                <w:sz w:val="20"/>
                <w:szCs w:val="20"/>
              </w:rPr>
              <w:t xml:space="preserve"> </w:t>
            </w:r>
            <w:r w:rsidR="00643F0B" w:rsidRPr="00643F0B">
              <w:rPr>
                <w:rFonts w:eastAsia="Times New Roman" w:cs="Times New Roman"/>
                <w:color w:val="000000"/>
                <w:sz w:val="20"/>
                <w:szCs w:val="20"/>
              </w:rPr>
              <w:t>или на мерки, включващи лишаване от свобода</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r w:rsidRPr="004139AA">
              <w:rPr>
                <w:rFonts w:eastAsia="Times New Roman" w:cs="Times New Roman"/>
                <w:sz w:val="20"/>
                <w:szCs w:val="20"/>
              </w:rPr>
              <w:t>3,4</w:t>
            </w:r>
          </w:p>
        </w:tc>
        <w:tc>
          <w:tcPr>
            <w:tcW w:w="1275"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p>
        </w:tc>
      </w:tr>
      <w:tr w:rsidR="004139AA" w:rsidRPr="004139AA" w:rsidTr="00DE76AA">
        <w:trPr>
          <w:trHeight w:val="510"/>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sidRPr="004139AA">
              <w:rPr>
                <w:rFonts w:eastAsia="Times New Roman" w:cs="Times New Roman"/>
                <w:color w:val="000000"/>
                <w:sz w:val="20"/>
                <w:szCs w:val="20"/>
              </w:rPr>
              <w:t>Увеличение на изискуемите възраст и осигурителен стаж за пенсия</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-13,5</w:t>
            </w:r>
          </w:p>
        </w:tc>
        <w:tc>
          <w:tcPr>
            <w:tcW w:w="1275" w:type="dxa"/>
            <w:tcBorders>
              <w:top w:val="nil"/>
              <w:left w:val="nil"/>
              <w:bottom w:val="nil"/>
              <w:right w:val="nil"/>
            </w:tcBorders>
            <w:shd w:val="clear" w:color="auto" w:fill="auto"/>
            <w:noWrap/>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-13,0</w:t>
            </w: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-12,0</w:t>
            </w:r>
          </w:p>
        </w:tc>
      </w:tr>
      <w:tr w:rsidR="004139AA" w:rsidRPr="004139AA" w:rsidTr="00DE76AA">
        <w:trPr>
          <w:trHeight w:val="300"/>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Pr>
                <w:rFonts w:eastAsia="Times New Roman" w:cs="Times New Roman"/>
                <w:color w:val="000000"/>
                <w:sz w:val="20"/>
                <w:szCs w:val="20"/>
              </w:rPr>
              <w:t>И</w:t>
            </w:r>
            <w:r w:rsidR="00DA4EF2">
              <w:rPr>
                <w:rFonts w:eastAsia="Times New Roman" w:cs="Times New Roman"/>
                <w:color w:val="000000"/>
                <w:sz w:val="20"/>
                <w:szCs w:val="20"/>
              </w:rPr>
              <w:t>н</w:t>
            </w:r>
            <w:r>
              <w:rPr>
                <w:rFonts w:eastAsia="Times New Roman" w:cs="Times New Roman"/>
                <w:color w:val="000000"/>
                <w:sz w:val="20"/>
                <w:szCs w:val="20"/>
              </w:rPr>
              <w:t>вестиционен разход „</w:t>
            </w:r>
            <w:r w:rsidRPr="004139AA">
              <w:rPr>
                <w:rFonts w:eastAsia="Times New Roman" w:cs="Times New Roman"/>
                <w:color w:val="000000"/>
                <w:sz w:val="20"/>
                <w:szCs w:val="20"/>
              </w:rPr>
              <w:t>Прид</w:t>
            </w:r>
            <w:r>
              <w:rPr>
                <w:rFonts w:eastAsia="Times New Roman" w:cs="Times New Roman"/>
                <w:color w:val="000000"/>
                <w:sz w:val="20"/>
                <w:szCs w:val="20"/>
              </w:rPr>
              <w:t>обиване на нов тип боен самолет“</w:t>
            </w:r>
          </w:p>
        </w:tc>
        <w:tc>
          <w:tcPr>
            <w:tcW w:w="1134" w:type="dxa"/>
            <w:tcBorders>
              <w:top w:val="nil"/>
              <w:left w:val="nil"/>
              <w:bottom w:val="nil"/>
              <w:right w:val="nil"/>
            </w:tcBorders>
            <w:shd w:val="clear" w:color="auto" w:fill="auto"/>
            <w:vAlign w:val="center"/>
            <w:hideMark/>
          </w:tcPr>
          <w:p w:rsidR="004139AA" w:rsidRPr="004139AA" w:rsidRDefault="00964569" w:rsidP="00DE76AA">
            <w:pPr>
              <w:spacing w:after="0"/>
              <w:jc w:val="right"/>
              <w:rPr>
                <w:rFonts w:eastAsia="Times New Roman" w:cs="Times New Roman"/>
                <w:color w:val="000000"/>
                <w:sz w:val="20"/>
                <w:szCs w:val="20"/>
              </w:rPr>
            </w:pPr>
            <w:r>
              <w:rPr>
                <w:rFonts w:eastAsia="Times New Roman" w:cs="Times New Roman"/>
                <w:color w:val="000000"/>
                <w:sz w:val="20"/>
                <w:szCs w:val="20"/>
              </w:rPr>
              <w:t>100,0</w:t>
            </w:r>
          </w:p>
        </w:tc>
        <w:tc>
          <w:tcPr>
            <w:tcW w:w="1275"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sz w:val="20"/>
                <w:szCs w:val="20"/>
              </w:rPr>
            </w:pP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240,0</w:t>
            </w:r>
          </w:p>
        </w:tc>
      </w:tr>
      <w:tr w:rsidR="004139AA" w:rsidRPr="004139AA" w:rsidTr="00DE76AA">
        <w:trPr>
          <w:trHeight w:val="765"/>
        </w:trPr>
        <w:tc>
          <w:tcPr>
            <w:tcW w:w="5530" w:type="dxa"/>
            <w:tcBorders>
              <w:top w:val="nil"/>
              <w:left w:val="nil"/>
              <w:bottom w:val="nil"/>
              <w:right w:val="nil"/>
            </w:tcBorders>
            <w:shd w:val="clear" w:color="auto" w:fill="auto"/>
            <w:vAlign w:val="center"/>
            <w:hideMark/>
          </w:tcPr>
          <w:p w:rsidR="004139AA" w:rsidRPr="004139AA" w:rsidRDefault="004139AA" w:rsidP="004139AA">
            <w:pPr>
              <w:spacing w:after="0"/>
              <w:jc w:val="left"/>
              <w:rPr>
                <w:rFonts w:eastAsia="Times New Roman" w:cs="Times New Roman"/>
                <w:color w:val="000000"/>
                <w:sz w:val="20"/>
                <w:szCs w:val="20"/>
              </w:rPr>
            </w:pPr>
            <w:r>
              <w:rPr>
                <w:rFonts w:eastAsia="Times New Roman" w:cs="Times New Roman"/>
                <w:color w:val="000000"/>
                <w:sz w:val="20"/>
                <w:szCs w:val="20"/>
              </w:rPr>
              <w:t>Инвестиционен разход „</w:t>
            </w:r>
            <w:r w:rsidRPr="004139AA">
              <w:rPr>
                <w:rFonts w:eastAsia="Times New Roman" w:cs="Times New Roman"/>
                <w:color w:val="000000"/>
                <w:sz w:val="20"/>
                <w:szCs w:val="20"/>
              </w:rPr>
              <w:t>Придобиване на основна бойна техника за изграждане на батальонни бойни групи от състава на механизирана бригада</w:t>
            </w:r>
            <w:r w:rsidR="009A2870">
              <w:rPr>
                <w:rFonts w:eastAsia="Times New Roman" w:cs="Times New Roman"/>
                <w:color w:val="000000"/>
                <w:sz w:val="20"/>
                <w:szCs w:val="20"/>
              </w:rPr>
              <w:t>“</w:t>
            </w:r>
          </w:p>
        </w:tc>
        <w:tc>
          <w:tcPr>
            <w:tcW w:w="1134"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p>
        </w:tc>
        <w:tc>
          <w:tcPr>
            <w:tcW w:w="1275"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134,0</w:t>
            </w:r>
          </w:p>
        </w:tc>
        <w:tc>
          <w:tcPr>
            <w:tcW w:w="1276" w:type="dxa"/>
            <w:tcBorders>
              <w:top w:val="nil"/>
              <w:left w:val="nil"/>
              <w:bottom w:val="nil"/>
              <w:right w:val="nil"/>
            </w:tcBorders>
            <w:shd w:val="clear" w:color="auto" w:fill="auto"/>
            <w:vAlign w:val="center"/>
            <w:hideMark/>
          </w:tcPr>
          <w:p w:rsidR="004139AA" w:rsidRPr="004139AA" w:rsidRDefault="004139AA" w:rsidP="00DE76AA">
            <w:pPr>
              <w:spacing w:after="0"/>
              <w:jc w:val="right"/>
              <w:rPr>
                <w:rFonts w:eastAsia="Times New Roman" w:cs="Times New Roman"/>
                <w:color w:val="000000"/>
                <w:sz w:val="20"/>
                <w:szCs w:val="20"/>
              </w:rPr>
            </w:pPr>
            <w:r w:rsidRPr="004139AA">
              <w:rPr>
                <w:rFonts w:eastAsia="Times New Roman" w:cs="Times New Roman"/>
                <w:color w:val="000000"/>
                <w:sz w:val="20"/>
                <w:szCs w:val="20"/>
              </w:rPr>
              <w:t>200,0</w:t>
            </w:r>
          </w:p>
        </w:tc>
      </w:tr>
      <w:tr w:rsidR="004139AA" w:rsidRPr="004139AA" w:rsidTr="00DE76AA">
        <w:trPr>
          <w:trHeight w:val="300"/>
        </w:trPr>
        <w:tc>
          <w:tcPr>
            <w:tcW w:w="5530" w:type="dxa"/>
            <w:tcBorders>
              <w:top w:val="nil"/>
              <w:left w:val="nil"/>
              <w:bottom w:val="single" w:sz="4" w:space="0" w:color="595959"/>
              <w:right w:val="nil"/>
            </w:tcBorders>
            <w:shd w:val="clear" w:color="auto" w:fill="auto"/>
            <w:vAlign w:val="center"/>
            <w:hideMark/>
          </w:tcPr>
          <w:p w:rsidR="004139AA" w:rsidRPr="004139AA" w:rsidRDefault="004139AA" w:rsidP="004139AA">
            <w:pPr>
              <w:spacing w:after="0"/>
              <w:jc w:val="left"/>
              <w:rPr>
                <w:rFonts w:eastAsia="Times New Roman" w:cs="Times New Roman"/>
                <w:b/>
                <w:bCs/>
                <w:color w:val="000000"/>
                <w:sz w:val="20"/>
                <w:szCs w:val="20"/>
              </w:rPr>
            </w:pPr>
            <w:r w:rsidRPr="004139AA">
              <w:rPr>
                <w:rFonts w:eastAsia="Times New Roman" w:cs="Times New Roman"/>
                <w:b/>
                <w:bCs/>
                <w:color w:val="000000"/>
                <w:sz w:val="20"/>
                <w:szCs w:val="20"/>
              </w:rPr>
              <w:t>Общо</w:t>
            </w:r>
          </w:p>
        </w:tc>
        <w:tc>
          <w:tcPr>
            <w:tcW w:w="1134" w:type="dxa"/>
            <w:tcBorders>
              <w:top w:val="nil"/>
              <w:left w:val="nil"/>
              <w:bottom w:val="single" w:sz="4" w:space="0" w:color="auto"/>
              <w:right w:val="nil"/>
            </w:tcBorders>
            <w:shd w:val="clear" w:color="auto" w:fill="auto"/>
            <w:vAlign w:val="center"/>
            <w:hideMark/>
          </w:tcPr>
          <w:p w:rsidR="004139AA" w:rsidRPr="004139AA" w:rsidRDefault="00964569" w:rsidP="00DE76AA">
            <w:pPr>
              <w:spacing w:after="0"/>
              <w:jc w:val="right"/>
              <w:rPr>
                <w:rFonts w:eastAsia="Times New Roman" w:cs="Times New Roman"/>
                <w:b/>
                <w:bCs/>
                <w:sz w:val="20"/>
                <w:szCs w:val="20"/>
              </w:rPr>
            </w:pPr>
            <w:r>
              <w:rPr>
                <w:rFonts w:eastAsia="Times New Roman" w:cs="Times New Roman"/>
                <w:b/>
                <w:bCs/>
                <w:sz w:val="20"/>
                <w:szCs w:val="20"/>
              </w:rPr>
              <w:t>1 742,1</w:t>
            </w:r>
          </w:p>
        </w:tc>
        <w:tc>
          <w:tcPr>
            <w:tcW w:w="1275" w:type="dxa"/>
            <w:tcBorders>
              <w:top w:val="nil"/>
              <w:left w:val="nil"/>
              <w:bottom w:val="single" w:sz="4" w:space="0" w:color="auto"/>
              <w:right w:val="nil"/>
            </w:tcBorders>
            <w:shd w:val="clear" w:color="auto" w:fill="auto"/>
            <w:vAlign w:val="center"/>
            <w:hideMark/>
          </w:tcPr>
          <w:p w:rsidR="004139AA" w:rsidRPr="004139AA" w:rsidRDefault="004139AA" w:rsidP="00DE76AA">
            <w:pPr>
              <w:spacing w:after="0"/>
              <w:jc w:val="right"/>
              <w:rPr>
                <w:rFonts w:eastAsia="Times New Roman" w:cs="Times New Roman"/>
                <w:b/>
                <w:bCs/>
                <w:sz w:val="20"/>
                <w:szCs w:val="20"/>
              </w:rPr>
            </w:pPr>
            <w:r w:rsidRPr="004139AA">
              <w:rPr>
                <w:rFonts w:eastAsia="Times New Roman" w:cs="Times New Roman"/>
                <w:b/>
                <w:bCs/>
                <w:sz w:val="20"/>
                <w:szCs w:val="20"/>
              </w:rPr>
              <w:t>885,0</w:t>
            </w:r>
          </w:p>
        </w:tc>
        <w:tc>
          <w:tcPr>
            <w:tcW w:w="1276" w:type="dxa"/>
            <w:tcBorders>
              <w:top w:val="nil"/>
              <w:left w:val="nil"/>
              <w:bottom w:val="single" w:sz="4" w:space="0" w:color="auto"/>
              <w:right w:val="nil"/>
            </w:tcBorders>
            <w:shd w:val="clear" w:color="auto" w:fill="auto"/>
            <w:vAlign w:val="center"/>
            <w:hideMark/>
          </w:tcPr>
          <w:p w:rsidR="004139AA" w:rsidRPr="004139AA" w:rsidRDefault="004139AA" w:rsidP="00DE76AA">
            <w:pPr>
              <w:spacing w:after="0"/>
              <w:jc w:val="right"/>
              <w:rPr>
                <w:rFonts w:eastAsia="Times New Roman" w:cs="Times New Roman"/>
                <w:b/>
                <w:bCs/>
                <w:sz w:val="20"/>
                <w:szCs w:val="20"/>
              </w:rPr>
            </w:pPr>
            <w:r w:rsidRPr="004139AA">
              <w:rPr>
                <w:rFonts w:eastAsia="Times New Roman" w:cs="Times New Roman"/>
                <w:b/>
                <w:bCs/>
                <w:sz w:val="20"/>
                <w:szCs w:val="20"/>
              </w:rPr>
              <w:t>600,8</w:t>
            </w:r>
          </w:p>
        </w:tc>
      </w:tr>
    </w:tbl>
    <w:p w:rsidR="004139AA" w:rsidRPr="004139AA" w:rsidRDefault="004139AA" w:rsidP="004139AA"/>
    <w:p w:rsidR="00083361" w:rsidRPr="00FA06AF" w:rsidRDefault="00464E7E" w:rsidP="003618FB">
      <w:pPr>
        <w:pStyle w:val="Heading3"/>
        <w:ind w:left="0"/>
        <w:rPr>
          <w:rStyle w:val="Strong"/>
          <w:b/>
          <w:bCs/>
        </w:rPr>
      </w:pPr>
      <w:r>
        <w:rPr>
          <w:rStyle w:val="Strong"/>
          <w:b/>
          <w:bCs/>
        </w:rPr>
        <w:t>съпоставка на прогнозата за сектор „държавно управление“ с тази на европейската комисия</w:t>
      </w:r>
    </w:p>
    <w:p w:rsidR="00F2457C" w:rsidRDefault="00F2457C" w:rsidP="00F2457C">
      <w:pPr>
        <w:spacing w:after="120"/>
      </w:pPr>
      <w:r>
        <w:t xml:space="preserve">В тази част се прави съпоставка на средносрочната прогноза за сектор „Държавно управление“ на МФ спрямо последната фискална прогноза на Европейската комисия от пролетта на 2019 г. Следва да се имат предвид различните бази и изменения в макроикономическите сценарии на двете институции, които обуславят различията по отношение на очакваните фискални резултати. Прогнозите на ЕК за общия баланс на сектор „Държавно управление“ за 2019 г. и 2020 г. са по-оптимистични в сравнение с прогнозата на МФ, като те се базират на сценарий без съществено изменение в провежданите политики. </w:t>
      </w:r>
    </w:p>
    <w:p w:rsidR="00F2457C" w:rsidRDefault="00F2457C" w:rsidP="00F2457C">
      <w:pPr>
        <w:spacing w:after="120"/>
        <w:rPr>
          <w:highlight w:val="yellow"/>
        </w:rPr>
      </w:pPr>
      <w:r>
        <w:t xml:space="preserve">Фискалната позиция на правителството по отношение на изискванията на Пакта за стабилност и растеж е в рамките на заложените ограничения за нивата на дълга и дефицита. Оценката на МФ за изменението на приходите и разходите на сектор „Държавно управление“ за 2019 </w:t>
      </w:r>
      <w:r w:rsidR="00F55E33">
        <w:t xml:space="preserve">г. </w:t>
      </w:r>
      <w:r>
        <w:t>и 2020 г. се основава на текущото състояние на публичните финанси, етапа на икономическия цикъл, в който се намира страната и очакванията за растеж на икономиката в средносрочен план.</w:t>
      </w:r>
    </w:p>
    <w:p w:rsidR="00B01597" w:rsidRPr="00E6774B" w:rsidRDefault="00B01597" w:rsidP="00F2457C">
      <w:pPr>
        <w:pStyle w:val="Heading4"/>
        <w:numPr>
          <w:ilvl w:val="0"/>
          <w:numId w:val="0"/>
        </w:numPr>
        <w:spacing w:before="0"/>
      </w:pPr>
      <w:r w:rsidRPr="00F2457C">
        <w:t>Сравнение на прогнозата на МФ с прогнозата на ЕК за 201</w:t>
      </w:r>
      <w:r w:rsidR="00F2457C" w:rsidRPr="00F2457C">
        <w:t>9</w:t>
      </w:r>
      <w:r w:rsidRPr="00F2457C">
        <w:t xml:space="preserve"> г.</w:t>
      </w:r>
    </w:p>
    <w:p w:rsidR="00230B86" w:rsidRDefault="00230B86" w:rsidP="00F2457C">
      <w:pPr>
        <w:spacing w:after="120"/>
      </w:pPr>
    </w:p>
    <w:p w:rsidR="00F2457C" w:rsidRDefault="00F2457C" w:rsidP="00F2457C">
      <w:pPr>
        <w:spacing w:after="120"/>
      </w:pPr>
      <w:r>
        <w:t>Прогнозите на ЕК и на МФ по отношение на бюджетното салдо за текущата година се различават доста, като очакванията на ЕК са за положително салдо за 2019 г., докато прогнозата на МФ предвижда балансиран бюджет. В последната си прогноза от пролетта на 2019 г. ЕК повиши оценката си за 2019 г. спрямо предходната си прогноза с 0,2 пр.п. до излишък от 0,8% от БВП, докато фискалната прогноза на МФ за 2019 г. е за балансиран бюджет. Бюджетният баланс в прогнозата на ЕК се постига при съответно по-високи приходи от 1,1 пр.п., но и при по-високи разходи с 0,3 пр.п. в сравнение с тези на МФ.</w:t>
      </w:r>
    </w:p>
    <w:p w:rsidR="00F2457C" w:rsidRDefault="00F2457C" w:rsidP="00F2457C">
      <w:pPr>
        <w:spacing w:after="120"/>
      </w:pPr>
      <w:r>
        <w:t xml:space="preserve">По отношение на приходите, ЕК планира по-високи други (неданъчни) приходи – с 1 млрд. лв. и 0,78 млрд. лв. повече приходи от капиталови трансфери, където се отчитат средствата от европейските Структурни и Кохезионен фондове. Останалите приходи, от преки данъци и социално-осигурителни вноски, са по-ниски в сравнение с оценките на МФ. Разликите в прогнозите на МФ спрямо тези на ЕК при данъчните приходи се дължат на актуализираната информация по отношение на изпълнението при преките данъци през 2018 г., която предопределя по-високата база за 2019 г., повишаването на данъчната събираемост, намаляването на разликата между очакваните приходи от ДДС и действително събраната сума (т.нар. ДДС Gap) и др. </w:t>
      </w:r>
    </w:p>
    <w:p w:rsidR="00F2457C" w:rsidRDefault="00F2457C" w:rsidP="00F2457C">
      <w:pPr>
        <w:spacing w:after="120"/>
      </w:pPr>
      <w:r>
        <w:t xml:space="preserve">По отношение на разходните показатели </w:t>
      </w:r>
      <w:r w:rsidR="00230B86" w:rsidRPr="00230B86">
        <w:t>–</w:t>
      </w:r>
      <w:r>
        <w:t xml:space="preserve"> при текущите разходи прогнозната им стойност според МФ е по-висока с около 1,1 млрд. лв., като това се дължи най-вече на превишение в разходите за субсидии с 514,7 млн. лв. и на общите разходи за социалните плащания с 508,5 млн. лв. Прогнозата на МФ за субсидиите за нефинансови предприятия бележи значително нарастване, основно във връзка с измененията и допълненията на Закона за енергетиката (от 2018 и 2019 г.), което обяснява по-голямата част от различията с прогнозата на ЕК по този елемент. При оценките за социалните плащания разликите идват основно от по-високите очаквани разходи за пенсии, обезщетения и здравноосигурителни плащания според предварителните оценки на МФ за текущия период. При оценките за междинното потребление разликата идва от по-малкото планирани средства за издръжка в прогнозата на ЕК – с 50,8 млн. лв. </w:t>
      </w:r>
    </w:p>
    <w:p w:rsidR="00F2457C" w:rsidRDefault="00F2457C" w:rsidP="00F2457C">
      <w:pPr>
        <w:spacing w:after="120"/>
      </w:pPr>
      <w:r>
        <w:t xml:space="preserve">При капиталовите разходи, планираните в прогнозата на ЕК публични инвестиции са по-ниски от оценките на МФ – със 100,1 млн. лв. Двете прогнози се различават в своята структура – при бруто образуването на основен капитал ЕК очаква по-ниски вложения със 122 млн. лв., а за другите капиталови разходи – очакванията са за по-високи разходи с 22 млн. лв. Нарастването на бруто образуването на основен капитал в прогнозата на МФ за 2019 г. се дължи от една страна на отложените от предходната година разходи, а от друга </w:t>
      </w:r>
      <w:r w:rsidR="00230B86" w:rsidRPr="00230B86">
        <w:t xml:space="preserve">– </w:t>
      </w:r>
      <w:r>
        <w:t>на увеличение в предвидените за осъществяване инфраструктурни проекти.</w:t>
      </w:r>
    </w:p>
    <w:p w:rsidR="00230B86" w:rsidRDefault="00230B86" w:rsidP="00F2457C">
      <w:pPr>
        <w:spacing w:after="120"/>
        <w:rPr>
          <w:highlight w:val="yellow"/>
        </w:rPr>
      </w:pPr>
    </w:p>
    <w:p w:rsidR="00E6774B" w:rsidRPr="00E6774B" w:rsidRDefault="00E6774B" w:rsidP="00F2457C">
      <w:pPr>
        <w:pStyle w:val="Heading4"/>
        <w:numPr>
          <w:ilvl w:val="0"/>
          <w:numId w:val="0"/>
        </w:numPr>
        <w:spacing w:before="0"/>
      </w:pPr>
      <w:r w:rsidRPr="00230B86">
        <w:t xml:space="preserve">Сравнение на прогнозата на МФ с прогнозата на ЕК за </w:t>
      </w:r>
      <w:r w:rsidR="00230B86" w:rsidRPr="00230B86">
        <w:t>2020</w:t>
      </w:r>
      <w:r w:rsidRPr="00230B86">
        <w:t xml:space="preserve"> г.</w:t>
      </w:r>
    </w:p>
    <w:p w:rsidR="00230B86" w:rsidRDefault="00230B86" w:rsidP="00F2457C">
      <w:pPr>
        <w:spacing w:after="120"/>
        <w:rPr>
          <w:highlight w:val="yellow"/>
        </w:rPr>
      </w:pPr>
    </w:p>
    <w:p w:rsidR="00230B86" w:rsidRDefault="00230B86" w:rsidP="00230B86">
      <w:pPr>
        <w:spacing w:after="120"/>
      </w:pPr>
      <w:r>
        <w:t xml:space="preserve">За 2020 г. МФ слабо влошава прогнозата си за баланса на начислена основа спрямо 2019 г. до дефицит от 0,1% от БВП. От друга страна оценките на ЕК </w:t>
      </w:r>
      <w:r w:rsidR="00592C64">
        <w:t xml:space="preserve">са </w:t>
      </w:r>
      <w:r>
        <w:t>за излишък от 1% от БВП. Разликите в прогнозата спрямо предходната година по оценки на МФ се дължат на консолидация от страна и на приходите, и на разходите в размер от по около 0,3 пр.п. от БВП. Според ЕК също се очаква да има минимален спад от около 0,2 пр.п. в нивото както на приходите, така и на разходите, като общият бюджетен баланс се запазва близък до нивото си от предходната година.</w:t>
      </w:r>
    </w:p>
    <w:p w:rsidR="00230B86" w:rsidRDefault="00230B86" w:rsidP="00230B86">
      <w:pPr>
        <w:spacing w:after="120"/>
      </w:pPr>
      <w:r>
        <w:t xml:space="preserve">Прогнозата за текущите приходи за 2020 г. на МФ е по-висока от прогнозата </w:t>
      </w:r>
      <w:r w:rsidR="0022281D">
        <w:t xml:space="preserve">на </w:t>
      </w:r>
      <w:r>
        <w:t>ЕК за същия период с 1,3</w:t>
      </w:r>
      <w:r w:rsidR="0022281D">
        <w:t>8</w:t>
      </w:r>
      <w:r>
        <w:t xml:space="preserve"> млрд. лв. В прогнозата на МФ се очакват основно по-високи данъчно-осигурителни приходи. Един от факторите за по-добрата прогноза спрямо тази на ЕК при социално-осигурителните вноски и преките данъци е по-високата база по отношение на компенсацията на наетите лица. Също така коефициентът на безработица в последната прогноза на М</w:t>
      </w:r>
      <w:r w:rsidR="00A21BDE">
        <w:t>Ф показва подобрение от 0,1 пр.</w:t>
      </w:r>
      <w:r>
        <w:t xml:space="preserve">п. спрямо предходната прогноза за 2020 г. Прогнозата за неданъчните текущи и капиталови приходи на МФ е по-ниска в сравнение с очакванията на ЕК за същия период. </w:t>
      </w:r>
    </w:p>
    <w:p w:rsidR="00230B86" w:rsidRDefault="00230B86" w:rsidP="00230B86">
      <w:pPr>
        <w:spacing w:after="120"/>
      </w:pPr>
      <w:r>
        <w:t>По отношение на текущите разходи, почти по всички елементи очакванията на МФ са за по-високи разходи спрямо прогнозата на ЕК, с изключение на разходите за други текущи плащания. Повишението при разходите за заплати е основно поради поетапното увеличение на МРЗ, на заплатите в бюджетния сектор и на увеличените средства за заплати в сектор „Образование“. При социалните разходи е планирано нарастване на обезщетенията в средносрочен план, основно вследствие на увеличение на разходите за и</w:t>
      </w:r>
      <w:r w:rsidR="00082F97">
        <w:t>зплащане на пенсиите, както и на</w:t>
      </w:r>
      <w:r>
        <w:t xml:space="preserve"> новите закони за хората с увреждания и за личната помощ. Наблюдаваните по-високи разходи за здравноосигурителни плащания (социални трансфери в натура) са в съответствие с предприетите политики за финансиране на повече дейности в болничната помощ и за нарастване по някои от останалите видове здравни плащания. </w:t>
      </w:r>
      <w:r w:rsidR="00082F97">
        <w:t>Прогнозата за разходите за издръжка за 2020 г. е съобразена с планираните разходи за 2019 г., като те нарастват поради очаквания за увеличаване на разходите за междинно потребление за министерствата и ведомствата</w:t>
      </w:r>
      <w:r w:rsidR="00082F97" w:rsidRPr="005A5231">
        <w:t>, съдебна</w:t>
      </w:r>
      <w:r w:rsidR="0022281D">
        <w:t>та</w:t>
      </w:r>
      <w:r w:rsidR="00082F97" w:rsidRPr="005A5231">
        <w:t xml:space="preserve"> власт, общини</w:t>
      </w:r>
      <w:r w:rsidR="0022281D">
        <w:t>те</w:t>
      </w:r>
      <w:r w:rsidR="00082F97" w:rsidRPr="005A5231">
        <w:t xml:space="preserve"> и </w:t>
      </w:r>
      <w:r w:rsidR="00082F97">
        <w:t>разходите</w:t>
      </w:r>
      <w:r w:rsidR="0022281D">
        <w:t>,</w:t>
      </w:r>
      <w:r w:rsidR="00082F97">
        <w:t xml:space="preserve"> </w:t>
      </w:r>
      <w:r w:rsidR="00082F97" w:rsidRPr="005A5231">
        <w:t>финансирани</w:t>
      </w:r>
      <w:r w:rsidR="00082F97">
        <w:t xml:space="preserve"> с европейски средства</w:t>
      </w:r>
      <w:r>
        <w:t>.</w:t>
      </w:r>
    </w:p>
    <w:p w:rsidR="00230B86" w:rsidRDefault="00230B86" w:rsidP="00230B86">
      <w:pPr>
        <w:spacing w:after="120"/>
      </w:pPr>
      <w:r>
        <w:t>По отношение на капиталовите разходи се очаква да продължи високата инвестиционна активност в страната, което обуславя по-високите стойности на бруто образуването на основен капитал в прогнозата на МФ.</w:t>
      </w:r>
    </w:p>
    <w:p w:rsidR="00604658" w:rsidRDefault="00604658" w:rsidP="00F57A60">
      <w:pPr>
        <w:pStyle w:val="Caption"/>
      </w:pPr>
      <w:bookmarkStart w:id="373" w:name="_Toc464737643"/>
      <w:bookmarkStart w:id="374" w:name="_Toc465239625"/>
      <w:bookmarkStart w:id="375" w:name="_Toc23337526"/>
      <w:r w:rsidRPr="00F57A60">
        <w:t xml:space="preserve">Табл. </w:t>
      </w:r>
      <w:fldSimple w:instr=" STYLEREF 1 \s ">
        <w:r w:rsidR="0034195B">
          <w:rPr>
            <w:noProof/>
          </w:rPr>
          <w:t>II</w:t>
        </w:r>
      </w:fldSimple>
      <w:r w:rsidRPr="00F57A60">
        <w:noBreakHyphen/>
      </w:r>
      <w:fldSimple w:instr=" SEQ Табл. \* ARABIC \s 1 ">
        <w:r w:rsidR="0034195B">
          <w:rPr>
            <w:noProof/>
          </w:rPr>
          <w:t>11</w:t>
        </w:r>
      </w:fldSimple>
      <w:r w:rsidRPr="00F57A60">
        <w:t>:</w:t>
      </w:r>
      <w:bookmarkEnd w:id="373"/>
      <w:bookmarkEnd w:id="374"/>
      <w:r w:rsidRPr="00F57A60">
        <w:t xml:space="preserve"> Сравнение на бюджетната прогноза на МФ с прогнозата на ЕК</w:t>
      </w:r>
      <w:bookmarkEnd w:id="375"/>
    </w:p>
    <w:p w:rsidR="00DA4EF2" w:rsidRDefault="00DA4EF2" w:rsidP="00DA4EF2"/>
    <w:tbl>
      <w:tblPr>
        <w:tblW w:w="5000" w:type="pct"/>
        <w:tblCellMar>
          <w:left w:w="70" w:type="dxa"/>
          <w:right w:w="70" w:type="dxa"/>
        </w:tblCellMar>
        <w:tblLook w:val="04A0" w:firstRow="1" w:lastRow="0" w:firstColumn="1" w:lastColumn="0" w:noHBand="0" w:noVBand="1"/>
      </w:tblPr>
      <w:tblGrid>
        <w:gridCol w:w="4251"/>
        <w:gridCol w:w="1165"/>
        <w:gridCol w:w="914"/>
        <w:gridCol w:w="914"/>
        <w:gridCol w:w="914"/>
        <w:gridCol w:w="912"/>
      </w:tblGrid>
      <w:tr w:rsidR="00CD56DA" w:rsidRPr="00F5209C" w:rsidTr="00E7195B">
        <w:trPr>
          <w:trHeight w:val="285"/>
          <w:tblHeader/>
        </w:trPr>
        <w:tc>
          <w:tcPr>
            <w:tcW w:w="2343" w:type="pct"/>
            <w:vMerge w:val="restart"/>
            <w:tcBorders>
              <w:top w:val="single" w:sz="4" w:space="0" w:color="595959"/>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Показатели</w:t>
            </w:r>
            <w:r w:rsidRPr="00F5209C">
              <w:rPr>
                <w:rFonts w:eastAsia="Times New Roman" w:cs="Times New Roman"/>
                <w:b/>
                <w:bCs/>
                <w:color w:val="000000"/>
                <w:sz w:val="20"/>
                <w:szCs w:val="20"/>
              </w:rPr>
              <w:br/>
              <w:t xml:space="preserve">млрд. лв. </w:t>
            </w:r>
          </w:p>
        </w:tc>
        <w:tc>
          <w:tcPr>
            <w:tcW w:w="642" w:type="pct"/>
            <w:tcBorders>
              <w:top w:val="single" w:sz="4" w:space="0" w:color="595959"/>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2018</w:t>
            </w:r>
          </w:p>
        </w:tc>
        <w:tc>
          <w:tcPr>
            <w:tcW w:w="1008" w:type="pct"/>
            <w:gridSpan w:val="2"/>
            <w:tcBorders>
              <w:top w:val="single" w:sz="4" w:space="0" w:color="595959"/>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2019</w:t>
            </w:r>
          </w:p>
        </w:tc>
        <w:tc>
          <w:tcPr>
            <w:tcW w:w="1007" w:type="pct"/>
            <w:gridSpan w:val="2"/>
            <w:tcBorders>
              <w:top w:val="single" w:sz="4" w:space="0" w:color="595959"/>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2020</w:t>
            </w:r>
          </w:p>
        </w:tc>
      </w:tr>
      <w:tr w:rsidR="00CD56DA" w:rsidRPr="00F5209C" w:rsidTr="00E7195B">
        <w:trPr>
          <w:trHeight w:val="510"/>
          <w:tblHeader/>
        </w:trPr>
        <w:tc>
          <w:tcPr>
            <w:tcW w:w="2343" w:type="pct"/>
            <w:vMerge/>
            <w:tcBorders>
              <w:top w:val="single" w:sz="4" w:space="0" w:color="595959"/>
              <w:left w:val="nil"/>
              <w:bottom w:val="single" w:sz="4" w:space="0" w:color="595959"/>
              <w:right w:val="nil"/>
            </w:tcBorders>
            <w:shd w:val="clear" w:color="auto" w:fill="auto"/>
            <w:vAlign w:val="center"/>
            <w:hideMark/>
          </w:tcPr>
          <w:p w:rsidR="00CD56DA" w:rsidRPr="00F5209C" w:rsidRDefault="00CD56DA" w:rsidP="00CD56DA">
            <w:pPr>
              <w:spacing w:after="0"/>
              <w:jc w:val="left"/>
              <w:rPr>
                <w:rFonts w:eastAsia="Times New Roman" w:cs="Times New Roman"/>
                <w:b/>
                <w:bCs/>
                <w:color w:val="000000"/>
                <w:sz w:val="20"/>
                <w:szCs w:val="20"/>
              </w:rPr>
            </w:pPr>
          </w:p>
        </w:tc>
        <w:tc>
          <w:tcPr>
            <w:tcW w:w="642" w:type="pct"/>
            <w:tcBorders>
              <w:top w:val="nil"/>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Отчетни данни</w:t>
            </w:r>
          </w:p>
        </w:tc>
        <w:tc>
          <w:tcPr>
            <w:tcW w:w="504" w:type="pct"/>
            <w:tcBorders>
              <w:top w:val="nil"/>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МФ*</w:t>
            </w:r>
          </w:p>
        </w:tc>
        <w:tc>
          <w:tcPr>
            <w:tcW w:w="504" w:type="pct"/>
            <w:tcBorders>
              <w:top w:val="nil"/>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ЕК</w:t>
            </w:r>
          </w:p>
        </w:tc>
        <w:tc>
          <w:tcPr>
            <w:tcW w:w="504" w:type="pct"/>
            <w:tcBorders>
              <w:top w:val="nil"/>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МФ</w:t>
            </w:r>
          </w:p>
        </w:tc>
        <w:tc>
          <w:tcPr>
            <w:tcW w:w="503" w:type="pct"/>
            <w:tcBorders>
              <w:top w:val="nil"/>
              <w:left w:val="nil"/>
              <w:bottom w:val="single" w:sz="4" w:space="0" w:color="595959"/>
              <w:right w:val="nil"/>
            </w:tcBorders>
            <w:shd w:val="clear" w:color="auto" w:fill="auto"/>
            <w:vAlign w:val="center"/>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ЕК</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1. Данъци върху производството и вноса</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16,5</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18,5</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16,9</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19,5</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17,8</w:t>
            </w:r>
          </w:p>
        </w:tc>
      </w:tr>
      <w:tr w:rsidR="00CD56DA" w:rsidRPr="00F5209C" w:rsidTr="00E7195B">
        <w:trPr>
          <w:trHeight w:val="525"/>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2. Текущи данъци върху доходите, богатството и др.</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6,3</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6,9</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6,8</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7,5</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7,1</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3. Социално-осигурителни вноски</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9,5</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10,4</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10,2</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11,3</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10,8</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4. Други приходи, вкл. приходи от продажби</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8,7</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6,6</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7,6</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6,6</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7,8</w:t>
            </w:r>
          </w:p>
        </w:tc>
      </w:tr>
      <w:tr w:rsidR="00CD56DA" w:rsidRPr="00F5209C" w:rsidTr="00E7195B">
        <w:trPr>
          <w:trHeight w:val="300"/>
        </w:trPr>
        <w:tc>
          <w:tcPr>
            <w:tcW w:w="2343" w:type="pct"/>
            <w:tcBorders>
              <w:top w:val="nil"/>
              <w:left w:val="nil"/>
              <w:bottom w:val="single" w:sz="4" w:space="0" w:color="595959"/>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5. Общо текущи приходи</w:t>
            </w:r>
          </w:p>
        </w:tc>
        <w:tc>
          <w:tcPr>
            <w:tcW w:w="642"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41,1</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42,4</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41,4</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44,9</w:t>
            </w:r>
          </w:p>
        </w:tc>
        <w:tc>
          <w:tcPr>
            <w:tcW w:w="503"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43,5</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6. Компенсация на наетите лица</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10,4</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11,4</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11,2</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12,5</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12,0</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7. Междинно потребление</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5,3</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5,6</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5,5</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5,7</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5,5</w:t>
            </w:r>
          </w:p>
        </w:tc>
      </w:tr>
      <w:tr w:rsidR="00E7195B" w:rsidRPr="00F5209C" w:rsidTr="00E7195B">
        <w:trPr>
          <w:trHeight w:val="300"/>
        </w:trPr>
        <w:tc>
          <w:tcPr>
            <w:tcW w:w="2343" w:type="pct"/>
            <w:tcBorders>
              <w:top w:val="nil"/>
              <w:left w:val="nil"/>
              <w:bottom w:val="nil"/>
              <w:right w:val="nil"/>
            </w:tcBorders>
            <w:shd w:val="clear" w:color="auto" w:fill="auto"/>
            <w:vAlign w:val="bottom"/>
            <w:hideMark/>
          </w:tcPr>
          <w:p w:rsidR="00E7195B" w:rsidRPr="00F5209C" w:rsidRDefault="00E7195B" w:rsidP="00E7195B">
            <w:pPr>
              <w:spacing w:after="0"/>
              <w:jc w:val="left"/>
              <w:rPr>
                <w:rFonts w:eastAsia="Times New Roman" w:cs="Times New Roman"/>
                <w:sz w:val="20"/>
                <w:szCs w:val="20"/>
              </w:rPr>
            </w:pPr>
            <w:r w:rsidRPr="00F5209C">
              <w:rPr>
                <w:rFonts w:eastAsia="Times New Roman" w:cs="Times New Roman"/>
                <w:sz w:val="20"/>
                <w:szCs w:val="20"/>
              </w:rPr>
              <w:t>8. Социални трансфери в натура</w:t>
            </w:r>
          </w:p>
        </w:tc>
        <w:tc>
          <w:tcPr>
            <w:tcW w:w="642"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2,3</w:t>
            </w:r>
          </w:p>
        </w:tc>
        <w:tc>
          <w:tcPr>
            <w:tcW w:w="504"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2,9</w:t>
            </w:r>
          </w:p>
        </w:tc>
        <w:tc>
          <w:tcPr>
            <w:tcW w:w="504"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2,6</w:t>
            </w:r>
          </w:p>
        </w:tc>
        <w:tc>
          <w:tcPr>
            <w:tcW w:w="504"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3,2</w:t>
            </w:r>
          </w:p>
        </w:tc>
        <w:tc>
          <w:tcPr>
            <w:tcW w:w="503"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2,8</w:t>
            </w:r>
          </w:p>
        </w:tc>
      </w:tr>
      <w:tr w:rsidR="00E7195B" w:rsidRPr="00F5209C" w:rsidTr="00E7195B">
        <w:trPr>
          <w:trHeight w:val="300"/>
        </w:trPr>
        <w:tc>
          <w:tcPr>
            <w:tcW w:w="2343" w:type="pct"/>
            <w:tcBorders>
              <w:top w:val="nil"/>
              <w:left w:val="nil"/>
              <w:bottom w:val="nil"/>
              <w:right w:val="nil"/>
            </w:tcBorders>
            <w:shd w:val="clear" w:color="auto" w:fill="auto"/>
            <w:vAlign w:val="bottom"/>
            <w:hideMark/>
          </w:tcPr>
          <w:p w:rsidR="00E7195B" w:rsidRPr="00F5209C" w:rsidRDefault="00E7195B" w:rsidP="00E7195B">
            <w:pPr>
              <w:spacing w:after="0"/>
              <w:jc w:val="left"/>
              <w:rPr>
                <w:rFonts w:eastAsia="Times New Roman" w:cs="Times New Roman"/>
                <w:sz w:val="20"/>
                <w:szCs w:val="20"/>
              </w:rPr>
            </w:pPr>
            <w:r w:rsidRPr="00F5209C">
              <w:rPr>
                <w:rFonts w:eastAsia="Times New Roman" w:cs="Times New Roman"/>
                <w:sz w:val="20"/>
                <w:szCs w:val="20"/>
              </w:rPr>
              <w:t>9. Социални трансфери</w:t>
            </w:r>
            <w:r>
              <w:rPr>
                <w:rFonts w:eastAsia="Times New Roman" w:cs="Times New Roman"/>
                <w:sz w:val="20"/>
                <w:szCs w:val="20"/>
              </w:rPr>
              <w:t xml:space="preserve"> без тези</w:t>
            </w:r>
            <w:r w:rsidRPr="00F5209C">
              <w:rPr>
                <w:rFonts w:eastAsia="Times New Roman" w:cs="Times New Roman"/>
                <w:sz w:val="20"/>
                <w:szCs w:val="20"/>
              </w:rPr>
              <w:t xml:space="preserve"> в натура</w:t>
            </w:r>
          </w:p>
        </w:tc>
        <w:tc>
          <w:tcPr>
            <w:tcW w:w="642"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12,0</w:t>
            </w:r>
          </w:p>
        </w:tc>
        <w:tc>
          <w:tcPr>
            <w:tcW w:w="504"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12,9</w:t>
            </w:r>
          </w:p>
        </w:tc>
        <w:tc>
          <w:tcPr>
            <w:tcW w:w="504"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12,6</w:t>
            </w:r>
          </w:p>
        </w:tc>
        <w:tc>
          <w:tcPr>
            <w:tcW w:w="504"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13,7</w:t>
            </w:r>
          </w:p>
        </w:tc>
        <w:tc>
          <w:tcPr>
            <w:tcW w:w="503" w:type="pct"/>
            <w:tcBorders>
              <w:top w:val="nil"/>
              <w:left w:val="nil"/>
              <w:bottom w:val="nil"/>
              <w:right w:val="nil"/>
            </w:tcBorders>
            <w:shd w:val="clear" w:color="auto" w:fill="auto"/>
            <w:noWrap/>
            <w:vAlign w:val="bottom"/>
            <w:hideMark/>
          </w:tcPr>
          <w:p w:rsidR="00E7195B" w:rsidRPr="00F5209C" w:rsidRDefault="00E7195B" w:rsidP="00E7195B">
            <w:pPr>
              <w:spacing w:after="0"/>
              <w:jc w:val="center"/>
              <w:rPr>
                <w:rFonts w:eastAsia="Times New Roman" w:cs="Times New Roman"/>
                <w:color w:val="000000"/>
                <w:sz w:val="20"/>
                <w:szCs w:val="20"/>
              </w:rPr>
            </w:pPr>
            <w:r w:rsidRPr="00F5209C">
              <w:rPr>
                <w:rFonts w:eastAsia="Times New Roman" w:cs="Times New Roman"/>
                <w:color w:val="000000"/>
                <w:sz w:val="20"/>
                <w:szCs w:val="20"/>
              </w:rPr>
              <w:t>13,1</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10. Лихвени разходи</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0,7</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0,7</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0,7</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0,7</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0,7</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11. Субсидии</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2,4</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2,8</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2,3</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2,5</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2,4</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sz w:val="20"/>
                <w:szCs w:val="20"/>
              </w:rPr>
            </w:pPr>
            <w:r w:rsidRPr="00F5209C">
              <w:rPr>
                <w:rFonts w:eastAsia="Times New Roman" w:cs="Times New Roman"/>
                <w:sz w:val="20"/>
                <w:szCs w:val="20"/>
              </w:rPr>
              <w:t>12. Други текущи плащания</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2,6</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1,9</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2,0</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2,0</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color w:val="000000"/>
                <w:sz w:val="20"/>
                <w:szCs w:val="20"/>
              </w:rPr>
            </w:pPr>
            <w:r w:rsidRPr="00F5209C">
              <w:rPr>
                <w:rFonts w:eastAsia="Times New Roman" w:cs="Times New Roman"/>
                <w:color w:val="000000"/>
                <w:sz w:val="20"/>
                <w:szCs w:val="20"/>
              </w:rPr>
              <w:t>2,1</w:t>
            </w:r>
          </w:p>
        </w:tc>
      </w:tr>
      <w:tr w:rsidR="00CD56DA" w:rsidRPr="00F5209C" w:rsidTr="00E7195B">
        <w:trPr>
          <w:trHeight w:val="300"/>
        </w:trPr>
        <w:tc>
          <w:tcPr>
            <w:tcW w:w="2343" w:type="pct"/>
            <w:tcBorders>
              <w:top w:val="nil"/>
              <w:left w:val="nil"/>
              <w:bottom w:val="single" w:sz="4" w:space="0" w:color="595959"/>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 xml:space="preserve">13. Общо  текущи разходи </w:t>
            </w:r>
          </w:p>
        </w:tc>
        <w:tc>
          <w:tcPr>
            <w:tcW w:w="642"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35,7</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38,0</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37,0</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40,2</w:t>
            </w:r>
          </w:p>
        </w:tc>
        <w:tc>
          <w:tcPr>
            <w:tcW w:w="503"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39,5</w:t>
            </w:r>
          </w:p>
        </w:tc>
      </w:tr>
      <w:tr w:rsidR="00CD56DA" w:rsidRPr="00F5209C" w:rsidTr="00E7195B">
        <w:trPr>
          <w:trHeight w:val="300"/>
        </w:trPr>
        <w:tc>
          <w:tcPr>
            <w:tcW w:w="2343" w:type="pct"/>
            <w:tcBorders>
              <w:top w:val="nil"/>
              <w:left w:val="nil"/>
              <w:bottom w:val="single" w:sz="4" w:space="0" w:color="595959"/>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14. Брутни спестявания (5-13)</w:t>
            </w:r>
          </w:p>
        </w:tc>
        <w:tc>
          <w:tcPr>
            <w:tcW w:w="642"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5,4</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4,4</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4,4</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4,7</w:t>
            </w:r>
          </w:p>
        </w:tc>
        <w:tc>
          <w:tcPr>
            <w:tcW w:w="503"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5,0</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15. Капиталови трансфери, получени</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0,9</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1,2</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2,0</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1,4</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2,1</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16. Бруто образуване на основен капитал</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3,4</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4,8</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4,7</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sz w:val="20"/>
                <w:szCs w:val="20"/>
              </w:rPr>
            </w:pPr>
            <w:r w:rsidRPr="00F5209C">
              <w:rPr>
                <w:rFonts w:eastAsia="Times New Roman" w:cs="Times New Roman"/>
                <w:b/>
                <w:bCs/>
                <w:sz w:val="20"/>
                <w:szCs w:val="20"/>
              </w:rPr>
              <w:t>5,6</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5,4</w:t>
            </w:r>
          </w:p>
        </w:tc>
      </w:tr>
      <w:tr w:rsidR="00CD56DA" w:rsidRPr="00F5209C" w:rsidTr="00E7195B">
        <w:trPr>
          <w:trHeight w:val="300"/>
        </w:trPr>
        <w:tc>
          <w:tcPr>
            <w:tcW w:w="2343" w:type="pct"/>
            <w:tcBorders>
              <w:top w:val="nil"/>
              <w:left w:val="nil"/>
              <w:bottom w:val="single" w:sz="4" w:space="0" w:color="595959"/>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17. Други капиталови разходи</w:t>
            </w:r>
          </w:p>
        </w:tc>
        <w:tc>
          <w:tcPr>
            <w:tcW w:w="642"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1,1</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0,7</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0,7</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0,5</w:t>
            </w:r>
          </w:p>
        </w:tc>
        <w:tc>
          <w:tcPr>
            <w:tcW w:w="503"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0,5</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18. Общо приходи (% от БВП)</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38,3%</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36,8%</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37,9%</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36,5%</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37,7%</w:t>
            </w:r>
          </w:p>
        </w:tc>
      </w:tr>
      <w:tr w:rsidR="00CD56DA" w:rsidRPr="00F5209C" w:rsidTr="00E7195B">
        <w:trPr>
          <w:trHeight w:val="300"/>
        </w:trPr>
        <w:tc>
          <w:tcPr>
            <w:tcW w:w="2343" w:type="pct"/>
            <w:tcBorders>
              <w:top w:val="nil"/>
              <w:left w:val="nil"/>
              <w:bottom w:val="nil"/>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19. Общо разходи  (% от БВП)</w:t>
            </w:r>
          </w:p>
        </w:tc>
        <w:tc>
          <w:tcPr>
            <w:tcW w:w="642"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36,5%</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36,7%</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37,0%</w:t>
            </w:r>
          </w:p>
        </w:tc>
        <w:tc>
          <w:tcPr>
            <w:tcW w:w="504"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36,6%</w:t>
            </w:r>
          </w:p>
        </w:tc>
        <w:tc>
          <w:tcPr>
            <w:tcW w:w="503" w:type="pct"/>
            <w:tcBorders>
              <w:top w:val="nil"/>
              <w:left w:val="nil"/>
              <w:bottom w:val="nil"/>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36,7%</w:t>
            </w:r>
          </w:p>
        </w:tc>
      </w:tr>
      <w:tr w:rsidR="00CD56DA" w:rsidRPr="00F5209C" w:rsidTr="00E7195B">
        <w:trPr>
          <w:trHeight w:val="300"/>
        </w:trPr>
        <w:tc>
          <w:tcPr>
            <w:tcW w:w="2343" w:type="pct"/>
            <w:tcBorders>
              <w:top w:val="nil"/>
              <w:left w:val="nil"/>
              <w:bottom w:val="single" w:sz="4" w:space="0" w:color="595959"/>
              <w:right w:val="nil"/>
            </w:tcBorders>
            <w:shd w:val="clear" w:color="auto" w:fill="auto"/>
            <w:vAlign w:val="bottom"/>
            <w:hideMark/>
          </w:tcPr>
          <w:p w:rsidR="00CD56DA" w:rsidRPr="00F5209C" w:rsidRDefault="00CD56DA" w:rsidP="00CD56DA">
            <w:pPr>
              <w:spacing w:after="0"/>
              <w:jc w:val="left"/>
              <w:rPr>
                <w:rFonts w:eastAsia="Times New Roman" w:cs="Times New Roman"/>
                <w:b/>
                <w:bCs/>
                <w:sz w:val="20"/>
                <w:szCs w:val="20"/>
              </w:rPr>
            </w:pPr>
            <w:r w:rsidRPr="00F5209C">
              <w:rPr>
                <w:rFonts w:eastAsia="Times New Roman" w:cs="Times New Roman"/>
                <w:b/>
                <w:bCs/>
                <w:sz w:val="20"/>
                <w:szCs w:val="20"/>
              </w:rPr>
              <w:t xml:space="preserve">20. Общ баланс  (% от БВП) </w:t>
            </w:r>
          </w:p>
        </w:tc>
        <w:tc>
          <w:tcPr>
            <w:tcW w:w="642"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1,8%</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0,0%</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0,8%</w:t>
            </w:r>
          </w:p>
        </w:tc>
        <w:tc>
          <w:tcPr>
            <w:tcW w:w="504"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-0,1%</w:t>
            </w:r>
          </w:p>
        </w:tc>
        <w:tc>
          <w:tcPr>
            <w:tcW w:w="503" w:type="pct"/>
            <w:tcBorders>
              <w:top w:val="nil"/>
              <w:left w:val="nil"/>
              <w:bottom w:val="single" w:sz="4" w:space="0" w:color="595959"/>
              <w:right w:val="nil"/>
            </w:tcBorders>
            <w:shd w:val="clear" w:color="auto" w:fill="auto"/>
            <w:noWrap/>
            <w:vAlign w:val="bottom"/>
            <w:hideMark/>
          </w:tcPr>
          <w:p w:rsidR="00CD56DA" w:rsidRPr="00F5209C" w:rsidRDefault="00CD56DA" w:rsidP="00CD56DA">
            <w:pPr>
              <w:spacing w:after="0"/>
              <w:jc w:val="center"/>
              <w:rPr>
                <w:rFonts w:eastAsia="Times New Roman" w:cs="Times New Roman"/>
                <w:b/>
                <w:bCs/>
                <w:color w:val="000000"/>
                <w:sz w:val="20"/>
                <w:szCs w:val="20"/>
              </w:rPr>
            </w:pPr>
            <w:r w:rsidRPr="00F5209C">
              <w:rPr>
                <w:rFonts w:eastAsia="Times New Roman" w:cs="Times New Roman"/>
                <w:b/>
                <w:bCs/>
                <w:color w:val="000000"/>
                <w:sz w:val="20"/>
                <w:szCs w:val="20"/>
              </w:rPr>
              <w:t>1,0%</w:t>
            </w:r>
          </w:p>
        </w:tc>
      </w:tr>
    </w:tbl>
    <w:p w:rsidR="00604658" w:rsidRDefault="00A21BDE" w:rsidP="00DA4EF2">
      <w:pPr>
        <w:spacing w:after="120"/>
        <w:ind w:left="1418" w:hanging="1418"/>
        <w:jc w:val="left"/>
        <w:rPr>
          <w:sz w:val="16"/>
          <w:szCs w:val="16"/>
        </w:rPr>
      </w:pPr>
      <w:r>
        <w:rPr>
          <w:rFonts w:eastAsia="Times New Roman" w:cs="Times New Roman"/>
          <w:sz w:val="20"/>
        </w:rPr>
        <w:t xml:space="preserve">* </w:t>
      </w:r>
      <w:r w:rsidR="00DA4EF2">
        <w:rPr>
          <w:rFonts w:eastAsia="Times New Roman" w:cs="Times New Roman"/>
          <w:sz w:val="20"/>
        </w:rPr>
        <w:t>предварителни данни</w:t>
      </w:r>
      <w:r w:rsidR="00DA4EF2">
        <w:rPr>
          <w:rFonts w:eastAsia="Times New Roman" w:cs="Times New Roman"/>
          <w:sz w:val="20"/>
        </w:rPr>
        <w:tab/>
      </w:r>
      <w:r w:rsidR="00DA4EF2">
        <w:rPr>
          <w:rFonts w:eastAsia="Times New Roman" w:cs="Times New Roman"/>
          <w:sz w:val="20"/>
        </w:rPr>
        <w:tab/>
      </w:r>
      <w:r w:rsidR="00DA4EF2">
        <w:rPr>
          <w:rFonts w:eastAsia="Times New Roman" w:cs="Times New Roman"/>
          <w:sz w:val="20"/>
        </w:rPr>
        <w:tab/>
      </w:r>
      <w:r w:rsidR="00DA4EF2">
        <w:rPr>
          <w:rFonts w:eastAsia="Times New Roman" w:cs="Times New Roman"/>
          <w:sz w:val="20"/>
        </w:rPr>
        <w:tab/>
      </w:r>
      <w:r w:rsidR="00DA4EF2">
        <w:rPr>
          <w:rFonts w:eastAsia="Times New Roman" w:cs="Times New Roman"/>
          <w:sz w:val="20"/>
        </w:rPr>
        <w:tab/>
      </w:r>
      <w:r w:rsidR="00DA4EF2">
        <w:rPr>
          <w:rFonts w:eastAsia="Times New Roman" w:cs="Times New Roman"/>
          <w:sz w:val="20"/>
        </w:rPr>
        <w:tab/>
      </w:r>
      <w:r w:rsidR="00DA4EF2">
        <w:rPr>
          <w:rFonts w:eastAsia="Times New Roman" w:cs="Times New Roman"/>
          <w:sz w:val="20"/>
        </w:rPr>
        <w:tab/>
      </w:r>
      <w:r w:rsidR="00DA4EF2">
        <w:rPr>
          <w:rFonts w:eastAsia="Times New Roman" w:cs="Times New Roman"/>
          <w:sz w:val="20"/>
        </w:rPr>
        <w:tab/>
      </w:r>
      <w:r w:rsidR="00604658" w:rsidRPr="00423C1E">
        <w:rPr>
          <w:sz w:val="16"/>
          <w:szCs w:val="16"/>
        </w:rPr>
        <w:t>Източник: ЕК, МФ, НСИ</w:t>
      </w:r>
    </w:p>
    <w:p w:rsidR="00262669" w:rsidRPr="00DA4EF2" w:rsidRDefault="00262669" w:rsidP="00DA4EF2">
      <w:pPr>
        <w:spacing w:after="120"/>
        <w:ind w:left="1418" w:hanging="1418"/>
        <w:jc w:val="left"/>
        <w:rPr>
          <w:rFonts w:eastAsia="Times New Roman" w:cs="Times New Roman"/>
          <w:sz w:val="20"/>
        </w:rPr>
      </w:pPr>
    </w:p>
    <w:p w:rsidR="00E1730E" w:rsidRPr="00FA06AF" w:rsidRDefault="00E1730E" w:rsidP="00E1730E">
      <w:pPr>
        <w:pStyle w:val="Heading3"/>
        <w:ind w:left="0"/>
        <w:rPr>
          <w:rStyle w:val="Strong"/>
          <w:b/>
          <w:bCs/>
        </w:rPr>
      </w:pPr>
      <w:r>
        <w:rPr>
          <w:rStyle w:val="Strong"/>
          <w:b/>
          <w:bCs/>
        </w:rPr>
        <w:t>консолидиран дълг на сектор „държавно управление“</w:t>
      </w:r>
    </w:p>
    <w:p w:rsidR="00B871B4" w:rsidRDefault="00B871B4" w:rsidP="00B871B4">
      <w:pPr>
        <w:spacing w:after="120"/>
      </w:pPr>
      <w:r>
        <w:t>През 2018 г. консолидираният дълг на сектор „Държавно управление“ бележи спад спрямо нивото, отчетено в края на предходната година, както в номинално изражение, така и като дял от БВП. Дългът възлиза на ниво от 24,4 млрд. лв. при 25,9 млрд. лв. през 2017 г., а стойността на съотношението консолидиран дълг на сектор „Държ</w:t>
      </w:r>
      <w:r w:rsidR="009A555B">
        <w:t>авно управление“/БВП до ниво от 22,3</w:t>
      </w:r>
      <w:r>
        <w:t xml:space="preserve">% при 25,3% през 2017 г. </w:t>
      </w:r>
    </w:p>
    <w:p w:rsidR="00B871B4" w:rsidRDefault="00B871B4" w:rsidP="00B871B4">
      <w:pPr>
        <w:spacing w:after="120"/>
      </w:pPr>
      <w:r>
        <w:t>Основен принос и компонент с най-голямо влияние върху дълга на сектора през следващия тригодишен период продължава да заема подсектор „Централно управление” с дял от около 97,0%. Този фактор обуславя и доминантното значение на политиката по управление на държавния дълг при дефиниране на текущото състояние и перспективите за развитие на консолидираните задължения. Другите два компонента, формиращи сектора – подсектор „Местно управление“ и подсектор „Социалноосигурителни фондове“</w:t>
      </w:r>
      <w:r w:rsidR="009A555B">
        <w:t>,</w:t>
      </w:r>
      <w:r>
        <w:t xml:space="preserve"> имат почти неутрално въздействие върху общия размер на дълга на сектора. </w:t>
      </w:r>
    </w:p>
    <w:p w:rsidR="0000041D" w:rsidRDefault="00B871B4" w:rsidP="00B871B4">
      <w:pPr>
        <w:spacing w:after="120"/>
      </w:pPr>
      <w:r>
        <w:t>В контекста на провежданата бюджетна политика и прогнозите за темпа на</w:t>
      </w:r>
      <w:r w:rsidR="009A555B">
        <w:t xml:space="preserve"> растеж на БВП </w:t>
      </w:r>
      <w:r w:rsidR="003A1FF3" w:rsidRPr="00410E83">
        <w:t>към края на 2019 г. се предвижда дългът на сектора да отбележи стойност от около 24,1 млрд.</w:t>
      </w:r>
      <w:r w:rsidR="003A1FF3">
        <w:t xml:space="preserve"> </w:t>
      </w:r>
      <w:r w:rsidR="003A1FF3" w:rsidRPr="00410E83">
        <w:t>лв. или 20,4% от прогнозното ниво на БВП.</w:t>
      </w:r>
      <w:r w:rsidR="003A1FF3">
        <w:t xml:space="preserve"> За </w:t>
      </w:r>
      <w:r w:rsidR="009A555B">
        <w:t>периода 2020-</w:t>
      </w:r>
      <w:r>
        <w:t>202</w:t>
      </w:r>
      <w:r w:rsidR="00031EE6">
        <w:t>2</w:t>
      </w:r>
      <w:r>
        <w:t xml:space="preserve"> г.</w:t>
      </w:r>
      <w:r w:rsidR="009A555B">
        <w:t>,</w:t>
      </w:r>
      <w:r>
        <w:t xml:space="preserve"> нивото на консолидирания дълг на сектор „Държавно управление“ се очаква да продължи да спада, движейки се в диапазона от 19,8%</w:t>
      </w:r>
      <w:r w:rsidR="009A555B">
        <w:t xml:space="preserve"> до 18,2% от БВП или между 25,1-</w:t>
      </w:r>
      <w:r>
        <w:t xml:space="preserve">26,1 млрд. лв. Прогнозите за относителния дял на консолидирания дълг спрямо БВП остават значително под максимално допустимата референтна стойност на Маастрихтския критерий за конвергенция от 60%, което ще гарантира запазване на равнището на държавна задлъжнялост в устойчиви граници, респ. водещата позиция на Република България сред 28-те държави-членки на ЕС по отношение на </w:t>
      </w:r>
      <w:r w:rsidR="00B6496E">
        <w:t xml:space="preserve">ниското ниво на </w:t>
      </w:r>
      <w:r>
        <w:t>дългова тежест.</w:t>
      </w:r>
    </w:p>
    <w:p w:rsidR="000D20F3" w:rsidRDefault="000D20F3" w:rsidP="00A73D40">
      <w:pPr>
        <w:pStyle w:val="Caption"/>
        <w:spacing w:after="60"/>
        <w:ind w:left="1134" w:hanging="1134"/>
      </w:pPr>
    </w:p>
    <w:p w:rsidR="000D20F3" w:rsidRDefault="000D20F3" w:rsidP="000D20F3"/>
    <w:p w:rsidR="000D20F3" w:rsidRDefault="000D20F3" w:rsidP="000D20F3"/>
    <w:p w:rsidR="000D20F3" w:rsidRDefault="000D20F3" w:rsidP="000D20F3"/>
    <w:p w:rsidR="000D20F3" w:rsidRDefault="000D20F3" w:rsidP="000D20F3"/>
    <w:p w:rsidR="000D20F3" w:rsidRPr="000D20F3" w:rsidRDefault="000D20F3" w:rsidP="000D20F3"/>
    <w:p w:rsidR="0046525C" w:rsidRPr="006D4E08" w:rsidRDefault="0046525C" w:rsidP="00A73D40">
      <w:pPr>
        <w:pStyle w:val="Caption"/>
        <w:spacing w:after="60"/>
        <w:ind w:left="1134" w:hanging="1134"/>
      </w:pPr>
      <w:r w:rsidRPr="00A52E2F">
        <w:t xml:space="preserve">Граф. </w:t>
      </w:r>
      <w:fldSimple w:instr=" STYLEREF 1 \s ">
        <w:r w:rsidR="0034195B">
          <w:rPr>
            <w:noProof/>
          </w:rPr>
          <w:t>II</w:t>
        </w:r>
      </w:fldSimple>
      <w:r w:rsidRPr="005E1F4A">
        <w:noBreakHyphen/>
      </w:r>
      <w:fldSimple w:instr=" SEQ Граф. \* ARABIC \s 1 ">
        <w:r w:rsidR="0034195B">
          <w:rPr>
            <w:noProof/>
          </w:rPr>
          <w:t>1</w:t>
        </w:r>
      </w:fldSimple>
      <w:r w:rsidRPr="00A52E2F">
        <w:t>:</w:t>
      </w:r>
      <w:r w:rsidRPr="00A52E2F">
        <w:tab/>
      </w:r>
      <w:r>
        <w:t>Консолидиран дълг на сектор „Държавно управление“</w:t>
      </w:r>
    </w:p>
    <w:p w:rsidR="00A73D40" w:rsidRDefault="00A73D40" w:rsidP="0055584A"/>
    <w:p w:rsidR="00A73D40" w:rsidRDefault="009A555B" w:rsidP="00AA3396">
      <w:pPr>
        <w:jc w:val="center"/>
      </w:pPr>
      <w:r>
        <w:rPr>
          <w:noProof/>
        </w:rPr>
        <w:drawing>
          <wp:inline distT="0" distB="0" distL="0" distR="0" wp14:anchorId="267B929C" wp14:editId="6DB42796">
            <wp:extent cx="5759450" cy="3778995"/>
            <wp:effectExtent l="0" t="0" r="12700" b="12065"/>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9A555B" w:rsidRDefault="009A555B" w:rsidP="009A555B"/>
    <w:p w:rsidR="00A525DC" w:rsidRPr="00A525DC" w:rsidRDefault="00A525DC" w:rsidP="00A525DC">
      <w:pPr>
        <w:pStyle w:val="Heading3"/>
        <w:ind w:left="0"/>
        <w:rPr>
          <w:rStyle w:val="Strong"/>
          <w:b/>
          <w:bCs/>
        </w:rPr>
      </w:pPr>
      <w:r w:rsidRPr="00A525DC">
        <w:rPr>
          <w:rStyle w:val="Strong"/>
          <w:b/>
          <w:bCs/>
        </w:rPr>
        <w:t>Условни задължения с потенциално значително въздействие върху сектор „Държавно управление“</w:t>
      </w:r>
    </w:p>
    <w:p w:rsidR="0039691F" w:rsidRPr="0039691F" w:rsidRDefault="0039691F" w:rsidP="0039691F">
      <w:pPr>
        <w:spacing w:after="120"/>
        <w:rPr>
          <w:rFonts w:eastAsia="Calibri"/>
          <w:noProof/>
          <w:szCs w:val="24"/>
        </w:rPr>
      </w:pPr>
      <w:r w:rsidRPr="0039691F">
        <w:rPr>
          <w:rFonts w:eastAsia="Calibri"/>
          <w:noProof/>
          <w:szCs w:val="24"/>
        </w:rPr>
        <w:t>Наблюдението и оценката на условните задължения с потенциално значително въздействие върху сектор „Държавно управление“ е важно за поддържането на фискалната устойчивост и управлението на фискалните рискове. Задълженията се наричат условни, тъй като по своята същност те са само потенциални, а не действителни. Това са задължения, които зависят от настъпването на определено събитие в бъдеще, или настоящи задължения, при които няма вероятност за извършване на плащането към държавата или сумата на възможното плащане не може да бъде изчислена по надежден начин.</w:t>
      </w:r>
    </w:p>
    <w:p w:rsidR="0039691F" w:rsidRPr="0039691F" w:rsidRDefault="0039691F" w:rsidP="0039691F">
      <w:pPr>
        <w:spacing w:after="120"/>
        <w:rPr>
          <w:rFonts w:eastAsia="Calibri"/>
          <w:noProof/>
          <w:szCs w:val="24"/>
        </w:rPr>
      </w:pPr>
      <w:r w:rsidRPr="0039691F">
        <w:rPr>
          <w:rFonts w:eastAsia="Calibri"/>
          <w:noProof/>
          <w:szCs w:val="24"/>
        </w:rPr>
        <w:t xml:space="preserve">Средносрочната бюджетна прогноза </w:t>
      </w:r>
      <w:r w:rsidR="006160DB">
        <w:rPr>
          <w:rFonts w:eastAsia="Calibri"/>
          <w:noProof/>
          <w:szCs w:val="24"/>
        </w:rPr>
        <w:t>и нейната актуализ</w:t>
      </w:r>
      <w:r w:rsidR="00AB4D1E">
        <w:rPr>
          <w:rFonts w:eastAsia="Calibri"/>
          <w:noProof/>
          <w:szCs w:val="24"/>
        </w:rPr>
        <w:t>а</w:t>
      </w:r>
      <w:r w:rsidR="006160DB">
        <w:rPr>
          <w:rFonts w:eastAsia="Calibri"/>
          <w:noProof/>
          <w:szCs w:val="24"/>
        </w:rPr>
        <w:t xml:space="preserve">ция </w:t>
      </w:r>
      <w:r w:rsidRPr="0039691F">
        <w:rPr>
          <w:rFonts w:eastAsia="Calibri"/>
          <w:noProof/>
          <w:szCs w:val="24"/>
        </w:rPr>
        <w:t>предоставя</w:t>
      </w:r>
      <w:r w:rsidR="006160DB">
        <w:rPr>
          <w:rFonts w:eastAsia="Calibri"/>
          <w:noProof/>
          <w:szCs w:val="24"/>
        </w:rPr>
        <w:t>т</w:t>
      </w:r>
      <w:r w:rsidRPr="0039691F">
        <w:rPr>
          <w:rFonts w:eastAsia="Calibri"/>
          <w:noProof/>
          <w:szCs w:val="24"/>
        </w:rPr>
        <w:t xml:space="preserve"> информация за условните задължения с потенциално значително въздействие върху сектор „Държавно управление“, включително на равнище подсектори на сектора, съгласно изискванията на чл. 73</w:t>
      </w:r>
      <w:r w:rsidR="006160DB">
        <w:rPr>
          <w:rFonts w:eastAsia="Calibri"/>
          <w:noProof/>
          <w:szCs w:val="24"/>
        </w:rPr>
        <w:t>,</w:t>
      </w:r>
      <w:r w:rsidRPr="0039691F">
        <w:rPr>
          <w:rFonts w:eastAsia="Calibri"/>
          <w:noProof/>
          <w:szCs w:val="24"/>
        </w:rPr>
        <w:t xml:space="preserve"> т. 8 от Закона за публичните финанси, което е в съответствие с чл. 14, параграф 3 от Директива 2011/85/ЕС относно изискванията за бюдже</w:t>
      </w:r>
      <w:r w:rsidR="00865AF3">
        <w:rPr>
          <w:rFonts w:eastAsia="Calibri"/>
          <w:noProof/>
          <w:szCs w:val="24"/>
        </w:rPr>
        <w:t xml:space="preserve">тните рамки на държавите </w:t>
      </w:r>
      <w:r>
        <w:rPr>
          <w:rFonts w:eastAsia="Calibri"/>
          <w:noProof/>
          <w:szCs w:val="24"/>
        </w:rPr>
        <w:t>членки</w:t>
      </w:r>
      <w:r>
        <w:rPr>
          <w:rStyle w:val="FootnoteReference"/>
          <w:rFonts w:eastAsia="Calibri"/>
          <w:noProof/>
          <w:szCs w:val="24"/>
        </w:rPr>
        <w:footnoteReference w:id="18"/>
      </w:r>
      <w:r w:rsidRPr="0039691F">
        <w:rPr>
          <w:rFonts w:eastAsia="Calibri"/>
          <w:noProof/>
          <w:szCs w:val="24"/>
        </w:rPr>
        <w:t xml:space="preserve">. </w:t>
      </w:r>
    </w:p>
    <w:p w:rsidR="0039691F" w:rsidRPr="0039691F" w:rsidRDefault="0039691F" w:rsidP="0039691F">
      <w:pPr>
        <w:spacing w:after="120"/>
        <w:rPr>
          <w:rFonts w:eastAsia="Calibri"/>
          <w:noProof/>
          <w:szCs w:val="24"/>
        </w:rPr>
      </w:pPr>
      <w:r w:rsidRPr="0039691F">
        <w:rPr>
          <w:rFonts w:eastAsia="Calibri"/>
          <w:noProof/>
          <w:szCs w:val="24"/>
        </w:rPr>
        <w:t>Условните задължения включват:</w:t>
      </w:r>
    </w:p>
    <w:p w:rsidR="0039691F" w:rsidRPr="0039691F" w:rsidRDefault="0039691F" w:rsidP="003403BF">
      <w:pPr>
        <w:pStyle w:val="ListParagraph"/>
        <w:numPr>
          <w:ilvl w:val="0"/>
          <w:numId w:val="41"/>
        </w:numPr>
        <w:rPr>
          <w:rFonts w:eastAsia="Calibri"/>
          <w:noProof/>
          <w:szCs w:val="24"/>
        </w:rPr>
      </w:pPr>
      <w:r w:rsidRPr="0039691F">
        <w:rPr>
          <w:rFonts w:eastAsia="Calibri"/>
          <w:noProof/>
          <w:szCs w:val="24"/>
        </w:rPr>
        <w:t>задължения, произтичащи от дейността на публичните дружества;</w:t>
      </w:r>
    </w:p>
    <w:p w:rsidR="0039691F" w:rsidRPr="0039691F" w:rsidRDefault="0039691F" w:rsidP="003403BF">
      <w:pPr>
        <w:pStyle w:val="ListParagraph"/>
        <w:numPr>
          <w:ilvl w:val="0"/>
          <w:numId w:val="41"/>
        </w:numPr>
        <w:rPr>
          <w:rFonts w:eastAsia="Calibri"/>
          <w:noProof/>
          <w:szCs w:val="24"/>
        </w:rPr>
      </w:pPr>
      <w:r w:rsidRPr="0039691F">
        <w:rPr>
          <w:rFonts w:eastAsia="Calibri"/>
          <w:noProof/>
          <w:szCs w:val="24"/>
        </w:rPr>
        <w:t>гарантиран дълг на сектор „Държавно управление“;</w:t>
      </w:r>
    </w:p>
    <w:p w:rsidR="0039691F" w:rsidRPr="0039691F" w:rsidRDefault="0039691F" w:rsidP="003403BF">
      <w:pPr>
        <w:pStyle w:val="ListParagraph"/>
        <w:numPr>
          <w:ilvl w:val="0"/>
          <w:numId w:val="41"/>
        </w:numPr>
        <w:rPr>
          <w:rFonts w:eastAsia="Calibri"/>
          <w:noProof/>
          <w:szCs w:val="24"/>
        </w:rPr>
      </w:pPr>
      <w:r w:rsidRPr="0039691F">
        <w:rPr>
          <w:rFonts w:eastAsia="Calibri"/>
          <w:noProof/>
          <w:szCs w:val="24"/>
        </w:rPr>
        <w:t>необслужвани кредити;</w:t>
      </w:r>
    </w:p>
    <w:p w:rsidR="0039691F" w:rsidRPr="00696102" w:rsidRDefault="0039691F" w:rsidP="009A555B">
      <w:pPr>
        <w:pStyle w:val="ListParagraph"/>
        <w:numPr>
          <w:ilvl w:val="0"/>
          <w:numId w:val="41"/>
        </w:numPr>
        <w:rPr>
          <w:rFonts w:eastAsia="Calibri"/>
          <w:noProof/>
          <w:szCs w:val="24"/>
        </w:rPr>
      </w:pPr>
      <w:r w:rsidRPr="0039691F">
        <w:rPr>
          <w:rFonts w:eastAsia="Calibri"/>
          <w:noProof/>
          <w:szCs w:val="24"/>
        </w:rPr>
        <w:t>задължения, свързани с публично-частни партньорства.</w:t>
      </w:r>
    </w:p>
    <w:p w:rsidR="009A555B" w:rsidRDefault="009A555B" w:rsidP="00C70181">
      <w:pPr>
        <w:spacing w:after="120"/>
        <w:rPr>
          <w:rFonts w:eastAsia="Calibri"/>
          <w:noProof/>
          <w:szCs w:val="24"/>
          <w:highlight w:val="yellow"/>
        </w:rPr>
      </w:pPr>
    </w:p>
    <w:p w:rsidR="00FB07B4" w:rsidRPr="00400F02" w:rsidRDefault="005706D9" w:rsidP="00FB07B4">
      <w:pPr>
        <w:pStyle w:val="Caption"/>
      </w:pPr>
      <w:r w:rsidRPr="00A52E2F">
        <w:t xml:space="preserve">Граф. </w:t>
      </w:r>
      <w:fldSimple w:instr=" STYLEREF 1 \s ">
        <w:r w:rsidR="0034195B">
          <w:rPr>
            <w:noProof/>
          </w:rPr>
          <w:t>II</w:t>
        </w:r>
      </w:fldSimple>
      <w:r w:rsidRPr="005E1F4A">
        <w:noBreakHyphen/>
      </w:r>
      <w:fldSimple w:instr=" SEQ Граф. \* ARABIC \s 1 ">
        <w:r w:rsidR="0034195B">
          <w:rPr>
            <w:noProof/>
          </w:rPr>
          <w:t>2</w:t>
        </w:r>
      </w:fldSimple>
      <w:r w:rsidR="00FB07B4" w:rsidRPr="00400F02">
        <w:t>:</w:t>
      </w:r>
      <w:r w:rsidR="00FB07B4" w:rsidRPr="00400F02">
        <w:tab/>
      </w:r>
      <w:r w:rsidR="00FB07B4" w:rsidRPr="007003F4">
        <w:t xml:space="preserve">Разпределение на </w:t>
      </w:r>
      <w:r w:rsidR="00FB07B4">
        <w:t>условните задължения на сектор „Държавно управление“</w:t>
      </w:r>
      <w:r w:rsidR="00FB07B4" w:rsidRPr="007003F4">
        <w:t>, % от БВП</w:t>
      </w:r>
      <w:r w:rsidR="00FB07B4">
        <w:t xml:space="preserve"> </w:t>
      </w:r>
    </w:p>
    <w:p w:rsidR="00052658" w:rsidRDefault="00FC36AE" w:rsidP="00052658">
      <w:pPr>
        <w:pStyle w:val="Caption"/>
        <w:ind w:left="0" w:firstLine="0"/>
        <w:rPr>
          <w:noProof/>
        </w:rPr>
      </w:pPr>
      <w:r>
        <w:rPr>
          <w:noProof/>
        </w:rPr>
        <w:drawing>
          <wp:inline distT="0" distB="0" distL="0" distR="0" wp14:anchorId="335F992F" wp14:editId="758464EE">
            <wp:extent cx="5759450" cy="4115797"/>
            <wp:effectExtent l="0" t="0" r="12700" b="1841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B07B4" w:rsidRPr="00423C1E" w:rsidRDefault="00F040C8" w:rsidP="00FB07B4">
      <w:pPr>
        <w:ind w:firstLine="7513"/>
        <w:rPr>
          <w:rFonts w:eastAsia="Calibri"/>
          <w:noProof/>
          <w:sz w:val="18"/>
          <w:szCs w:val="18"/>
        </w:rPr>
      </w:pPr>
      <w:r>
        <w:rPr>
          <w:rFonts w:eastAsia="Calibri"/>
          <w:noProof/>
          <w:sz w:val="18"/>
          <w:szCs w:val="18"/>
        </w:rPr>
        <w:t xml:space="preserve">   </w:t>
      </w:r>
      <w:r w:rsidR="00FB07B4" w:rsidRPr="00423C1E">
        <w:rPr>
          <w:rFonts w:eastAsia="Calibri"/>
          <w:noProof/>
          <w:sz w:val="18"/>
          <w:szCs w:val="18"/>
        </w:rPr>
        <w:t xml:space="preserve">Източник: НСИ </w:t>
      </w:r>
    </w:p>
    <w:p w:rsidR="00FC36AE" w:rsidRDefault="00FC36AE" w:rsidP="0051695D">
      <w:pPr>
        <w:spacing w:before="120" w:after="120"/>
        <w:rPr>
          <w:rFonts w:eastAsia="Calibri"/>
          <w:noProof/>
          <w:szCs w:val="24"/>
          <w:highlight w:val="yellow"/>
        </w:rPr>
      </w:pPr>
    </w:p>
    <w:p w:rsidR="00FC36AE" w:rsidRPr="00FC36AE" w:rsidRDefault="00FC36AE" w:rsidP="00FC36AE">
      <w:pPr>
        <w:spacing w:after="120"/>
        <w:rPr>
          <w:rFonts w:eastAsia="Calibri"/>
          <w:noProof/>
          <w:szCs w:val="24"/>
        </w:rPr>
      </w:pPr>
      <w:r w:rsidRPr="00FC36AE">
        <w:rPr>
          <w:rFonts w:eastAsia="Calibri"/>
          <w:noProof/>
          <w:szCs w:val="24"/>
        </w:rPr>
        <w:t>За отчетния период информацията за условните задължения по видове показва, че най-високо е нивото на задълженията на държавно-контролираните предприятия, класифицирани извън сектор „Държавно управление“. Техният общ размер е 10,4% от БВП (10,5 млрд. лв.), като задълженията на финансовите предприятия са само 3,11%, а на нефинансовите 7,29% от БВП. От тях под наблюдение, във връзка с потенциално значително влияние върху условните задължения на сектор „Държавно управление“, са всички държавни и общински предприятия с общ размер на задълженията към 31.12.2018 г. над 0,1% от БВП, които не са част от консолидираната фискална програма и не попадат в обхвата на сектор „Държавно управление“. Тези предприятия представят отчет и прогнози за приходите и разходите, както и за активите и пасивите си до 2022 г. Отчетеният към 31.12.2018 г. общ размер на дългосрочните и краткосрочните задължения на тези дружества е в размер на 8,93 млрд. лв. или 8,14% от БВП, като към края на 2022 г. очакванията са този дял да намалее до 6,36% от БВП. Сумарният им коефициент на задлъжнялост се очаква да се понижи от 1,13 към 31.12.2018 г. до 1,03 в края на прогнозния период, а съотношението на дълга спрямо активите им да намалее от 53% към края на 2018 г. до 51% през 2022 г. Коефициентът им на ликвидност се очаква да се повиши от 1,74 през 2018 г. до 1,89 в средносрочен период.</w:t>
      </w:r>
    </w:p>
    <w:p w:rsidR="00FC36AE" w:rsidRDefault="00FC36AE" w:rsidP="00FC36AE">
      <w:pPr>
        <w:spacing w:after="120"/>
        <w:rPr>
          <w:rFonts w:eastAsia="Calibri"/>
          <w:noProof/>
          <w:szCs w:val="24"/>
        </w:rPr>
      </w:pPr>
      <w:r w:rsidRPr="00FC36AE">
        <w:rPr>
          <w:rFonts w:eastAsia="Calibri"/>
          <w:noProof/>
          <w:szCs w:val="24"/>
        </w:rPr>
        <w:t>Нивото на задълженията на държавните предприятия с потенциално значително въздействие върху сектор „Държавно управление“ е по-ниско в сравнение със средното н</w:t>
      </w:r>
      <w:r>
        <w:rPr>
          <w:rFonts w:eastAsia="Calibri"/>
          <w:noProof/>
          <w:szCs w:val="24"/>
        </w:rPr>
        <w:t>иво на задлъжнялост в ЕС, от 37,</w:t>
      </w:r>
      <w:r w:rsidRPr="00FC36AE">
        <w:rPr>
          <w:rFonts w:eastAsia="Calibri"/>
          <w:noProof/>
          <w:szCs w:val="24"/>
        </w:rPr>
        <w:t>95% за 2017 г.</w:t>
      </w:r>
      <w:r>
        <w:rPr>
          <w:rStyle w:val="FootnoteReference"/>
          <w:rFonts w:eastAsia="Calibri"/>
          <w:noProof/>
          <w:szCs w:val="24"/>
        </w:rPr>
        <w:footnoteReference w:id="19"/>
      </w:r>
    </w:p>
    <w:p w:rsidR="00FC36AE" w:rsidRDefault="00FC36AE" w:rsidP="0051695D">
      <w:pPr>
        <w:spacing w:before="120" w:after="120"/>
        <w:rPr>
          <w:rFonts w:eastAsia="Calibri"/>
          <w:noProof/>
          <w:szCs w:val="24"/>
          <w:highlight w:val="yellow"/>
        </w:rPr>
      </w:pPr>
    </w:p>
    <w:p w:rsidR="003617B0" w:rsidRDefault="005706D9" w:rsidP="003617B0">
      <w:pPr>
        <w:pStyle w:val="Caption"/>
        <w:spacing w:before="240" w:after="240"/>
      </w:pPr>
      <w:r w:rsidRPr="00A52E2F">
        <w:t xml:space="preserve">Граф. </w:t>
      </w:r>
      <w:fldSimple w:instr=" STYLEREF 1 \s ">
        <w:r w:rsidR="0034195B">
          <w:rPr>
            <w:noProof/>
          </w:rPr>
          <w:t>II</w:t>
        </w:r>
      </w:fldSimple>
      <w:r w:rsidRPr="005E1F4A">
        <w:noBreakHyphen/>
      </w:r>
      <w:fldSimple w:instr=" SEQ Граф. \* ARABIC \s 1 ">
        <w:r w:rsidR="0034195B">
          <w:rPr>
            <w:noProof/>
          </w:rPr>
          <w:t>3</w:t>
        </w:r>
      </w:fldSimple>
      <w:r w:rsidRPr="00400F02">
        <w:t>:</w:t>
      </w:r>
      <w:r w:rsidR="00FB07B4" w:rsidRPr="00400F02">
        <w:tab/>
      </w:r>
      <w:r w:rsidR="00FB07B4" w:rsidRPr="007003F4">
        <w:t>Задължения на държавно контролирани предприят</w:t>
      </w:r>
      <w:r w:rsidR="00FB07B4">
        <w:t>ия, класифицирани извън сектор „</w:t>
      </w:r>
      <w:r w:rsidR="00FB07B4" w:rsidRPr="007003F4">
        <w:t>Дъ</w:t>
      </w:r>
      <w:r w:rsidR="00FB07B4">
        <w:t>ржавно управление“</w:t>
      </w:r>
      <w:r w:rsidR="00FB07B4" w:rsidRPr="007003F4">
        <w:t>, % от БВП</w:t>
      </w:r>
      <w:r w:rsidR="00FB07B4">
        <w:t xml:space="preserve"> </w:t>
      </w:r>
    </w:p>
    <w:p w:rsidR="003617B0" w:rsidRDefault="003617B0" w:rsidP="003617B0">
      <w:r w:rsidRPr="00E34B56">
        <w:rPr>
          <w:noProof/>
        </w:rPr>
        <w:drawing>
          <wp:inline distT="0" distB="0" distL="0" distR="0" wp14:anchorId="7320FBE3" wp14:editId="536C365D">
            <wp:extent cx="5643563" cy="3476625"/>
            <wp:effectExtent l="0" t="0" r="14605" b="952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B07B4" w:rsidRPr="00423C1E" w:rsidRDefault="00FB07B4" w:rsidP="00FB07B4">
      <w:pPr>
        <w:ind w:firstLine="7513"/>
        <w:rPr>
          <w:rFonts w:eastAsia="Calibri"/>
          <w:noProof/>
          <w:sz w:val="18"/>
          <w:szCs w:val="18"/>
        </w:rPr>
      </w:pPr>
      <w:r w:rsidRPr="00423C1E">
        <w:rPr>
          <w:rFonts w:eastAsia="Calibri"/>
          <w:noProof/>
          <w:sz w:val="18"/>
          <w:szCs w:val="18"/>
        </w:rPr>
        <w:t xml:space="preserve">Източник: НСИ </w:t>
      </w:r>
    </w:p>
    <w:p w:rsidR="00FC36AE" w:rsidRDefault="00FC36AE" w:rsidP="00956A53">
      <w:pPr>
        <w:spacing w:after="120"/>
        <w:rPr>
          <w:rFonts w:eastAsia="Calibri"/>
          <w:noProof/>
          <w:szCs w:val="24"/>
          <w:highlight w:val="yellow"/>
        </w:rPr>
      </w:pPr>
    </w:p>
    <w:p w:rsidR="00FC36AE" w:rsidRPr="009A555B" w:rsidRDefault="00FC36AE" w:rsidP="00FC36AE">
      <w:pPr>
        <w:spacing w:after="120"/>
        <w:rPr>
          <w:rFonts w:eastAsia="Calibri"/>
          <w:noProof/>
          <w:szCs w:val="24"/>
        </w:rPr>
      </w:pPr>
      <w:r w:rsidRPr="009A555B">
        <w:rPr>
          <w:rFonts w:eastAsia="Calibri"/>
          <w:noProof/>
          <w:szCs w:val="24"/>
        </w:rPr>
        <w:t xml:space="preserve">Гарантираният дълг на сектор „Държавно управление“ към края на 2019 г. се очаква да възлезе на около </w:t>
      </w:r>
      <w:r w:rsidRPr="00902743">
        <w:rPr>
          <w:rFonts w:eastAsia="Calibri"/>
          <w:noProof/>
          <w:szCs w:val="24"/>
        </w:rPr>
        <w:t>146,7</w:t>
      </w:r>
      <w:r w:rsidR="004F65CF">
        <w:rPr>
          <w:rFonts w:eastAsia="Calibri"/>
          <w:noProof/>
          <w:szCs w:val="24"/>
        </w:rPr>
        <w:t xml:space="preserve"> </w:t>
      </w:r>
      <w:r w:rsidRPr="00902743">
        <w:rPr>
          <w:rFonts w:eastAsia="Calibri"/>
          <w:noProof/>
          <w:szCs w:val="24"/>
        </w:rPr>
        <w:t>млн. лв. или 0,1</w:t>
      </w:r>
      <w:r w:rsidRPr="009A555B">
        <w:rPr>
          <w:rFonts w:eastAsia="Calibri"/>
          <w:noProof/>
          <w:szCs w:val="24"/>
        </w:rPr>
        <w:t>% от БВП. Дългът се формира главно от издадените от подсектор „Централно управление“ гаранции. През периода 2020-2022 г. планираният номинален размер на гарантирания дълг на сектор „Държавно управление“ ще се увеличи като достигне до около 330,0 млн. лв. в края на периода, а като съотношение ще възлезе на около 0,2% спрямо прогнозния БВП (предвид прогнозите за положителна динамика на икономическия растеж). Предвижданото увеличение на номиналната стойност на дълга е вследствие на очакванията за стартиране изпълнението на проекта „Междусистемна газова връзка Гърция-България“, финансиран с държавногарантиран заем от Европейската инвестиционна банка (в изпълнение на чл.</w:t>
      </w:r>
      <w:r>
        <w:rPr>
          <w:rFonts w:eastAsia="Calibri"/>
          <w:noProof/>
          <w:szCs w:val="24"/>
        </w:rPr>
        <w:t xml:space="preserve"> </w:t>
      </w:r>
      <w:r w:rsidRPr="009A555B">
        <w:rPr>
          <w:rFonts w:eastAsia="Calibri"/>
          <w:noProof/>
          <w:szCs w:val="24"/>
        </w:rPr>
        <w:t>70, ал.</w:t>
      </w:r>
      <w:r>
        <w:rPr>
          <w:rFonts w:eastAsia="Calibri"/>
          <w:noProof/>
          <w:szCs w:val="24"/>
        </w:rPr>
        <w:t xml:space="preserve"> </w:t>
      </w:r>
      <w:r w:rsidRPr="009A555B">
        <w:rPr>
          <w:rFonts w:eastAsia="Calibri"/>
          <w:noProof/>
          <w:szCs w:val="24"/>
        </w:rPr>
        <w:t xml:space="preserve">2 от Закона за държания бюджет </w:t>
      </w:r>
      <w:r>
        <w:rPr>
          <w:rFonts w:eastAsia="Calibri"/>
          <w:noProof/>
          <w:szCs w:val="24"/>
        </w:rPr>
        <w:t xml:space="preserve">на Република България </w:t>
      </w:r>
      <w:r w:rsidRPr="009A555B">
        <w:rPr>
          <w:rFonts w:eastAsia="Calibri"/>
          <w:noProof/>
          <w:szCs w:val="24"/>
        </w:rPr>
        <w:t xml:space="preserve">за 2019 г.). </w:t>
      </w:r>
    </w:p>
    <w:p w:rsidR="00FC36AE" w:rsidRPr="00F52066" w:rsidRDefault="00FC36AE" w:rsidP="00FC36AE">
      <w:pPr>
        <w:spacing w:after="120"/>
        <w:rPr>
          <w:rFonts w:eastAsia="Calibri"/>
          <w:noProof/>
          <w:szCs w:val="24"/>
        </w:rPr>
      </w:pPr>
      <w:r w:rsidRPr="009A555B">
        <w:rPr>
          <w:rFonts w:eastAsia="Calibri"/>
          <w:noProof/>
          <w:szCs w:val="24"/>
        </w:rPr>
        <w:t xml:space="preserve">Основната част от гарантирания дълг на сектор „Държавно управление“ представляват задължения към външни кредитори с дял от 51%. В отрасловата структура на гаранциите през 2019 г. доминиращ дял от около 48% заемат издадените гаранции по реда на Закона за кредитиране на студенти и докторанти, следвани от сектор „Енергетика“ и „Финансов“ сектор в размер на 46% и други гаранции около 6%. Към края на периода 2020-2022 г. в следствие на планираните усвоявания за реализацията на </w:t>
      </w:r>
      <w:r w:rsidRPr="00F52066">
        <w:rPr>
          <w:rFonts w:eastAsia="Calibri"/>
          <w:noProof/>
          <w:szCs w:val="24"/>
        </w:rPr>
        <w:t>проекта „Междусистемна газова връзка Гърция-България“ делът на сектор „Енергетика“ ще възлезе на 65% от издадените към момента гаранции на сектора.</w:t>
      </w:r>
    </w:p>
    <w:p w:rsidR="00F52066" w:rsidRPr="00F52066" w:rsidRDefault="00F52066" w:rsidP="00F52066">
      <w:pPr>
        <w:spacing w:after="120"/>
        <w:rPr>
          <w:rFonts w:eastAsia="Calibri" w:cs="Times New Roman"/>
          <w:szCs w:val="24"/>
          <w:lang w:eastAsia="en-US"/>
        </w:rPr>
      </w:pPr>
      <w:r w:rsidRPr="00F52066">
        <w:rPr>
          <w:rFonts w:eastAsia="Calibri" w:cs="Times New Roman"/>
          <w:szCs w:val="24"/>
          <w:lang w:eastAsia="en-US"/>
        </w:rPr>
        <w:t>Коригирана капиталова стойност на извънбалансовите публично-частно партньорства (ПЧП) не се докладва, тъй като към момента в България няма ПЧП, които да отговарят на дефиницията на ЕСА 2010 за ПЧП. Методологията ЕСА 2010 препор</w:t>
      </w:r>
      <w:r w:rsidR="00C1779E">
        <w:rPr>
          <w:rFonts w:eastAsia="Calibri" w:cs="Times New Roman"/>
          <w:szCs w:val="24"/>
          <w:lang w:eastAsia="en-US"/>
        </w:rPr>
        <w:t>ъчва да се използва термина ПЧП</w:t>
      </w:r>
      <w:r w:rsidRPr="00F52066">
        <w:rPr>
          <w:rFonts w:eastAsia="Calibri" w:cs="Times New Roman"/>
          <w:szCs w:val="24"/>
          <w:lang w:eastAsia="en-US"/>
        </w:rPr>
        <w:t xml:space="preserve"> само за тези договори, където правителството е основният купувач на услугата.</w:t>
      </w:r>
    </w:p>
    <w:p w:rsidR="00762673" w:rsidRDefault="00F52066" w:rsidP="00FC36AE">
      <w:pPr>
        <w:spacing w:after="120"/>
        <w:rPr>
          <w:rFonts w:eastAsia="Calibri" w:cs="Times New Roman"/>
          <w:szCs w:val="24"/>
          <w:lang w:eastAsia="en-US"/>
        </w:rPr>
      </w:pPr>
      <w:r w:rsidRPr="00F52066">
        <w:rPr>
          <w:rFonts w:eastAsia="Calibri" w:cs="Times New Roman"/>
          <w:szCs w:val="24"/>
          <w:lang w:eastAsia="en-US"/>
        </w:rPr>
        <w:t>Необслужваните заеми към сектор „Държавно управление“ са само в сектор</w:t>
      </w:r>
      <w:r>
        <w:rPr>
          <w:rFonts w:eastAsia="Calibri" w:cs="Times New Roman"/>
          <w:szCs w:val="24"/>
          <w:lang w:eastAsia="en-US"/>
        </w:rPr>
        <w:t xml:space="preserve"> „Централно управление“ и се запазват за последните пет години на ниво под 0,1% от БВП. Това е под средното за ЕС от 0,65% от БВП</w:t>
      </w:r>
    </w:p>
    <w:p w:rsidR="003D69EC" w:rsidRDefault="003D69EC" w:rsidP="00FC36AE">
      <w:pPr>
        <w:spacing w:after="120"/>
        <w:rPr>
          <w:rFonts w:eastAsia="Calibri" w:cs="Times New Roman"/>
          <w:szCs w:val="24"/>
          <w:lang w:eastAsia="en-US"/>
        </w:rPr>
        <w:sectPr w:rsidR="003D69EC" w:rsidSect="00FF16A0">
          <w:headerReference w:type="first" r:id="rId26"/>
          <w:pgSz w:w="11906" w:h="16838" w:code="9"/>
          <w:pgMar w:top="1418" w:right="1418" w:bottom="851" w:left="1418" w:header="708" w:footer="708" w:gutter="0"/>
          <w:cols w:space="708"/>
          <w:titlePg/>
          <w:docGrid w:linePitch="360"/>
        </w:sectPr>
      </w:pPr>
    </w:p>
    <w:p w:rsidR="003D69EC" w:rsidRDefault="0034195B" w:rsidP="00FC36AE">
      <w:pPr>
        <w:spacing w:after="120"/>
        <w:rPr>
          <w:rFonts w:eastAsia="Calibri" w:cs="Times New Roman"/>
          <w:szCs w:val="24"/>
          <w:lang w:eastAsia="en-US"/>
        </w:rPr>
      </w:pPr>
      <w:r w:rsidRPr="00710C44">
        <w:rPr>
          <w:noProof/>
        </w:rPr>
        <mc:AlternateContent>
          <mc:Choice Requires="wps">
            <w:drawing>
              <wp:anchor distT="0" distB="0" distL="114300" distR="114300" simplePos="0" relativeHeight="251655168" behindDoc="1" locked="0" layoutInCell="1" allowOverlap="1" wp14:anchorId="796E7435" wp14:editId="1D6D2113">
                <wp:simplePos x="0" y="0"/>
                <wp:positionH relativeFrom="column">
                  <wp:posOffset>-860425</wp:posOffset>
                </wp:positionH>
                <wp:positionV relativeFrom="paragraph">
                  <wp:posOffset>-835254</wp:posOffset>
                </wp:positionV>
                <wp:extent cx="7560860" cy="2304000"/>
                <wp:effectExtent l="0" t="0" r="2540" b="1270"/>
                <wp:wrapNone/>
                <wp:docPr id="676" name="Rectangle 676"/>
                <wp:cNvGraphicFramePr/>
                <a:graphic xmlns:a="http://schemas.openxmlformats.org/drawingml/2006/main">
                  <a:graphicData uri="http://schemas.microsoft.com/office/word/2010/wordprocessingShape">
                    <wps:wsp>
                      <wps:cNvSpPr/>
                      <wps:spPr>
                        <a:xfrm>
                          <a:off x="0" y="0"/>
                          <a:ext cx="756086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CAAD777" id="Rectangle 676" o:spid="_x0000_s1026" style="position:absolute;margin-left:-67.75pt;margin-top:-65.75pt;width:595.35pt;height:181.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" fillcolor="#f8cec7 [662]" stroked="f" strokeweight="1pt"/>
            </w:pict>
          </mc:Fallback>
        </mc:AlternateContent>
      </w:r>
    </w:p>
    <w:p w:rsidR="00DC3B68" w:rsidRDefault="00710C44" w:rsidP="002B1A92">
      <w:pPr>
        <w:pStyle w:val="Heading1"/>
      </w:pPr>
      <w:bookmarkStart w:id="376" w:name="_Toc23337476"/>
      <w:bookmarkStart w:id="377" w:name="_Toc464459725"/>
      <w:bookmarkStart w:id="378" w:name="_Toc464460680"/>
      <w:bookmarkStart w:id="379" w:name="_Toc464463079"/>
      <w:bookmarkStart w:id="380" w:name="_Toc464464906"/>
      <w:bookmarkStart w:id="381" w:name="_Toc464465412"/>
      <w:bookmarkStart w:id="382" w:name="_Toc464465600"/>
      <w:bookmarkStart w:id="383" w:name="_Toc464466425"/>
      <w:bookmarkStart w:id="384" w:name="_Toc464466669"/>
      <w:bookmarkStart w:id="385" w:name="_Toc464466727"/>
      <w:bookmarkStart w:id="386" w:name="_Toc464470231"/>
      <w:bookmarkStart w:id="387" w:name="_Toc464644981"/>
      <w:bookmarkStart w:id="388" w:name="_Toc464646363"/>
      <w:r w:rsidRPr="00710C44">
        <w:rPr>
          <w:noProof/>
        </w:rPr>
        <mc:AlternateContent>
          <mc:Choice Requires="wps">
            <w:drawing>
              <wp:anchor distT="0" distB="0" distL="114300" distR="114300" simplePos="0" relativeHeight="251660288" behindDoc="0" locked="0" layoutInCell="1" allowOverlap="1" wp14:anchorId="7E9A8747" wp14:editId="0944A389">
                <wp:simplePos x="0" y="0"/>
                <wp:positionH relativeFrom="column">
                  <wp:posOffset>-861695</wp:posOffset>
                </wp:positionH>
                <wp:positionV relativeFrom="paragraph">
                  <wp:posOffset>1215314</wp:posOffset>
                </wp:positionV>
                <wp:extent cx="7560310" cy="0"/>
                <wp:effectExtent l="0" t="0" r="21590" b="19050"/>
                <wp:wrapNone/>
                <wp:docPr id="687" name="Straight Connector 687"/>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70DEC5" id="Straight Connector 687"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67.85pt,95.7pt" to="527.45pt,9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" strokecolor="#b32c16 [3206]"/>
            </w:pict>
          </mc:Fallback>
        </mc:AlternateContent>
      </w:r>
      <w:bookmarkStart w:id="389" w:name="_Toc465205512"/>
      <w:r w:rsidR="007B7BDC">
        <w:br/>
      </w:r>
      <w:r w:rsidR="007B7BDC" w:rsidRPr="00710C44">
        <w:rPr>
          <w:color w:val="auto"/>
        </w:rPr>
        <w:t>Приоритети на политиките и о</w:t>
      </w:r>
      <w:r w:rsidR="002A37C0">
        <w:rPr>
          <w:color w:val="auto"/>
        </w:rPr>
        <w:t>сновни допускания за периода 2020</w:t>
      </w:r>
      <w:r w:rsidR="007B7BDC" w:rsidRPr="00710C44">
        <w:rPr>
          <w:color w:val="auto"/>
        </w:rPr>
        <w:t>-20</w:t>
      </w:r>
      <w:r w:rsidR="007B7BDC" w:rsidRPr="00664F93">
        <w:rPr>
          <w:color w:val="auto"/>
          <w:lang w:val="ru-RU"/>
        </w:rPr>
        <w:t>2</w:t>
      </w:r>
      <w:r w:rsidR="002A37C0">
        <w:rPr>
          <w:color w:val="auto"/>
          <w:lang w:val="ru-RU"/>
        </w:rPr>
        <w:t>2</w:t>
      </w:r>
      <w:r w:rsidR="007B7BDC" w:rsidRPr="00710C44">
        <w:rPr>
          <w:color w:val="auto"/>
        </w:rPr>
        <w:t> г</w:t>
      </w:r>
      <w:r w:rsidR="002B1A92">
        <w:rPr>
          <w:color w:val="auto"/>
        </w:rPr>
        <w:t>.</w:t>
      </w:r>
      <w:bookmarkEnd w:id="376"/>
    </w:p>
    <w:p w:rsidR="00083361" w:rsidRPr="0010274F" w:rsidRDefault="00083361" w:rsidP="00DE2BDB">
      <w:pPr>
        <w:pStyle w:val="Heading2"/>
      </w:pPr>
      <w:bookmarkStart w:id="390" w:name="_Toc464224783"/>
      <w:bookmarkStart w:id="391" w:name="_Toc464225433"/>
      <w:bookmarkStart w:id="392" w:name="_Toc464458980"/>
      <w:bookmarkStart w:id="393" w:name="_Toc464463080"/>
      <w:bookmarkStart w:id="394" w:name="_Toc464464907"/>
      <w:bookmarkStart w:id="395" w:name="_Toc464465413"/>
      <w:bookmarkStart w:id="396" w:name="_Toc464465601"/>
      <w:bookmarkStart w:id="397" w:name="_Toc464466426"/>
      <w:bookmarkStart w:id="398" w:name="_Toc464466670"/>
      <w:bookmarkStart w:id="399" w:name="_Toc464644982"/>
      <w:bookmarkStart w:id="400" w:name="_Toc465205513"/>
      <w:bookmarkStart w:id="401" w:name="_Toc23337477"/>
      <w:bookmarkEnd w:id="377"/>
      <w:bookmarkEnd w:id="378"/>
      <w:bookmarkEnd w:id="379"/>
      <w:bookmarkEnd w:id="380"/>
      <w:bookmarkEnd w:id="381"/>
      <w:bookmarkEnd w:id="382"/>
      <w:bookmarkEnd w:id="383"/>
      <w:bookmarkEnd w:id="384"/>
      <w:bookmarkEnd w:id="385"/>
      <w:bookmarkEnd w:id="386"/>
      <w:bookmarkEnd w:id="387"/>
      <w:bookmarkEnd w:id="388"/>
      <w:bookmarkEnd w:id="389"/>
      <w:r w:rsidRPr="0010274F">
        <w:t xml:space="preserve">ПОЛИТИКИ В ПРИХОДИТЕ ЗА </w:t>
      </w:r>
      <w:r w:rsidRPr="006228B3">
        <w:t>ПЕРИОДА</w:t>
      </w:r>
      <w:r w:rsidR="002A37C0">
        <w:t xml:space="preserve"> 2020</w:t>
      </w:r>
      <w:r w:rsidR="001228E3">
        <w:t>-20</w:t>
      </w:r>
      <w:r w:rsidR="001228E3" w:rsidRPr="00664F93">
        <w:rPr>
          <w:lang w:val="ru-RU"/>
        </w:rPr>
        <w:t>2</w:t>
      </w:r>
      <w:r w:rsidR="002A37C0">
        <w:rPr>
          <w:lang w:val="ru-RU"/>
        </w:rPr>
        <w:t>2</w:t>
      </w:r>
      <w:r w:rsidR="00AA3035">
        <w:t> г.</w:t>
      </w:r>
      <w:bookmarkEnd w:id="390"/>
      <w:bookmarkEnd w:id="391"/>
      <w:bookmarkEnd w:id="392"/>
      <w:bookmarkEnd w:id="393"/>
      <w:bookmarkEnd w:id="394"/>
      <w:bookmarkEnd w:id="395"/>
      <w:bookmarkEnd w:id="396"/>
      <w:bookmarkEnd w:id="397"/>
      <w:bookmarkEnd w:id="398"/>
      <w:bookmarkEnd w:id="399"/>
      <w:bookmarkEnd w:id="400"/>
      <w:bookmarkEnd w:id="401"/>
    </w:p>
    <w:p w:rsidR="00F9639B" w:rsidRPr="00F9639B" w:rsidRDefault="00F9639B" w:rsidP="00F9639B">
      <w:pPr>
        <w:spacing w:before="120" w:after="0"/>
        <w:rPr>
          <w:rFonts w:eastAsia="Times New Roman"/>
        </w:rPr>
      </w:pPr>
      <w:r w:rsidRPr="00F9639B">
        <w:rPr>
          <w:rFonts w:eastAsia="Times New Roman"/>
        </w:rPr>
        <w:t>За периода 2020-2022 г. провежданата от Министерство</w:t>
      </w:r>
      <w:r>
        <w:rPr>
          <w:rFonts w:eastAsia="Times New Roman"/>
        </w:rPr>
        <w:t>то</w:t>
      </w:r>
      <w:r w:rsidRPr="00F9639B">
        <w:rPr>
          <w:rFonts w:eastAsia="Times New Roman"/>
        </w:rPr>
        <w:t xml:space="preserve"> на финансите данъчна политика продължава да бъде ориентирана към постигане на макроикономическа и бюджетна стабилност в средносрочен и дългосрочен план и осигуряване на необходимия финансов ресурс за изпълнение на разходните политики на правителството. </w:t>
      </w:r>
    </w:p>
    <w:p w:rsidR="00F9639B" w:rsidRPr="00F9639B" w:rsidRDefault="00F9639B" w:rsidP="00F9639B">
      <w:pPr>
        <w:spacing w:before="120" w:after="0"/>
        <w:rPr>
          <w:rFonts w:eastAsia="Times New Roman"/>
        </w:rPr>
      </w:pPr>
      <w:r w:rsidRPr="00F9639B">
        <w:rPr>
          <w:rFonts w:eastAsia="Times New Roman"/>
        </w:rPr>
        <w:t>Политиката в областта на данъците се характеризира с предвидимост, широка данъчна основа и малко на брой данъчни преференции. В средносрочен план се предвижда запазване на ниските данъчни ставки на корпоративните данъци и тези на данъците върху доходите на физическите лица, което допринася за повишаване на икономическия растеж и има положително влияние върху търсенето и предлагането на труд.</w:t>
      </w:r>
    </w:p>
    <w:p w:rsidR="00F9639B" w:rsidRPr="00F9639B" w:rsidRDefault="00F9639B" w:rsidP="00F9639B">
      <w:pPr>
        <w:spacing w:before="120" w:after="0"/>
        <w:rPr>
          <w:rFonts w:eastAsia="Times New Roman"/>
        </w:rPr>
      </w:pPr>
      <w:r w:rsidRPr="00F9639B">
        <w:rPr>
          <w:rFonts w:eastAsia="Times New Roman"/>
        </w:rPr>
        <w:t>Основните цели на данъчната политика са повишаване на приходите от данъци, справяне със сенчестата икономика и намаляване на административната тежест и разходите за бизнеса и гражданите. Приоритетите на данъчната политика са съобразени с дадената от Съвета на Европейския съюз специфична препоръка към България за подобряването на събираемостта на данъците.</w:t>
      </w:r>
    </w:p>
    <w:p w:rsidR="00F9639B" w:rsidRPr="00F9639B" w:rsidRDefault="00F9639B" w:rsidP="00F9639B">
      <w:pPr>
        <w:spacing w:before="120" w:after="0"/>
        <w:rPr>
          <w:rFonts w:eastAsia="Times New Roman"/>
        </w:rPr>
      </w:pPr>
      <w:r w:rsidRPr="00F9639B">
        <w:rPr>
          <w:rFonts w:eastAsia="Times New Roman"/>
        </w:rPr>
        <w:t>Постигането на целта за нарастване на бюджетните постъпления, при запазване на тежестта на данъчното облагане, е свързана с реализиране на мерки за ограничаване на данъчните измами, предотвратяване на възможностите за укриване и невнасяне на данъци и отклонение от данъчно облагане, оптимизиране на контролната дейност на приходните администрации.</w:t>
      </w:r>
    </w:p>
    <w:p w:rsidR="00F9639B" w:rsidRPr="00F9639B" w:rsidRDefault="00F9639B" w:rsidP="00F9639B">
      <w:pPr>
        <w:spacing w:before="120" w:after="0"/>
        <w:rPr>
          <w:rFonts w:eastAsia="Times New Roman"/>
        </w:rPr>
      </w:pPr>
      <w:r w:rsidRPr="00F9639B">
        <w:rPr>
          <w:rFonts w:eastAsia="Times New Roman"/>
        </w:rPr>
        <w:t>По отношение на сенчестата икономика, целите на данъчната политика са насочени към изпълнение на мерки и действия, които могат да окажат ограничаващо въздействие върху предпоставките и индикаторите за проявление на сенчестата икономика.</w:t>
      </w:r>
    </w:p>
    <w:p w:rsidR="00F9639B" w:rsidRPr="00F9639B" w:rsidRDefault="00F9639B" w:rsidP="00F9639B">
      <w:pPr>
        <w:spacing w:before="120" w:after="0"/>
        <w:rPr>
          <w:rFonts w:eastAsia="Times New Roman"/>
        </w:rPr>
      </w:pPr>
      <w:r w:rsidRPr="00F9639B">
        <w:rPr>
          <w:rFonts w:eastAsia="Times New Roman"/>
        </w:rPr>
        <w:t xml:space="preserve">Приоритетът за намаляване на административната тежест и разходите за бизнеса и гражданите се реализира чрез законодателни изменения, свързани с разработване и внедряване на нови електронни услуги от приходните администрации по предоставяне на интегрирана информация на задължените лица и на други институции, облекчаване на процеса на попълване и подаване на декларациите от страна на задължените лица, съкращаване на срокове за извършване на услуги от приходните агенции. </w:t>
      </w:r>
    </w:p>
    <w:p w:rsidR="00F9639B" w:rsidRPr="00F9639B" w:rsidRDefault="00F9639B" w:rsidP="00F9639B">
      <w:pPr>
        <w:spacing w:before="120" w:after="0"/>
        <w:rPr>
          <w:rFonts w:eastAsia="Times New Roman"/>
        </w:rPr>
      </w:pPr>
      <w:r w:rsidRPr="00F9639B">
        <w:rPr>
          <w:rFonts w:eastAsia="Times New Roman"/>
        </w:rPr>
        <w:t>Основен приоритет в дейността на приходните администрации е насърчаване на доброволно</w:t>
      </w:r>
      <w:r w:rsidR="00592C64">
        <w:rPr>
          <w:rFonts w:eastAsia="Times New Roman"/>
        </w:rPr>
        <w:t>то</w:t>
      </w:r>
      <w:r w:rsidRPr="00F9639B">
        <w:rPr>
          <w:rFonts w:eastAsia="Times New Roman"/>
        </w:rPr>
        <w:t xml:space="preserve"> спазване на законодателството, повишаване качеството на обслужване, стимулиране на доброволното изпълнение, чрез прилагането на различни отстъпки при спазване сроковете за деклариране и плащане на данъци и осигурителни вноски, подобряване на данъчно-осигурителната култура на клиентите и намаляване на разходите както на гражданите, така и на администрацията.</w:t>
      </w:r>
    </w:p>
    <w:p w:rsidR="00F9639B" w:rsidRPr="00F9639B" w:rsidRDefault="00F9639B" w:rsidP="00F9639B">
      <w:pPr>
        <w:spacing w:before="120" w:after="0"/>
        <w:rPr>
          <w:rFonts w:eastAsia="Times New Roman"/>
        </w:rPr>
      </w:pPr>
      <w:r w:rsidRPr="00F9639B">
        <w:rPr>
          <w:rFonts w:eastAsia="Times New Roman"/>
        </w:rPr>
        <w:t>Част от изпълняваните мерки в областта на данъчната политика са с постоянен характер и поради доказаната си ефективност тяхното действие непрекъснато се развива и усъвършенства. Основните мерки са включени в стратегическите и оперативните документи, които всяка от отговорните институции разработва и прилага и имат дългосрочен ефект за постигане на целите на данъчната политика.</w:t>
      </w:r>
    </w:p>
    <w:p w:rsidR="00F9639B" w:rsidRDefault="00F9639B" w:rsidP="00F9639B">
      <w:pPr>
        <w:spacing w:before="120" w:after="0"/>
        <w:rPr>
          <w:rFonts w:eastAsia="Times New Roman"/>
          <w:highlight w:val="yellow"/>
        </w:rPr>
      </w:pPr>
      <w:r w:rsidRPr="00F9639B">
        <w:rPr>
          <w:rFonts w:eastAsia="Times New Roman"/>
        </w:rPr>
        <w:t>Прогнозните данъчни приходи за периода 2020-2022 г. са базирани на основните показатели от есенната макроикономическа прогноза на Министерство</w:t>
      </w:r>
      <w:r w:rsidR="00D90DC7">
        <w:rPr>
          <w:rFonts w:eastAsia="Times New Roman"/>
        </w:rPr>
        <w:t>то</w:t>
      </w:r>
      <w:r w:rsidRPr="00F9639B">
        <w:rPr>
          <w:rFonts w:eastAsia="Times New Roman"/>
        </w:rPr>
        <w:t xml:space="preserve"> на финансите за периода 2019-2022 г. и на прилаганите мерки от страна на приходните агенции за подобряване на събираемостта.</w:t>
      </w:r>
    </w:p>
    <w:p w:rsidR="00F9639B" w:rsidRDefault="00F9639B" w:rsidP="00365CAD">
      <w:pPr>
        <w:spacing w:after="120"/>
        <w:rPr>
          <w:rFonts w:eastAsia="Times New Roman"/>
          <w:highlight w:val="yellow"/>
        </w:rPr>
      </w:pPr>
    </w:p>
    <w:p w:rsidR="00083361" w:rsidRPr="009F6150" w:rsidRDefault="0010274F" w:rsidP="006E7543">
      <w:pPr>
        <w:pStyle w:val="Caption"/>
        <w:spacing w:after="240"/>
        <w:rPr>
          <w:lang w:val="ru-RU"/>
        </w:rPr>
      </w:pPr>
      <w:r w:rsidRPr="001D14B4">
        <w:t xml:space="preserve">Граф. </w:t>
      </w:r>
      <w:fldSimple w:instr=" STYLEREF 1 \s ">
        <w:r w:rsidR="0034195B">
          <w:rPr>
            <w:noProof/>
          </w:rPr>
          <w:t>III</w:t>
        </w:r>
      </w:fldSimple>
      <w:r w:rsidR="005D7434" w:rsidRPr="001D14B4">
        <w:noBreakHyphen/>
      </w:r>
      <w:fldSimple w:instr=" SEQ Граф. \* ARABIC \s 1 ">
        <w:r w:rsidR="0034195B">
          <w:rPr>
            <w:noProof/>
          </w:rPr>
          <w:t>1</w:t>
        </w:r>
      </w:fldSimple>
      <w:r w:rsidR="00083361" w:rsidRPr="001D14B4">
        <w:t xml:space="preserve">: </w:t>
      </w:r>
      <w:r w:rsidRPr="001D14B4">
        <w:tab/>
      </w:r>
      <w:r w:rsidR="00083361" w:rsidRPr="001D14B4">
        <w:t xml:space="preserve">Структура на приходите по КФП в % за периода </w:t>
      </w:r>
      <w:r w:rsidR="00083361" w:rsidRPr="00773D90">
        <w:t>201</w:t>
      </w:r>
      <w:r w:rsidR="00773D90" w:rsidRPr="00773D90">
        <w:t>9</w:t>
      </w:r>
      <w:r w:rsidR="00083361" w:rsidRPr="00773D90">
        <w:t>-20</w:t>
      </w:r>
      <w:r w:rsidR="001228E3" w:rsidRPr="00773D90">
        <w:rPr>
          <w:lang w:val="ru-RU"/>
        </w:rPr>
        <w:t>2</w:t>
      </w:r>
      <w:r w:rsidR="00773D90" w:rsidRPr="00773D90">
        <w:rPr>
          <w:lang w:val="ru-RU"/>
        </w:rPr>
        <w:t>2</w:t>
      </w:r>
      <w:r w:rsidR="00AA3035" w:rsidRPr="001D14B4">
        <w:t> г.</w:t>
      </w:r>
      <w:r w:rsidR="00083361" w:rsidRPr="001D14B4">
        <w:t xml:space="preserve"> </w:t>
      </w:r>
      <w:r w:rsidR="00083361" w:rsidRPr="001D14B4">
        <w:rPr>
          <w:vertAlign w:val="superscript"/>
        </w:rPr>
        <w:footnoteReference w:id="20"/>
      </w:r>
    </w:p>
    <w:p w:rsidR="007D6981" w:rsidRDefault="007D6981" w:rsidP="007D6981">
      <w:pPr>
        <w:rPr>
          <w:lang w:val="en-US"/>
        </w:rPr>
      </w:pPr>
      <w:r>
        <w:rPr>
          <w:b/>
          <w:i/>
          <w:noProof/>
          <w:sz w:val="18"/>
          <w:szCs w:val="18"/>
        </w:rPr>
        <w:drawing>
          <wp:inline distT="0" distB="0" distL="0" distR="0" wp14:anchorId="2942723F" wp14:editId="7525AC8E">
            <wp:extent cx="5759450" cy="2589373"/>
            <wp:effectExtent l="0" t="0" r="12700" b="20955"/>
            <wp:docPr id="15" name="Object 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7D6981" w:rsidRPr="007D6981" w:rsidRDefault="007D6981" w:rsidP="007D6981">
      <w:pPr>
        <w:rPr>
          <w:lang w:val="en-US"/>
        </w:rPr>
      </w:pPr>
    </w:p>
    <w:p w:rsidR="00083361" w:rsidRPr="0010274F" w:rsidRDefault="00083361" w:rsidP="00C4708D">
      <w:pPr>
        <w:pStyle w:val="Heading3"/>
        <w:ind w:left="0"/>
      </w:pPr>
      <w:bookmarkStart w:id="402" w:name="_Toc464224784"/>
      <w:bookmarkStart w:id="403" w:name="_Toc464225434"/>
      <w:bookmarkStart w:id="404" w:name="_Toc464458981"/>
      <w:bookmarkStart w:id="405" w:name="_Toc464463081"/>
      <w:bookmarkStart w:id="406" w:name="_Toc464464908"/>
      <w:bookmarkStart w:id="407" w:name="_Toc464465414"/>
      <w:bookmarkStart w:id="408" w:name="_Toc464465602"/>
      <w:bookmarkStart w:id="409" w:name="_Toc464466427"/>
      <w:bookmarkStart w:id="410" w:name="_Toc464466671"/>
      <w:bookmarkStart w:id="411" w:name="_Toc464644983"/>
      <w:bookmarkStart w:id="412" w:name="_Toc465070464"/>
      <w:bookmarkStart w:id="413" w:name="_Toc465205514"/>
      <w:r w:rsidRPr="0010274F">
        <w:t>ДАНЪЧНА ПОЛИТИКА</w:t>
      </w:r>
      <w:bookmarkEnd w:id="402"/>
      <w:bookmarkEnd w:id="403"/>
      <w:bookmarkEnd w:id="404"/>
      <w:bookmarkEnd w:id="405"/>
      <w:bookmarkEnd w:id="406"/>
      <w:bookmarkEnd w:id="407"/>
      <w:bookmarkEnd w:id="408"/>
      <w:bookmarkEnd w:id="409"/>
      <w:bookmarkEnd w:id="410"/>
      <w:bookmarkEnd w:id="411"/>
      <w:bookmarkEnd w:id="412"/>
      <w:bookmarkEnd w:id="413"/>
    </w:p>
    <w:p w:rsidR="00D03B51" w:rsidRDefault="00820CAF" w:rsidP="00820CAF">
      <w:pPr>
        <w:spacing w:before="120" w:after="0"/>
        <w:rPr>
          <w:rFonts w:eastAsia="Times New Roman"/>
        </w:rPr>
      </w:pPr>
      <w:r w:rsidRPr="00820CAF">
        <w:rPr>
          <w:rFonts w:eastAsia="Times New Roman"/>
        </w:rPr>
        <w:t>За периода 2020-2022 г. прогнозите за данъчните приходи са съобразени с приоритетите в данъчната политика в средносрочен план и отчитат ефектите от промените в данъчното законодателство, свързани с реализиране на мерки за подобряване на събираемостта, стимулиране на икономическото развитие, намаляване на административната тежест и въвеждане в националното законодателство на разпоредби от европейското право в областта на данъците.</w:t>
      </w:r>
    </w:p>
    <w:p w:rsidR="00820CAF" w:rsidRDefault="00820CAF" w:rsidP="00820CAF">
      <w:pPr>
        <w:spacing w:before="120" w:after="0"/>
        <w:rPr>
          <w:rFonts w:eastAsia="Times New Roman"/>
        </w:rPr>
      </w:pPr>
    </w:p>
    <w:p w:rsidR="00820CAF" w:rsidRPr="00820CAF" w:rsidRDefault="00820CAF" w:rsidP="00431DBD">
      <w:pPr>
        <w:pStyle w:val="Heading4"/>
        <w:rPr>
          <w:rFonts w:eastAsia="Times New Roman"/>
        </w:rPr>
      </w:pPr>
      <w:r w:rsidRPr="00820CAF">
        <w:rPr>
          <w:rFonts w:eastAsia="Times New Roman"/>
        </w:rPr>
        <w:t>Повишаване на бюджетните приходи и борба с данъчните измами</w:t>
      </w:r>
    </w:p>
    <w:p w:rsidR="00820CAF" w:rsidRPr="00820CAF" w:rsidRDefault="00820CAF" w:rsidP="00820CAF">
      <w:pPr>
        <w:spacing w:before="120" w:after="0"/>
        <w:rPr>
          <w:rFonts w:eastAsia="Times New Roman" w:cs="Times New Roman"/>
          <w:szCs w:val="24"/>
          <w:lang w:eastAsia="en-US"/>
        </w:rPr>
      </w:pPr>
      <w:r w:rsidRPr="00820CAF">
        <w:rPr>
          <w:rFonts w:eastAsia="Times New Roman" w:cs="Times New Roman"/>
          <w:szCs w:val="24"/>
          <w:lang w:eastAsia="en-US"/>
        </w:rPr>
        <w:t>Мерките за повишаване на събираемостта на приходите включват дейности по подобряване на спазването на законодателството, превенция и противодействие на данъчните измами и отклонението от данъчно облагане.</w:t>
      </w:r>
    </w:p>
    <w:p w:rsidR="00820CAF" w:rsidRPr="00820CAF" w:rsidRDefault="00820CAF" w:rsidP="003403BF">
      <w:pPr>
        <w:numPr>
          <w:ilvl w:val="0"/>
          <w:numId w:val="34"/>
        </w:numPr>
        <w:spacing w:before="120" w:after="0"/>
        <w:rPr>
          <w:rFonts w:eastAsia="Calibri" w:cs="Times New Roman"/>
          <w:b/>
          <w:i/>
          <w:szCs w:val="24"/>
          <w:lang w:eastAsia="en-US"/>
        </w:rPr>
      </w:pPr>
      <w:r w:rsidRPr="00820CAF">
        <w:rPr>
          <w:rFonts w:eastAsia="Calibri" w:cs="Times New Roman"/>
          <w:b/>
          <w:i/>
          <w:szCs w:val="24"/>
          <w:lang w:eastAsia="en-US"/>
        </w:rPr>
        <w:t>Удължаване на срока на прилагане на механизма за обратно начисляване на ДДС при доставки на зърнени и технически култури</w:t>
      </w:r>
    </w:p>
    <w:p w:rsidR="00820CAF" w:rsidRPr="00F431CB" w:rsidRDefault="00820CAF" w:rsidP="00820CAF">
      <w:pPr>
        <w:spacing w:before="120" w:after="0"/>
        <w:rPr>
          <w:rFonts w:eastAsia="Calibri" w:cs="Times New Roman"/>
          <w:szCs w:val="24"/>
          <w:lang w:val="ru-RU" w:eastAsia="en-US"/>
        </w:rPr>
      </w:pPr>
      <w:r w:rsidRPr="00820CAF">
        <w:rPr>
          <w:rFonts w:eastAsia="Calibri" w:cs="Times New Roman"/>
          <w:szCs w:val="24"/>
          <w:lang w:eastAsia="en-US"/>
        </w:rPr>
        <w:t xml:space="preserve">Въведеният механизъм за обратно начисляване на ДДС, от една страна, е ефективен инструмент за предотвратяване на организираните ДДС измами със зърнени и технически култури с участието на несъществуващи икономически оператори (липсващи търговци), а от друга страна, води до намаляване на нелоялната конкуренция, тъй като се ограничава възможността нелоялните икономически оператори да получават данъчно предимство от укриването и невнасянето на ДДС. Механизмът представлява и предпазна мярка за коректните икономически оператори от случайни сделки с некоректни доставчици, участващи в схеми за данъчни измами. </w:t>
      </w:r>
    </w:p>
    <w:p w:rsidR="00820CAF" w:rsidRPr="00820CAF" w:rsidRDefault="00820CAF" w:rsidP="00820CAF">
      <w:pPr>
        <w:spacing w:before="120" w:after="0"/>
        <w:rPr>
          <w:rFonts w:eastAsia="Times New Roman" w:cs="Times New Roman"/>
          <w:szCs w:val="24"/>
          <w:lang w:eastAsia="en-US"/>
        </w:rPr>
      </w:pPr>
      <w:r w:rsidRPr="00820CAF">
        <w:rPr>
          <w:rFonts w:eastAsia="Calibri" w:cs="Times New Roman"/>
          <w:szCs w:val="24"/>
          <w:lang w:eastAsia="en-US"/>
        </w:rPr>
        <w:t>Досегашният опит показва, че механизмът за обратно начисляване на ДДС представлява ефективен инструмент за противодействие и борба с данъчните измами с ДДС за определени категории стоки. След въвеждането на механизма се наблюдава значителен спад на нивото на данъчните измами с ДДС при доставките на зърнени и технически култури. В тази връзка е прието удължаване на срока за прилагане на механизма за обратно начисляване на ДДС при доставки на зърнени и технически култури до 30.06.2022 г.</w:t>
      </w:r>
    </w:p>
    <w:p w:rsidR="00820CAF" w:rsidRPr="00820CAF" w:rsidRDefault="00820CAF" w:rsidP="003403BF">
      <w:pPr>
        <w:numPr>
          <w:ilvl w:val="0"/>
          <w:numId w:val="33"/>
        </w:numPr>
        <w:spacing w:before="120" w:after="0"/>
        <w:rPr>
          <w:rFonts w:eastAsia="Times New Roman" w:cs="Times New Roman"/>
          <w:iCs/>
          <w:szCs w:val="24"/>
          <w:lang w:eastAsia="en-US"/>
        </w:rPr>
      </w:pPr>
      <w:r w:rsidRPr="00820CAF">
        <w:rPr>
          <w:rFonts w:eastAsia="Times New Roman" w:cs="Times New Roman"/>
          <w:b/>
          <w:bCs/>
          <w:i/>
          <w:iCs/>
          <w:szCs w:val="24"/>
          <w:lang w:eastAsia="en-US"/>
        </w:rPr>
        <w:t>Предложение за въвеждане на данъчни правила в Закона за корпоративното подоходно облагане (ЗКПО), в съответствие с разпоредбите на Директива 2016/1164 срещу практиките за избягване на данъци, които пряко засягат функционирането на вътрешния пазар и Директива 2017/952 по отношение на несъответствията при хибридни образувания и инструменти, включващи трети държави</w:t>
      </w:r>
    </w:p>
    <w:p w:rsidR="00820CAF" w:rsidRPr="00820CAF" w:rsidRDefault="00820CAF" w:rsidP="00820CAF">
      <w:pPr>
        <w:spacing w:before="120" w:after="0"/>
        <w:rPr>
          <w:rFonts w:eastAsia="Times New Roman" w:cs="Times New Roman"/>
          <w:iCs/>
          <w:szCs w:val="24"/>
          <w:lang w:eastAsia="en-US"/>
        </w:rPr>
      </w:pPr>
      <w:r w:rsidRPr="00820CAF">
        <w:rPr>
          <w:rFonts w:eastAsia="Times New Roman" w:cs="Times New Roman"/>
          <w:iCs/>
          <w:szCs w:val="24"/>
          <w:lang w:eastAsia="en-US"/>
        </w:rPr>
        <w:t>Разпоредбите на Директива 2016/1164 и на Директива 2017/952 въвеждат общи минимални правила за прилагане от всички държави</w:t>
      </w:r>
      <w:r w:rsidR="00B4137A">
        <w:rPr>
          <w:rFonts w:eastAsia="Times New Roman" w:cs="Times New Roman"/>
          <w:iCs/>
          <w:szCs w:val="24"/>
          <w:lang w:eastAsia="en-US"/>
        </w:rPr>
        <w:t xml:space="preserve"> членки на Европейския съюз</w:t>
      </w:r>
      <w:r w:rsidRPr="00820CAF">
        <w:rPr>
          <w:rFonts w:eastAsia="Times New Roman" w:cs="Times New Roman"/>
          <w:iCs/>
          <w:szCs w:val="24"/>
          <w:lang w:eastAsia="en-US"/>
        </w:rPr>
        <w:t xml:space="preserve"> по отношение на данъчно задължените лица за корпоративен данък.</w:t>
      </w:r>
      <w:r w:rsidRPr="00820CAF">
        <w:rPr>
          <w:rFonts w:ascii="Calibri" w:eastAsia="Calibri" w:hAnsi="Calibri" w:cs="Times New Roman"/>
          <w:sz w:val="22"/>
          <w:lang w:eastAsia="en-US"/>
        </w:rPr>
        <w:t xml:space="preserve"> </w:t>
      </w:r>
      <w:r w:rsidRPr="00820CAF">
        <w:rPr>
          <w:rFonts w:eastAsia="Times New Roman" w:cs="Times New Roman"/>
          <w:iCs/>
          <w:szCs w:val="24"/>
          <w:lang w:eastAsia="en-US"/>
        </w:rPr>
        <w:t>С въвеждането на директивите също така ще бъдат въведени и препоръките по мерките от плана на Организацията за икономическо сътрудничество и развитие (ОИСР) за свиване на данъчната основа и прехвърлянето на печалби (BEPS), свързани с третирането за данъчни цели на хибридните несъответствия.</w:t>
      </w:r>
    </w:p>
    <w:p w:rsidR="00820CAF" w:rsidRPr="00820CAF" w:rsidRDefault="00820CAF" w:rsidP="003403BF">
      <w:pPr>
        <w:numPr>
          <w:ilvl w:val="0"/>
          <w:numId w:val="35"/>
        </w:numPr>
        <w:tabs>
          <w:tab w:val="left" w:pos="0"/>
        </w:tabs>
        <w:spacing w:before="120" w:after="0"/>
        <w:ind w:left="0" w:firstLine="360"/>
        <w:rPr>
          <w:rFonts w:eastAsia="Times New Roman" w:cs="Times New Roman"/>
          <w:iCs/>
          <w:szCs w:val="24"/>
          <w:lang w:eastAsia="en-US"/>
        </w:rPr>
      </w:pPr>
      <w:r w:rsidRPr="00AA0F80">
        <w:rPr>
          <w:rFonts w:eastAsia="Times New Roman" w:cs="Times New Roman"/>
          <w:i/>
          <w:iCs/>
          <w:szCs w:val="24"/>
          <w:lang w:eastAsia="en-US"/>
        </w:rPr>
        <w:t>Правило за данъчно облагане при напускане</w:t>
      </w:r>
      <w:r w:rsidRPr="00B4137A">
        <w:rPr>
          <w:rFonts w:eastAsia="Times New Roman" w:cs="Times New Roman"/>
          <w:iCs/>
          <w:szCs w:val="24"/>
          <w:lang w:eastAsia="en-US"/>
        </w:rPr>
        <w:t xml:space="preserve"> </w:t>
      </w:r>
      <w:r w:rsidRPr="00820CAF">
        <w:rPr>
          <w:rFonts w:eastAsia="Times New Roman" w:cs="Times New Roman"/>
          <w:iCs/>
          <w:szCs w:val="24"/>
          <w:lang w:eastAsia="en-US"/>
        </w:rPr>
        <w:t>(чл. 5 на Директива 2016/1164) – съгласно Директивата данъчно задължено лице подлежи на данъчно облагане върху сума, равна на пазарната стойност на прехвърлените активи към момента на напускане на активите минус стойността им за данъчни цели в определени случаи. Предлага се изменение в ЗКПО, с което се разписва нов режим за облагане на разликата между пазарната цена и стойността за данъчни цели на трансфериран актив или дейност на място на стопанска дейност извън страната, както и за признаване на пазарна цена на актив, трансфериран от друга държава</w:t>
      </w:r>
      <w:r w:rsidR="00B4137A">
        <w:rPr>
          <w:rFonts w:eastAsia="Times New Roman" w:cs="Times New Roman"/>
          <w:iCs/>
          <w:szCs w:val="24"/>
          <w:lang w:eastAsia="en-US"/>
        </w:rPr>
        <w:t>-</w:t>
      </w:r>
      <w:r w:rsidRPr="00820CAF">
        <w:rPr>
          <w:rFonts w:eastAsia="Times New Roman" w:cs="Times New Roman"/>
          <w:iCs/>
          <w:szCs w:val="24"/>
          <w:lang w:eastAsia="en-US"/>
        </w:rPr>
        <w:t>членка на ЕС към страната, която е била използвана за определяне на облагане в съответствие с правилата на Директивата. Целта е да се гарантира, че когато данъчно задължено лице трансферира активи извън страната или променя юрисдикцията, на която е местно</w:t>
      </w:r>
      <w:r w:rsidR="00B4137A">
        <w:rPr>
          <w:rFonts w:eastAsia="Times New Roman" w:cs="Times New Roman"/>
          <w:iCs/>
          <w:szCs w:val="24"/>
          <w:lang w:eastAsia="en-US"/>
        </w:rPr>
        <w:t>то</w:t>
      </w:r>
      <w:r w:rsidRPr="00820CAF">
        <w:rPr>
          <w:rFonts w:eastAsia="Times New Roman" w:cs="Times New Roman"/>
          <w:iCs/>
          <w:szCs w:val="24"/>
          <w:lang w:eastAsia="en-US"/>
        </w:rPr>
        <w:t xml:space="preserve"> лице за данъчни цели, то капиталовата печалба, създадена, но нереализирана на територията на страната, ще бъде обложена;</w:t>
      </w:r>
    </w:p>
    <w:p w:rsidR="00820CAF" w:rsidRDefault="00820CAF" w:rsidP="003403BF">
      <w:pPr>
        <w:numPr>
          <w:ilvl w:val="0"/>
          <w:numId w:val="35"/>
        </w:numPr>
        <w:tabs>
          <w:tab w:val="left" w:pos="0"/>
        </w:tabs>
        <w:spacing w:before="120" w:after="0"/>
        <w:ind w:left="0" w:firstLine="360"/>
        <w:rPr>
          <w:rFonts w:eastAsia="Times New Roman" w:cs="Times New Roman"/>
          <w:iCs/>
          <w:szCs w:val="24"/>
          <w:lang w:eastAsia="en-US"/>
        </w:rPr>
      </w:pPr>
      <w:r w:rsidRPr="00AA0F80">
        <w:rPr>
          <w:rFonts w:eastAsia="Times New Roman" w:cs="Times New Roman"/>
          <w:i/>
          <w:iCs/>
          <w:szCs w:val="24"/>
          <w:lang w:eastAsia="en-US"/>
        </w:rPr>
        <w:t>Несъответствия при хибридни образувания и инструменти</w:t>
      </w:r>
      <w:r w:rsidRPr="00820CAF">
        <w:rPr>
          <w:rFonts w:eastAsia="Times New Roman" w:cs="Times New Roman"/>
          <w:iCs/>
          <w:szCs w:val="24"/>
          <w:lang w:eastAsia="en-US"/>
        </w:rPr>
        <w:t xml:space="preserve"> (чл. 9 на Директива 2017/952) – разпоредбите на </w:t>
      </w:r>
      <w:r w:rsidR="00433D74">
        <w:rPr>
          <w:rFonts w:eastAsia="Times New Roman" w:cs="Times New Roman"/>
          <w:iCs/>
          <w:szCs w:val="24"/>
          <w:lang w:eastAsia="en-US"/>
        </w:rPr>
        <w:t>Д</w:t>
      </w:r>
      <w:r w:rsidRPr="00820CAF">
        <w:rPr>
          <w:rFonts w:eastAsia="Times New Roman" w:cs="Times New Roman"/>
          <w:iCs/>
          <w:szCs w:val="24"/>
          <w:lang w:eastAsia="en-US"/>
        </w:rPr>
        <w:t>ирективата съдържат дефиниции за различни видове несъответствия при хибридни образувания и инструменти, както и съответни мерки за тяхното преодоляване. С предложените изменения в ЗКПО се въвежда специфична данъчна регулация за неутрализиране на случаите на хибридни несъответствия и на несъответствия с данъчно задължено лице, което е местно лице за данъчни цели на повече от една юрисдикция</w:t>
      </w:r>
      <w:r w:rsidR="00433D74">
        <w:rPr>
          <w:rFonts w:eastAsia="Times New Roman" w:cs="Times New Roman"/>
          <w:iCs/>
          <w:szCs w:val="24"/>
          <w:lang w:eastAsia="en-US"/>
        </w:rPr>
        <w:t>.</w:t>
      </w:r>
    </w:p>
    <w:p w:rsidR="00433D74" w:rsidRPr="00820CAF" w:rsidRDefault="00433D74" w:rsidP="00433D74">
      <w:pPr>
        <w:tabs>
          <w:tab w:val="left" w:pos="0"/>
        </w:tabs>
        <w:spacing w:before="120" w:after="0"/>
        <w:rPr>
          <w:rFonts w:eastAsia="Times New Roman" w:cs="Times New Roman"/>
          <w:iCs/>
          <w:szCs w:val="24"/>
          <w:lang w:eastAsia="en-US"/>
        </w:rPr>
      </w:pPr>
      <w:r w:rsidRPr="00433D74">
        <w:rPr>
          <w:rFonts w:eastAsia="Times New Roman" w:cs="Times New Roman"/>
          <w:iCs/>
          <w:szCs w:val="24"/>
          <w:lang w:eastAsia="en-US"/>
        </w:rPr>
        <w:t>С въвеждането на двете директиви в националното законодателство се очаква да се ограничат възможностите за агресивното данъчно планиране, водещи до свиване на националната данъчна основа и намаляване по изкуствен начин на дължимия корпоративен данък или до необлагане.</w:t>
      </w:r>
    </w:p>
    <w:p w:rsidR="00820CAF" w:rsidRPr="00820CAF" w:rsidRDefault="00820CAF" w:rsidP="003403BF">
      <w:pPr>
        <w:numPr>
          <w:ilvl w:val="0"/>
          <w:numId w:val="33"/>
        </w:numPr>
        <w:tabs>
          <w:tab w:val="left" w:pos="720"/>
        </w:tabs>
        <w:spacing w:before="120" w:after="0"/>
        <w:rPr>
          <w:rFonts w:eastAsia="Times New Roman" w:cs="Times New Roman"/>
          <w:szCs w:val="24"/>
          <w:lang w:eastAsia="en-US"/>
        </w:rPr>
      </w:pPr>
      <w:r w:rsidRPr="00820CAF">
        <w:rPr>
          <w:rFonts w:eastAsia="Times New Roman" w:cs="Times New Roman"/>
          <w:b/>
          <w:bCs/>
          <w:i/>
          <w:iCs/>
          <w:szCs w:val="24"/>
          <w:lang w:eastAsia="en-US"/>
        </w:rPr>
        <w:t>Предложение за въвеждане на данъчни правила в Закона за данък върху добавената стойност (ЗДДС), с оглед хармонизиране на българското данъчно законодателство с изискванията на Директива 2018/1910</w:t>
      </w:r>
    </w:p>
    <w:p w:rsidR="00820CAF" w:rsidRPr="00820CAF" w:rsidRDefault="00820CAF" w:rsidP="00820CAF">
      <w:pPr>
        <w:tabs>
          <w:tab w:val="left" w:pos="0"/>
        </w:tabs>
        <w:spacing w:before="120" w:after="0"/>
        <w:rPr>
          <w:rFonts w:eastAsia="Times New Roman" w:cs="Times New Roman"/>
          <w:bCs/>
          <w:iCs/>
          <w:szCs w:val="24"/>
          <w:lang w:eastAsia="en-US"/>
        </w:rPr>
      </w:pPr>
      <w:r w:rsidRPr="00820CAF">
        <w:rPr>
          <w:rFonts w:eastAsia="Times New Roman" w:cs="Times New Roman"/>
          <w:bCs/>
          <w:iCs/>
          <w:szCs w:val="24"/>
          <w:lang w:eastAsia="en-US"/>
        </w:rPr>
        <w:t xml:space="preserve">Направени са предложения за въвеждане в националното данъчно законодателство на следните правила, чрез които да бъдат </w:t>
      </w:r>
      <w:r w:rsidRPr="00820CAF">
        <w:rPr>
          <w:rFonts w:eastAsia="Times New Roman" w:cs="Times New Roman"/>
          <w:szCs w:val="24"/>
          <w:lang w:eastAsia="en-US"/>
        </w:rPr>
        <w:t>внесени подобрения в действащата система на ДДС, в контекста на търговията между държавите членки и увеличаване на правната сигурност за операторите</w:t>
      </w:r>
      <w:r w:rsidRPr="00820CAF">
        <w:rPr>
          <w:rFonts w:eastAsia="Times New Roman" w:cs="Times New Roman"/>
          <w:bCs/>
          <w:iCs/>
          <w:szCs w:val="24"/>
          <w:lang w:eastAsia="en-US"/>
        </w:rPr>
        <w:t>:</w:t>
      </w:r>
    </w:p>
    <w:p w:rsidR="00820CAF" w:rsidRPr="00820CAF" w:rsidRDefault="00820CAF" w:rsidP="003403BF">
      <w:pPr>
        <w:numPr>
          <w:ilvl w:val="0"/>
          <w:numId w:val="36"/>
        </w:numPr>
        <w:tabs>
          <w:tab w:val="left" w:pos="0"/>
        </w:tabs>
        <w:spacing w:before="120" w:after="0"/>
        <w:ind w:left="0" w:firstLine="360"/>
        <w:rPr>
          <w:rFonts w:eastAsia="Times New Roman" w:cs="Times New Roman"/>
          <w:szCs w:val="24"/>
          <w:lang w:eastAsia="en-US"/>
        </w:rPr>
      </w:pPr>
      <w:r w:rsidRPr="00AA0F80">
        <w:rPr>
          <w:rFonts w:eastAsia="Times New Roman" w:cs="Times New Roman"/>
          <w:bCs/>
          <w:i/>
          <w:iCs/>
          <w:szCs w:val="24"/>
          <w:lang w:eastAsia="en-US"/>
        </w:rPr>
        <w:t>Изменения, въз основа на които при верига от последователни доставки на стока</w:t>
      </w:r>
      <w:r w:rsidRPr="00B4137A">
        <w:rPr>
          <w:rFonts w:eastAsia="Times New Roman" w:cs="Times New Roman"/>
          <w:bCs/>
          <w:iCs/>
          <w:szCs w:val="24"/>
          <w:lang w:eastAsia="en-US"/>
        </w:rPr>
        <w:t>,</w:t>
      </w:r>
      <w:r w:rsidRPr="00820CAF">
        <w:rPr>
          <w:rFonts w:eastAsia="Times New Roman" w:cs="Times New Roman"/>
          <w:bCs/>
          <w:iCs/>
          <w:szCs w:val="24"/>
          <w:lang w:eastAsia="en-US"/>
        </w:rPr>
        <w:t xml:space="preserve"> предмет на един-единствен вътреобщностен транспорт между две държави членки, извършен от или за сметка на междинен доставчик във веригата, да се определя към коя от доставките се отнася транспортът на стоката за целите на прилагане на освобождаването (облагане с нулева ставка за ДДС), предвидено за вътреобщностните доставки. Правилата са необходими, за да се избегнат различни подходи сред държавите членки, което може да доведе до двойно данъчно облагане или до необлагане на някои от доставките във веригата, както и за да се гарантира правната сигурност за данъчно задължените лица.</w:t>
      </w:r>
      <w:r w:rsidRPr="00820CAF">
        <w:rPr>
          <w:rFonts w:ascii="Calibri" w:eastAsia="Calibri" w:hAnsi="Calibri" w:cs="Times New Roman"/>
          <w:sz w:val="22"/>
          <w:lang w:eastAsia="en-US"/>
        </w:rPr>
        <w:t xml:space="preserve"> </w:t>
      </w:r>
      <w:r w:rsidRPr="00820CAF">
        <w:rPr>
          <w:rFonts w:eastAsia="Times New Roman" w:cs="Times New Roman"/>
          <w:bCs/>
          <w:iCs/>
          <w:szCs w:val="24"/>
          <w:lang w:eastAsia="en-US"/>
        </w:rPr>
        <w:t>В съществуващата преди измененията възможност за освобождаване на повече от една доставка във веригата се корени и възникването на така наречената „верижна измама“;</w:t>
      </w:r>
    </w:p>
    <w:p w:rsidR="00820CAF" w:rsidRPr="00820CAF" w:rsidRDefault="00820CAF" w:rsidP="003403BF">
      <w:pPr>
        <w:numPr>
          <w:ilvl w:val="0"/>
          <w:numId w:val="36"/>
        </w:numPr>
        <w:tabs>
          <w:tab w:val="left" w:pos="0"/>
        </w:tabs>
        <w:spacing w:before="120" w:after="0"/>
        <w:ind w:left="0" w:firstLine="360"/>
        <w:rPr>
          <w:rFonts w:eastAsia="Times New Roman" w:cs="Times New Roman"/>
          <w:szCs w:val="24"/>
          <w:lang w:eastAsia="en-US"/>
        </w:rPr>
      </w:pPr>
      <w:r w:rsidRPr="00AA0F80">
        <w:rPr>
          <w:rFonts w:eastAsia="Times New Roman" w:cs="Times New Roman"/>
          <w:bCs/>
          <w:i/>
          <w:iCs/>
          <w:szCs w:val="24"/>
          <w:lang w:eastAsia="en-US"/>
        </w:rPr>
        <w:t>Разпоредби, свързани с определяне на начина на облагане при прилагане на режим складиране на стоки до поискване от клиента</w:t>
      </w:r>
      <w:r w:rsidRPr="00820CAF">
        <w:rPr>
          <w:rFonts w:eastAsia="Times New Roman" w:cs="Times New Roman"/>
          <w:bCs/>
          <w:iCs/>
          <w:szCs w:val="24"/>
          <w:lang w:eastAsia="en-US"/>
        </w:rPr>
        <w:t>, с цел опростяване на действащите правила за вътреобщностна търговия на стоки между лица от различни държави</w:t>
      </w:r>
      <w:r w:rsidR="00B4137A">
        <w:rPr>
          <w:rFonts w:eastAsia="Times New Roman" w:cs="Times New Roman"/>
          <w:bCs/>
          <w:iCs/>
          <w:szCs w:val="24"/>
          <w:lang w:eastAsia="en-US"/>
        </w:rPr>
        <w:t>-</w:t>
      </w:r>
      <w:r w:rsidRPr="00820CAF">
        <w:rPr>
          <w:rFonts w:eastAsia="Times New Roman" w:cs="Times New Roman"/>
          <w:bCs/>
          <w:iCs/>
          <w:szCs w:val="24"/>
          <w:lang w:eastAsia="en-US"/>
        </w:rPr>
        <w:t>членки на ЕС. Предлага се да се въведе „режим на складирането на стоки до поискване от клиента“, при който за данъчно задължените лица данъчното събитие ще възниква към момента на прехвърляне на собствеността на стоките към клиента, а не към момента на пристигане на стоките и завършване на превоза. Няма да се изисква и регистрация по ДДС на доставчика на стоките във връзка с извършеното вътреобщностно придобиване в държавата членка на складиране, ако стоката е реализирана в период от 12 месеца от пристигането ѝ;</w:t>
      </w:r>
    </w:p>
    <w:p w:rsidR="00820CAF" w:rsidRPr="00820CAF" w:rsidRDefault="00820CAF" w:rsidP="003403BF">
      <w:pPr>
        <w:numPr>
          <w:ilvl w:val="0"/>
          <w:numId w:val="36"/>
        </w:numPr>
        <w:tabs>
          <w:tab w:val="left" w:pos="0"/>
        </w:tabs>
        <w:spacing w:before="120" w:after="0"/>
        <w:ind w:left="0" w:firstLine="360"/>
        <w:rPr>
          <w:rFonts w:eastAsia="Times New Roman" w:cs="Times New Roman"/>
          <w:szCs w:val="24"/>
          <w:lang w:eastAsia="en-US"/>
        </w:rPr>
      </w:pPr>
      <w:r w:rsidRPr="00AA0F80">
        <w:rPr>
          <w:rFonts w:eastAsia="Times New Roman" w:cs="Times New Roman"/>
          <w:i/>
          <w:szCs w:val="24"/>
          <w:lang w:eastAsia="en-US"/>
        </w:rPr>
        <w:t>Въвеждане като материалноправно условие, в контекста на вътреобщностната търговия</w:t>
      </w:r>
      <w:r w:rsidRPr="00820CAF">
        <w:rPr>
          <w:rFonts w:eastAsia="Times New Roman" w:cs="Times New Roman"/>
          <w:szCs w:val="24"/>
          <w:lang w:eastAsia="en-US"/>
        </w:rPr>
        <w:t xml:space="preserve"> на изискването получателят по вътреобщностното придобиване да е идентифициран за целите на ДДС в държава</w:t>
      </w:r>
      <w:r w:rsidR="00A17CF7" w:rsidRPr="00BB7CB3">
        <w:rPr>
          <w:rFonts w:eastAsia="Times New Roman" w:cs="Times New Roman"/>
          <w:szCs w:val="24"/>
          <w:lang w:val="ru-RU" w:eastAsia="en-US"/>
        </w:rPr>
        <w:t>-</w:t>
      </w:r>
      <w:r w:rsidRPr="00820CAF">
        <w:rPr>
          <w:rFonts w:eastAsia="Times New Roman" w:cs="Times New Roman"/>
          <w:szCs w:val="24"/>
          <w:lang w:eastAsia="en-US"/>
        </w:rPr>
        <w:t xml:space="preserve">членка, различна от държавата членка, от която се изпращат или превозват стоките, и да е посочил идентификационният си номер по ДДС на доставчика, както и правилното попълване на </w:t>
      </w:r>
      <w:r w:rsidRPr="00071E32">
        <w:rPr>
          <w:rFonts w:eastAsia="Times New Roman" w:cs="Times New Roman"/>
          <w:szCs w:val="24"/>
          <w:lang w:eastAsia="en-US"/>
        </w:rPr>
        <w:t>VIES</w:t>
      </w:r>
      <w:r w:rsidRPr="00820CAF">
        <w:rPr>
          <w:rFonts w:eastAsia="Times New Roman" w:cs="Times New Roman"/>
          <w:szCs w:val="24"/>
          <w:lang w:eastAsia="en-US"/>
        </w:rPr>
        <w:t xml:space="preserve"> декларацията</w:t>
      </w:r>
      <w:r w:rsidR="00EC2D52">
        <w:rPr>
          <w:rStyle w:val="FootnoteReference"/>
          <w:rFonts w:eastAsia="Times New Roman"/>
          <w:szCs w:val="24"/>
        </w:rPr>
        <w:footnoteReference w:id="21"/>
      </w:r>
      <w:r w:rsidRPr="00820CAF">
        <w:rPr>
          <w:rFonts w:eastAsia="Times New Roman" w:cs="Times New Roman"/>
          <w:szCs w:val="24"/>
          <w:lang w:eastAsia="en-US"/>
        </w:rPr>
        <w:t xml:space="preserve"> се прави с цел да се даде по-голяма правна сигурност както на данъчно задължените лица, така и на данъчната администрация;</w:t>
      </w:r>
    </w:p>
    <w:p w:rsidR="00433D74" w:rsidRPr="00433D74" w:rsidRDefault="00820CAF" w:rsidP="00433D74">
      <w:pPr>
        <w:numPr>
          <w:ilvl w:val="0"/>
          <w:numId w:val="36"/>
        </w:numPr>
        <w:tabs>
          <w:tab w:val="left" w:pos="0"/>
        </w:tabs>
        <w:spacing w:before="120" w:after="0"/>
        <w:ind w:left="0" w:firstLine="360"/>
        <w:rPr>
          <w:rFonts w:eastAsia="Times New Roman" w:cs="Times New Roman"/>
          <w:szCs w:val="24"/>
          <w:lang w:eastAsia="en-US"/>
        </w:rPr>
      </w:pPr>
      <w:r w:rsidRPr="00AA0F80">
        <w:rPr>
          <w:rFonts w:eastAsia="Times New Roman" w:cs="Times New Roman"/>
          <w:i/>
          <w:szCs w:val="24"/>
          <w:lang w:eastAsia="en-US"/>
        </w:rPr>
        <w:t>Въвеждане на разпоредби за доказване на извършения превоз от територията на страната до друга държава членка</w:t>
      </w:r>
      <w:r w:rsidRPr="00820CAF">
        <w:rPr>
          <w:rFonts w:eastAsia="Times New Roman" w:cs="Times New Roman"/>
          <w:b/>
          <w:i/>
          <w:szCs w:val="24"/>
          <w:lang w:eastAsia="en-US"/>
        </w:rPr>
        <w:t xml:space="preserve">, </w:t>
      </w:r>
      <w:r w:rsidR="00433D74" w:rsidRPr="00433D74">
        <w:rPr>
          <w:rFonts w:eastAsia="Times New Roman" w:cs="Times New Roman"/>
          <w:szCs w:val="24"/>
          <w:lang w:eastAsia="en-US"/>
        </w:rPr>
        <w:t>при които стоките се считат за изпратени или превозени от територията на държавата членка на доставка, и едновременно с това да се прилага оборима презум</w:t>
      </w:r>
      <w:r w:rsidR="00530984">
        <w:rPr>
          <w:rFonts w:eastAsia="Times New Roman" w:cs="Times New Roman"/>
          <w:szCs w:val="24"/>
          <w:lang w:eastAsia="en-US"/>
        </w:rPr>
        <w:t>п</w:t>
      </w:r>
      <w:r w:rsidR="00433D74" w:rsidRPr="00433D74">
        <w:rPr>
          <w:rFonts w:eastAsia="Times New Roman" w:cs="Times New Roman"/>
          <w:szCs w:val="24"/>
          <w:lang w:eastAsia="en-US"/>
        </w:rPr>
        <w:t xml:space="preserve">цията от данъчната администрация по отношение на  освобождавания при вътреобщностни сделки, предвидена в Директива 2018/1910. </w:t>
      </w:r>
    </w:p>
    <w:p w:rsidR="00AA0F80" w:rsidRPr="00433D74" w:rsidRDefault="00AA0F80" w:rsidP="008C1DE7">
      <w:pPr>
        <w:tabs>
          <w:tab w:val="left" w:pos="0"/>
        </w:tabs>
        <w:spacing w:before="120" w:after="0"/>
        <w:ind w:left="360"/>
        <w:rPr>
          <w:rFonts w:eastAsia="Times New Roman" w:cs="Times New Roman"/>
          <w:szCs w:val="24"/>
          <w:lang w:eastAsia="en-US"/>
        </w:rPr>
      </w:pPr>
    </w:p>
    <w:p w:rsidR="007F773D" w:rsidRPr="008F5D14" w:rsidRDefault="007F773D" w:rsidP="007F773D">
      <w:pPr>
        <w:pStyle w:val="ListParagraph"/>
        <w:numPr>
          <w:ilvl w:val="0"/>
          <w:numId w:val="33"/>
        </w:numPr>
        <w:tabs>
          <w:tab w:val="left" w:pos="720"/>
        </w:tabs>
        <w:spacing w:before="120"/>
        <w:contextualSpacing/>
        <w:rPr>
          <w:rFonts w:eastAsia="Times New Roman"/>
          <w:b/>
          <w:i/>
          <w:szCs w:val="24"/>
        </w:rPr>
      </w:pPr>
      <w:r>
        <w:rPr>
          <w:rFonts w:eastAsia="Times New Roman"/>
          <w:b/>
          <w:i/>
          <w:szCs w:val="24"/>
        </w:rPr>
        <w:t>Предложение с цел п</w:t>
      </w:r>
      <w:r w:rsidRPr="00EA3AEA">
        <w:rPr>
          <w:rFonts w:eastAsia="Times New Roman"/>
          <w:b/>
          <w:i/>
          <w:szCs w:val="24"/>
        </w:rPr>
        <w:t>редотвратяване на избягване на регистрация по ЗДДС чрез формална смяна на субекта.</w:t>
      </w:r>
    </w:p>
    <w:p w:rsidR="007F773D" w:rsidRPr="00820CAF" w:rsidRDefault="005C2BB1" w:rsidP="007F773D">
      <w:pPr>
        <w:tabs>
          <w:tab w:val="left" w:pos="0"/>
        </w:tabs>
        <w:spacing w:before="120" w:after="0"/>
        <w:rPr>
          <w:rFonts w:eastAsia="Times New Roman" w:cs="Times New Roman"/>
          <w:szCs w:val="24"/>
          <w:lang w:eastAsia="en-US"/>
        </w:rPr>
      </w:pPr>
      <w:r w:rsidRPr="005C2BB1">
        <w:rPr>
          <w:szCs w:val="24"/>
        </w:rPr>
        <w:t>Предложено е при последователното извършване на еднородна дейност в един и същ обект/</w:t>
      </w:r>
      <w:r>
        <w:rPr>
          <w:szCs w:val="24"/>
        </w:rPr>
        <w:t>обект</w:t>
      </w:r>
      <w:r w:rsidRPr="005C2BB1">
        <w:rPr>
          <w:szCs w:val="24"/>
        </w:rPr>
        <w:t>и от две или повече свързани лица или лица, действащи съгласувано, в облагаемия оборот на всяко следващо лице се включва оборотът, реализиран от всички лица, извършвали дейността в обекта/</w:t>
      </w:r>
      <w:r>
        <w:rPr>
          <w:szCs w:val="24"/>
        </w:rPr>
        <w:t>обект</w:t>
      </w:r>
      <w:r w:rsidRPr="005C2BB1">
        <w:rPr>
          <w:szCs w:val="24"/>
        </w:rPr>
        <w:t>ите преди него</w:t>
      </w:r>
      <w:r w:rsidR="00B046D3">
        <w:rPr>
          <w:szCs w:val="24"/>
        </w:rPr>
        <w:t xml:space="preserve"> </w:t>
      </w:r>
      <w:r w:rsidRPr="005C2BB1">
        <w:rPr>
          <w:szCs w:val="24"/>
        </w:rPr>
        <w:t>за период</w:t>
      </w:r>
      <w:r w:rsidR="00B046D3">
        <w:rPr>
          <w:szCs w:val="24"/>
        </w:rPr>
        <w:t>,</w:t>
      </w:r>
      <w:r w:rsidRPr="005C2BB1">
        <w:rPr>
          <w:szCs w:val="24"/>
        </w:rPr>
        <w:t xml:space="preserve"> не по-дълъг от последните 12 последователни месеца</w:t>
      </w:r>
      <w:r w:rsidR="00B046D3">
        <w:rPr>
          <w:szCs w:val="24"/>
        </w:rPr>
        <w:t>,</w:t>
      </w:r>
      <w:r w:rsidRPr="005C2BB1">
        <w:rPr>
          <w:szCs w:val="24"/>
        </w:rPr>
        <w:t xml:space="preserve"> включително текущия месец</w:t>
      </w:r>
      <w:r w:rsidR="00B046D3">
        <w:rPr>
          <w:szCs w:val="24"/>
        </w:rPr>
        <w:t>,</w:t>
      </w:r>
      <w:r w:rsidRPr="005C2BB1">
        <w:rPr>
          <w:szCs w:val="24"/>
        </w:rPr>
        <w:t xml:space="preserve"> и се счита за оборот, реализиран от съответното лице през първия ден на започване на еднородната дейност в обекта/</w:t>
      </w:r>
      <w:r w:rsidR="00530984">
        <w:rPr>
          <w:szCs w:val="24"/>
        </w:rPr>
        <w:t>обек</w:t>
      </w:r>
      <w:r w:rsidRPr="005C2BB1">
        <w:rPr>
          <w:szCs w:val="24"/>
        </w:rPr>
        <w:t xml:space="preserve">тите от това лице. Дейността се приема, че е еднородна, когато е налице значителна идентичност по отношение на две или повече от следните характеристики: предлаганите стоки или услуги, ползваните активи, персонала, търговската марка/наименованието на обекта, доставчиците/клиентите.  </w:t>
      </w:r>
      <w:r w:rsidR="007F773D">
        <w:rPr>
          <w:rFonts w:eastAsia="Times New Roman"/>
          <w:szCs w:val="24"/>
        </w:rPr>
        <w:t>Предложението цели предотвратяване на практиката по избягване на регистрация по ЗДДС</w:t>
      </w:r>
      <w:r w:rsidR="007F773D" w:rsidRPr="00A22463">
        <w:t xml:space="preserve"> </w:t>
      </w:r>
      <w:r w:rsidR="007F773D" w:rsidRPr="00A22463">
        <w:rPr>
          <w:rFonts w:eastAsia="Times New Roman"/>
          <w:szCs w:val="24"/>
        </w:rPr>
        <w:t>от данъчно задължени юридически самостоятелни, но свързани или действащи съгласувано лица, чрез формална смяна на субекта, извършващ еднородна независима икономическа</w:t>
      </w:r>
      <w:r w:rsidR="007F773D">
        <w:rPr>
          <w:rFonts w:eastAsia="Times New Roman"/>
          <w:szCs w:val="24"/>
        </w:rPr>
        <w:t xml:space="preserve"> дейност</w:t>
      </w:r>
      <w:r w:rsidR="007F773D" w:rsidRPr="007D6981">
        <w:rPr>
          <w:rFonts w:eastAsia="Times New Roman"/>
          <w:szCs w:val="24"/>
          <w:lang w:val="ru-RU"/>
        </w:rPr>
        <w:t>.</w:t>
      </w:r>
      <w:r w:rsidR="007F773D" w:rsidRPr="00820CAF">
        <w:rPr>
          <w:rFonts w:eastAsia="Times New Roman" w:cs="Times New Roman"/>
          <w:szCs w:val="24"/>
          <w:lang w:eastAsia="en-US"/>
        </w:rPr>
        <w:t xml:space="preserve"> </w:t>
      </w:r>
    </w:p>
    <w:p w:rsidR="00820CAF" w:rsidRPr="00820CAF" w:rsidRDefault="00820CAF" w:rsidP="00820CAF">
      <w:pPr>
        <w:tabs>
          <w:tab w:val="left" w:pos="0"/>
        </w:tabs>
        <w:spacing w:before="120" w:after="0"/>
        <w:rPr>
          <w:rFonts w:eastAsia="Times New Roman" w:cs="Times New Roman"/>
          <w:szCs w:val="24"/>
          <w:lang w:eastAsia="en-US"/>
        </w:rPr>
      </w:pPr>
      <w:r w:rsidRPr="00820CAF">
        <w:rPr>
          <w:rFonts w:eastAsia="Times New Roman" w:cs="Times New Roman"/>
          <w:szCs w:val="24"/>
          <w:lang w:eastAsia="en-US"/>
        </w:rPr>
        <w:t>С цел отстраняване на съществуващи затруднения във връзка с връчването на актовете,</w:t>
      </w:r>
      <w:r w:rsidR="00592C64">
        <w:rPr>
          <w:rFonts w:ascii="Calibri" w:eastAsia="Calibri" w:hAnsi="Calibri" w:cs="Times New Roman"/>
          <w:sz w:val="22"/>
          <w:lang w:eastAsia="en-US"/>
        </w:rPr>
        <w:t xml:space="preserve"> </w:t>
      </w:r>
      <w:r w:rsidR="00592C64" w:rsidRPr="00592C64">
        <w:rPr>
          <w:rFonts w:asciiTheme="minorHAnsi" w:eastAsia="Times New Roman" w:hAnsiTheme="minorHAnsi" w:cstheme="minorHAnsi"/>
          <w:szCs w:val="24"/>
          <w:lang w:eastAsia="en-US"/>
        </w:rPr>
        <w:t>п</w:t>
      </w:r>
      <w:r w:rsidRPr="00592C64">
        <w:rPr>
          <w:rFonts w:asciiTheme="minorHAnsi" w:eastAsia="Times New Roman" w:hAnsiTheme="minorHAnsi" w:cstheme="minorHAnsi"/>
          <w:szCs w:val="24"/>
          <w:lang w:eastAsia="en-US"/>
        </w:rPr>
        <w:t>ре</w:t>
      </w:r>
      <w:r w:rsidRPr="00820CAF">
        <w:rPr>
          <w:rFonts w:eastAsia="Times New Roman" w:cs="Times New Roman"/>
          <w:szCs w:val="24"/>
          <w:lang w:eastAsia="en-US"/>
        </w:rPr>
        <w:t>цизиране на разпоредбите, свързани с акцизните стоки и техните пределни размери на естествените фири, преодоляване на проблеми</w:t>
      </w:r>
      <w:r w:rsidR="00D43AB4">
        <w:rPr>
          <w:rFonts w:eastAsia="Times New Roman" w:cs="Times New Roman"/>
          <w:szCs w:val="24"/>
          <w:lang w:eastAsia="en-US"/>
        </w:rPr>
        <w:t>,</w:t>
      </w:r>
      <w:r w:rsidRPr="00820CAF">
        <w:rPr>
          <w:rFonts w:eastAsia="Times New Roman" w:cs="Times New Roman"/>
          <w:szCs w:val="24"/>
          <w:lang w:eastAsia="en-US"/>
        </w:rPr>
        <w:t xml:space="preserve"> свързани с взаимодействието между митническите органи и пощенските оператори</w:t>
      </w:r>
      <w:r w:rsidR="00D43AB4">
        <w:rPr>
          <w:rFonts w:eastAsia="Times New Roman" w:cs="Times New Roman"/>
          <w:szCs w:val="24"/>
          <w:lang w:eastAsia="en-US"/>
        </w:rPr>
        <w:t>,</w:t>
      </w:r>
      <w:r w:rsidRPr="00820CAF">
        <w:rPr>
          <w:rFonts w:eastAsia="Times New Roman" w:cs="Times New Roman"/>
          <w:szCs w:val="24"/>
          <w:lang w:eastAsia="en-US"/>
        </w:rPr>
        <w:t xml:space="preserve"> и избягване на практическите затруднения при осъществяване на контрола върху акцизните стоки, се предлагат следните изменения в </w:t>
      </w:r>
      <w:r w:rsidRPr="00820CAF">
        <w:rPr>
          <w:rFonts w:eastAsia="Times New Roman" w:cs="Times New Roman"/>
          <w:b/>
          <w:i/>
          <w:szCs w:val="24"/>
          <w:lang w:eastAsia="en-US"/>
        </w:rPr>
        <w:t>Закона за акцизите и данъчните складове:</w:t>
      </w:r>
    </w:p>
    <w:p w:rsidR="00820CAF" w:rsidRPr="00820CAF" w:rsidRDefault="00820CAF" w:rsidP="003403BF">
      <w:pPr>
        <w:numPr>
          <w:ilvl w:val="0"/>
          <w:numId w:val="33"/>
        </w:numPr>
        <w:tabs>
          <w:tab w:val="left" w:pos="720"/>
        </w:tabs>
        <w:spacing w:before="120" w:after="0"/>
        <w:rPr>
          <w:rFonts w:eastAsia="Times New Roman" w:cs="Times New Roman"/>
          <w:szCs w:val="24"/>
          <w:lang w:eastAsia="en-US"/>
        </w:rPr>
      </w:pPr>
      <w:r w:rsidRPr="00820CAF">
        <w:rPr>
          <w:rFonts w:eastAsia="Times New Roman" w:cs="Times New Roman"/>
          <w:szCs w:val="24"/>
          <w:lang w:eastAsia="en-US"/>
        </w:rPr>
        <w:t xml:space="preserve">Предложение за </w:t>
      </w:r>
      <w:r w:rsidRPr="00820CAF">
        <w:rPr>
          <w:rFonts w:eastAsia="Times New Roman" w:cs="Times New Roman"/>
          <w:b/>
          <w:i/>
          <w:szCs w:val="24"/>
          <w:lang w:eastAsia="en-US"/>
        </w:rPr>
        <w:t>прецизиране на разпоредби, свързани със затруднения по връчването на актовете</w:t>
      </w:r>
      <w:r w:rsidRPr="00820CAF">
        <w:rPr>
          <w:rFonts w:eastAsia="Times New Roman" w:cs="Times New Roman"/>
          <w:szCs w:val="24"/>
          <w:lang w:eastAsia="en-US"/>
        </w:rPr>
        <w:t>, издадени от директора на Агенция „Митници“, които подлежат на предварително изпълнение, както и различните тълкувания относно датата, на която влиза в сила действието на предварителното изпълнение на актовете, а именно датата на издаването им;</w:t>
      </w:r>
    </w:p>
    <w:p w:rsidR="00820CAF" w:rsidRPr="00820CAF" w:rsidRDefault="00820CAF" w:rsidP="003403BF">
      <w:pPr>
        <w:numPr>
          <w:ilvl w:val="0"/>
          <w:numId w:val="33"/>
        </w:numPr>
        <w:tabs>
          <w:tab w:val="left" w:pos="720"/>
        </w:tabs>
        <w:spacing w:before="120" w:after="0"/>
        <w:rPr>
          <w:rFonts w:eastAsia="Times New Roman" w:cs="Times New Roman"/>
          <w:szCs w:val="24"/>
          <w:lang w:eastAsia="en-US"/>
        </w:rPr>
      </w:pPr>
      <w:r w:rsidRPr="00820CAF">
        <w:rPr>
          <w:rFonts w:eastAsia="Times New Roman" w:cs="Times New Roman"/>
          <w:szCs w:val="24"/>
          <w:lang w:eastAsia="en-US"/>
        </w:rPr>
        <w:t xml:space="preserve">Предлага се </w:t>
      </w:r>
      <w:r w:rsidRPr="00820CAF">
        <w:rPr>
          <w:rFonts w:eastAsia="Times New Roman" w:cs="Times New Roman"/>
          <w:b/>
          <w:i/>
          <w:szCs w:val="24"/>
          <w:lang w:eastAsia="en-US"/>
        </w:rPr>
        <w:t>прецизиране на разпоредбите, свързани с акцизните стоки и техните пределни размери на естествените фири</w:t>
      </w:r>
      <w:r w:rsidRPr="00820CAF">
        <w:rPr>
          <w:rFonts w:eastAsia="Times New Roman" w:cs="Times New Roman"/>
          <w:szCs w:val="24"/>
          <w:lang w:eastAsia="en-US"/>
        </w:rPr>
        <w:t>, с цел синхронизиране на закона със съдебната практика по отмяна на ревизионни актове с констатации за липси на акцизни стоки в резултат от неприлагане на Наредба № 13а-10403 за пределните размери на естествените фири, брака и липсите на стоково-материалните ценности при съхраняването и транспортирането им;</w:t>
      </w:r>
    </w:p>
    <w:p w:rsidR="00E0424F" w:rsidRPr="00E0424F" w:rsidRDefault="00820CAF" w:rsidP="00E0424F">
      <w:pPr>
        <w:numPr>
          <w:ilvl w:val="0"/>
          <w:numId w:val="33"/>
        </w:numPr>
        <w:tabs>
          <w:tab w:val="left" w:pos="720"/>
        </w:tabs>
        <w:spacing w:before="120" w:after="0"/>
        <w:rPr>
          <w:rFonts w:eastAsia="Times New Roman" w:cs="Times New Roman"/>
          <w:szCs w:val="24"/>
          <w:lang w:eastAsia="en-US"/>
        </w:rPr>
      </w:pPr>
      <w:r w:rsidRPr="00820CAF">
        <w:rPr>
          <w:rFonts w:eastAsia="Times New Roman" w:cs="Times New Roman"/>
          <w:b/>
          <w:i/>
          <w:szCs w:val="24"/>
          <w:lang w:eastAsia="en-US"/>
        </w:rPr>
        <w:t>Въвеждане на законова регламентация относно</w:t>
      </w:r>
      <w:r w:rsidRPr="00820CAF">
        <w:rPr>
          <w:rFonts w:eastAsia="Times New Roman" w:cs="Times New Roman"/>
          <w:szCs w:val="24"/>
          <w:lang w:eastAsia="en-US"/>
        </w:rPr>
        <w:t xml:space="preserve"> </w:t>
      </w:r>
      <w:r w:rsidRPr="00820CAF">
        <w:rPr>
          <w:rFonts w:eastAsia="Times New Roman" w:cs="Times New Roman"/>
          <w:b/>
          <w:i/>
          <w:szCs w:val="24"/>
          <w:lang w:eastAsia="en-US"/>
        </w:rPr>
        <w:t>взаимодействието между митническите органи и пощенските оператори</w:t>
      </w:r>
      <w:r w:rsidRPr="00820CAF">
        <w:rPr>
          <w:rFonts w:eastAsia="Times New Roman" w:cs="Times New Roman"/>
          <w:szCs w:val="24"/>
          <w:lang w:eastAsia="en-US"/>
        </w:rPr>
        <w:t>, с оглед преодоляване на затруднение, свързано</w:t>
      </w:r>
      <w:r w:rsidR="00431DBD">
        <w:rPr>
          <w:rFonts w:eastAsia="Times New Roman" w:cs="Times New Roman"/>
          <w:szCs w:val="24"/>
          <w:lang w:eastAsia="en-US"/>
        </w:rPr>
        <w:t xml:space="preserve"> </w:t>
      </w:r>
      <w:r w:rsidRPr="00820CAF">
        <w:rPr>
          <w:rFonts w:eastAsia="Times New Roman" w:cs="Times New Roman"/>
          <w:szCs w:val="24"/>
          <w:lang w:eastAsia="en-US"/>
        </w:rPr>
        <w:t>с обработката и съхранението на изискуемите декларации по чл. 99а, ал. 3 от ЗАДС. Тези проблеми оказват негативно влияние върху пощенската сигурност и акцизния контрол. Целта е да се определи нормативно, че лицата няма да имат право да изпращат и получават акцизни стоки чрез пощенски пратки, освен в случаите, предвидени в закона;</w:t>
      </w:r>
    </w:p>
    <w:p w:rsidR="00E0424F" w:rsidRPr="00820CAF" w:rsidRDefault="00E0424F" w:rsidP="00E0424F">
      <w:pPr>
        <w:numPr>
          <w:ilvl w:val="0"/>
          <w:numId w:val="33"/>
        </w:numPr>
        <w:tabs>
          <w:tab w:val="left" w:pos="720"/>
        </w:tabs>
        <w:spacing w:before="120" w:after="0"/>
        <w:rPr>
          <w:rFonts w:eastAsia="Times New Roman" w:cs="Times New Roman"/>
          <w:szCs w:val="24"/>
          <w:lang w:eastAsia="en-US"/>
        </w:rPr>
      </w:pPr>
      <w:r w:rsidRPr="0075751A">
        <w:rPr>
          <w:rFonts w:eastAsia="Times New Roman" w:cs="Times New Roman"/>
          <w:b/>
          <w:i/>
          <w:szCs w:val="24"/>
          <w:lang w:eastAsia="en-US"/>
        </w:rPr>
        <w:t xml:space="preserve">Предложение за </w:t>
      </w:r>
      <w:r>
        <w:rPr>
          <w:rFonts w:eastAsia="Times New Roman" w:cs="Times New Roman"/>
          <w:b/>
          <w:i/>
          <w:szCs w:val="24"/>
          <w:lang w:eastAsia="en-US"/>
        </w:rPr>
        <w:t xml:space="preserve">нормативна </w:t>
      </w:r>
      <w:r w:rsidRPr="0075751A">
        <w:rPr>
          <w:rFonts w:eastAsia="Times New Roman" w:cs="Times New Roman"/>
          <w:b/>
          <w:i/>
          <w:szCs w:val="24"/>
          <w:lang w:eastAsia="en-US"/>
        </w:rPr>
        <w:t xml:space="preserve">промяна, </w:t>
      </w:r>
      <w:r>
        <w:rPr>
          <w:rFonts w:eastAsia="Times New Roman" w:cs="Times New Roman"/>
          <w:b/>
          <w:i/>
          <w:szCs w:val="24"/>
          <w:lang w:eastAsia="en-US"/>
        </w:rPr>
        <w:t>свързано с</w:t>
      </w:r>
      <w:r w:rsidRPr="0075751A">
        <w:rPr>
          <w:rFonts w:eastAsia="Times New Roman" w:cs="Times New Roman"/>
          <w:b/>
          <w:i/>
          <w:szCs w:val="24"/>
          <w:lang w:eastAsia="en-US"/>
        </w:rPr>
        <w:t xml:space="preserve"> </w:t>
      </w:r>
      <w:r>
        <w:rPr>
          <w:rFonts w:eastAsia="Times New Roman" w:cs="Times New Roman"/>
          <w:b/>
          <w:i/>
          <w:szCs w:val="24"/>
          <w:lang w:eastAsia="en-US"/>
        </w:rPr>
        <w:t>предотвратяване на</w:t>
      </w:r>
      <w:r w:rsidRPr="0075751A">
        <w:rPr>
          <w:rFonts w:eastAsia="Times New Roman" w:cs="Times New Roman"/>
          <w:b/>
          <w:i/>
          <w:szCs w:val="24"/>
          <w:lang w:eastAsia="en-US"/>
        </w:rPr>
        <w:t xml:space="preserve"> възможностите</w:t>
      </w:r>
      <w:r>
        <w:rPr>
          <w:rFonts w:eastAsia="Times New Roman" w:cs="Times New Roman"/>
          <w:szCs w:val="24"/>
          <w:lang w:eastAsia="en-US"/>
        </w:rPr>
        <w:t xml:space="preserve"> за</w:t>
      </w:r>
      <w:r w:rsidRPr="000B6FC0">
        <w:rPr>
          <w:rFonts w:eastAsia="Times New Roman" w:cs="Times New Roman"/>
          <w:szCs w:val="24"/>
          <w:lang w:eastAsia="en-US"/>
        </w:rPr>
        <w:t xml:space="preserve"> прехвърлянето на собственост и други действия от страна на проверяваните лица, при които митническите органи са установили данни за нарушение на </w:t>
      </w:r>
      <w:r>
        <w:rPr>
          <w:rFonts w:eastAsia="Times New Roman" w:cs="Times New Roman"/>
          <w:szCs w:val="24"/>
          <w:lang w:eastAsia="en-US"/>
        </w:rPr>
        <w:t>акцизното законодателство</w:t>
      </w:r>
      <w:r w:rsidRPr="000B6FC0">
        <w:rPr>
          <w:rFonts w:eastAsia="Times New Roman" w:cs="Times New Roman"/>
          <w:szCs w:val="24"/>
          <w:lang w:eastAsia="en-US"/>
        </w:rPr>
        <w:t xml:space="preserve"> и са предприели действия за обезпечаване на доказателства, представляващи акцизни стоки. При осъществяване на контрол</w:t>
      </w:r>
      <w:r>
        <w:rPr>
          <w:rFonts w:eastAsia="Times New Roman" w:cs="Times New Roman"/>
          <w:szCs w:val="24"/>
          <w:lang w:eastAsia="en-US"/>
        </w:rPr>
        <w:t>ите действия</w:t>
      </w:r>
      <w:r w:rsidRPr="000B6FC0">
        <w:rPr>
          <w:rFonts w:eastAsia="Times New Roman" w:cs="Times New Roman"/>
          <w:szCs w:val="24"/>
          <w:lang w:eastAsia="en-US"/>
        </w:rPr>
        <w:t>, в хода на проверка, митническите органи обезпечават доказателства (чрез тяхното изземване или запечатване на обекта) с цел събирането и запазването им за едно последващо административнонаказателно производство. В практиката са установени случаи, при които проверяваните лица, с цел възпрепятстване събирането на бъдещите държавни вземания (акциз и глоби/санкции), прехвърлят своето имущество на други лица</w:t>
      </w:r>
      <w:r>
        <w:rPr>
          <w:rFonts w:eastAsia="Times New Roman" w:cs="Times New Roman"/>
          <w:szCs w:val="24"/>
          <w:lang w:eastAsia="en-US"/>
        </w:rPr>
        <w:t>;</w:t>
      </w:r>
    </w:p>
    <w:p w:rsidR="00E0424F" w:rsidRPr="00820CAF" w:rsidRDefault="00E0424F" w:rsidP="00E0424F">
      <w:pPr>
        <w:numPr>
          <w:ilvl w:val="0"/>
          <w:numId w:val="33"/>
        </w:numPr>
        <w:tabs>
          <w:tab w:val="left" w:pos="720"/>
        </w:tabs>
        <w:spacing w:before="120" w:after="0"/>
        <w:rPr>
          <w:rFonts w:eastAsia="Times New Roman" w:cs="Times New Roman"/>
          <w:szCs w:val="24"/>
          <w:lang w:eastAsia="en-US"/>
        </w:rPr>
      </w:pPr>
      <w:r w:rsidRPr="0075751A">
        <w:rPr>
          <w:rFonts w:eastAsia="Times New Roman" w:cs="Times New Roman"/>
          <w:b/>
          <w:i/>
          <w:szCs w:val="24"/>
          <w:lang w:eastAsia="en-US"/>
        </w:rPr>
        <w:t>Въвежда</w:t>
      </w:r>
      <w:r w:rsidR="00141E7E">
        <w:rPr>
          <w:rFonts w:eastAsia="Times New Roman" w:cs="Times New Roman"/>
          <w:b/>
          <w:i/>
          <w:szCs w:val="24"/>
          <w:lang w:eastAsia="en-US"/>
        </w:rPr>
        <w:t>не на</w:t>
      </w:r>
      <w:r w:rsidRPr="0075751A">
        <w:rPr>
          <w:rFonts w:eastAsia="Times New Roman" w:cs="Times New Roman"/>
          <w:b/>
          <w:i/>
          <w:szCs w:val="24"/>
          <w:lang w:eastAsia="en-US"/>
        </w:rPr>
        <w:t xml:space="preserve"> административна санкция</w:t>
      </w:r>
      <w:r w:rsidRPr="00994807">
        <w:rPr>
          <w:rFonts w:eastAsia="Times New Roman" w:cs="Times New Roman"/>
          <w:szCs w:val="24"/>
          <w:lang w:eastAsia="en-US"/>
        </w:rPr>
        <w:t xml:space="preserve"> за физическите лица, които изпращат или пренасят/превозват акцизни стоки с търговски характер за друга държава членка в количества, превишаващи нормативно регламентираните за лична употреба.</w:t>
      </w:r>
    </w:p>
    <w:p w:rsidR="00820CAF" w:rsidRDefault="00820CAF" w:rsidP="008C1DE7">
      <w:pPr>
        <w:tabs>
          <w:tab w:val="left" w:pos="720"/>
        </w:tabs>
        <w:spacing w:before="120" w:after="0"/>
        <w:ind w:left="720"/>
        <w:rPr>
          <w:rFonts w:eastAsia="Times New Roman" w:cs="Times New Roman"/>
          <w:szCs w:val="24"/>
          <w:lang w:eastAsia="en-US"/>
        </w:rPr>
      </w:pPr>
    </w:p>
    <w:p w:rsidR="00820CAF" w:rsidRPr="00820CAF" w:rsidRDefault="00820CAF" w:rsidP="00431DBD">
      <w:pPr>
        <w:pStyle w:val="Heading4"/>
        <w:rPr>
          <w:rFonts w:eastAsia="Times New Roman"/>
        </w:rPr>
      </w:pPr>
      <w:r w:rsidRPr="00820CAF">
        <w:rPr>
          <w:rFonts w:eastAsia="Times New Roman"/>
        </w:rPr>
        <w:t>Подобряване на бизнес средата и намаляване на административната тежест и разходите за бизнеса и гражданите</w:t>
      </w:r>
    </w:p>
    <w:p w:rsidR="00DC6914" w:rsidRDefault="00DC6914" w:rsidP="00DC6914">
      <w:pPr>
        <w:tabs>
          <w:tab w:val="left" w:pos="720"/>
        </w:tabs>
        <w:spacing w:before="120" w:after="0"/>
        <w:ind w:left="864"/>
        <w:rPr>
          <w:rFonts w:eastAsia="Times New Roman" w:cs="Times New Roman"/>
          <w:b/>
          <w:bCs/>
          <w:i/>
          <w:iCs/>
          <w:szCs w:val="24"/>
          <w:lang w:eastAsia="en-US"/>
        </w:rPr>
      </w:pPr>
    </w:p>
    <w:p w:rsidR="00DC6914" w:rsidRPr="003B06D8" w:rsidRDefault="00DC6914" w:rsidP="00DC6914">
      <w:pPr>
        <w:numPr>
          <w:ilvl w:val="0"/>
          <w:numId w:val="33"/>
        </w:numPr>
        <w:tabs>
          <w:tab w:val="left" w:pos="720"/>
        </w:tabs>
        <w:spacing w:before="120" w:after="0"/>
        <w:rPr>
          <w:rFonts w:eastAsia="Times New Roman" w:cs="Times New Roman"/>
          <w:b/>
          <w:bCs/>
          <w:i/>
          <w:iCs/>
          <w:szCs w:val="24"/>
          <w:lang w:eastAsia="en-US"/>
        </w:rPr>
      </w:pPr>
      <w:r w:rsidRPr="003B06D8">
        <w:rPr>
          <w:rFonts w:eastAsia="Times New Roman" w:cs="Times New Roman"/>
          <w:b/>
          <w:bCs/>
          <w:i/>
          <w:iCs/>
          <w:szCs w:val="24"/>
          <w:lang w:eastAsia="en-US"/>
        </w:rPr>
        <w:t>Данъчно облекчение за земеделските стопани</w:t>
      </w:r>
    </w:p>
    <w:p w:rsidR="00DC6914" w:rsidRPr="00DC6914" w:rsidRDefault="00DC6914" w:rsidP="00DC6914">
      <w:pPr>
        <w:tabs>
          <w:tab w:val="left" w:pos="720"/>
        </w:tabs>
        <w:spacing w:before="120" w:after="0"/>
        <w:rPr>
          <w:rFonts w:eastAsia="Times New Roman" w:cs="Times New Roman"/>
          <w:bCs/>
          <w:iCs/>
          <w:szCs w:val="24"/>
          <w:lang w:eastAsia="en-US"/>
        </w:rPr>
      </w:pPr>
      <w:r w:rsidRPr="00AB50CD">
        <w:rPr>
          <w:rFonts w:eastAsia="Times New Roman" w:cs="Times New Roman"/>
          <w:bCs/>
          <w:iCs/>
          <w:szCs w:val="24"/>
          <w:lang w:eastAsia="en-US"/>
        </w:rPr>
        <w:t>Данъчното облекчение по чл. 189б от ЗКПО, представляващо държавна помощ за земеделските стопани, може да се прилага за данъчните периоди до края на 2020 г. Същността на помощта е да се подпомогнат чрез данъчни облекчения предприятия, ангажирани в дейности по производство на непреработена растителна и животинска продукция и да се насърчат инвестициите на земеделските стопани в нови сгради и нова земеделска техника. По този начин допълнително ще се даде възможност за повишаване на инвестиционната активност в тази сфера.</w:t>
      </w:r>
    </w:p>
    <w:p w:rsidR="00820CAF" w:rsidRDefault="00820CAF" w:rsidP="003403BF">
      <w:pPr>
        <w:numPr>
          <w:ilvl w:val="0"/>
          <w:numId w:val="33"/>
        </w:numPr>
        <w:tabs>
          <w:tab w:val="left" w:pos="720"/>
        </w:tabs>
        <w:spacing w:before="120" w:after="0"/>
        <w:rPr>
          <w:rFonts w:eastAsia="Times New Roman" w:cs="Times New Roman"/>
          <w:b/>
          <w:bCs/>
          <w:i/>
          <w:iCs/>
          <w:szCs w:val="24"/>
          <w:lang w:eastAsia="en-US"/>
        </w:rPr>
      </w:pPr>
      <w:r w:rsidRPr="00820CAF">
        <w:rPr>
          <w:rFonts w:eastAsia="Times New Roman" w:cs="Times New Roman"/>
          <w:b/>
          <w:bCs/>
          <w:i/>
          <w:iCs/>
          <w:szCs w:val="24"/>
          <w:lang w:eastAsia="en-US"/>
        </w:rPr>
        <w:t xml:space="preserve">Помощ под формата на отстъпка от стойността на акциза върху газьола, използван в първичното селскостопанско производство </w:t>
      </w:r>
    </w:p>
    <w:p w:rsidR="00820CAF" w:rsidRPr="00820CAF" w:rsidRDefault="00820CAF" w:rsidP="00820CAF">
      <w:pPr>
        <w:spacing w:before="120" w:after="0"/>
        <w:rPr>
          <w:rFonts w:eastAsia="Batang" w:cs="Times New Roman"/>
          <w:szCs w:val="24"/>
          <w:lang w:eastAsia="en-US"/>
        </w:rPr>
      </w:pPr>
      <w:r w:rsidRPr="00820CAF">
        <w:rPr>
          <w:rFonts w:eastAsia="Batang" w:cs="Times New Roman"/>
          <w:szCs w:val="24"/>
          <w:lang w:eastAsia="en-US"/>
        </w:rPr>
        <w:t xml:space="preserve">Помощта под формата на отстъпка от стойността на акциза върху газьола, използван в първичното селскостопанско производство е одобрена от Европейската комисия със срок на прилагане 2015-2020 г. Помощта се предоставя под формата на намаление на акцизната ставка на газьола (дизелово гориво), използван за механизирани дейности в първичното селскостопанско производство. Общият размер на помощта се утвърждава със </w:t>
      </w:r>
      <w:r w:rsidR="007F7B95">
        <w:rPr>
          <w:rFonts w:eastAsia="Batang" w:cs="Times New Roman"/>
          <w:szCs w:val="24"/>
          <w:lang w:eastAsia="en-US"/>
        </w:rPr>
        <w:t>з</w:t>
      </w:r>
      <w:r w:rsidRPr="00820CAF">
        <w:rPr>
          <w:rFonts w:eastAsia="Batang" w:cs="Times New Roman"/>
          <w:szCs w:val="24"/>
          <w:lang w:eastAsia="en-US"/>
        </w:rPr>
        <w:t>акона за държавния бюджет на Република България за съответната година.</w:t>
      </w:r>
    </w:p>
    <w:p w:rsidR="00820CAF" w:rsidRPr="00820CAF" w:rsidRDefault="00820CAF" w:rsidP="003403BF">
      <w:pPr>
        <w:numPr>
          <w:ilvl w:val="0"/>
          <w:numId w:val="33"/>
        </w:numPr>
        <w:tabs>
          <w:tab w:val="left" w:pos="720"/>
        </w:tabs>
        <w:spacing w:before="120" w:after="0"/>
        <w:rPr>
          <w:rFonts w:eastAsia="Times New Roman" w:cs="Times New Roman"/>
          <w:b/>
          <w:bCs/>
          <w:i/>
          <w:iCs/>
          <w:szCs w:val="24"/>
          <w:lang w:eastAsia="en-US"/>
        </w:rPr>
      </w:pPr>
      <w:r w:rsidRPr="00820CAF">
        <w:rPr>
          <w:rFonts w:eastAsia="Times New Roman" w:cs="Times New Roman"/>
          <w:b/>
          <w:bCs/>
          <w:i/>
          <w:iCs/>
          <w:szCs w:val="24"/>
          <w:lang w:eastAsia="en-US"/>
        </w:rPr>
        <w:t>Намаляване на административната тежест, във връзка с деклариране на обстоятелства при ползване на данъчни облекчения в Закона за данъците върху доходите на физическите лица</w:t>
      </w:r>
    </w:p>
    <w:p w:rsidR="00AC7542" w:rsidRPr="00AC7542" w:rsidRDefault="00AC7542" w:rsidP="00AC7542">
      <w:pPr>
        <w:spacing w:before="120" w:after="0"/>
        <w:rPr>
          <w:rFonts w:eastAsia="Batang" w:cs="Times New Roman"/>
          <w:szCs w:val="24"/>
          <w:lang w:eastAsia="en-US"/>
        </w:rPr>
      </w:pPr>
      <w:r w:rsidRPr="00AC7542">
        <w:rPr>
          <w:rFonts w:eastAsia="Batang" w:cs="Times New Roman"/>
          <w:szCs w:val="24"/>
          <w:lang w:eastAsia="en-US"/>
        </w:rPr>
        <w:t xml:space="preserve">Предлага се намаляване на административната тежест за лицата с намалена работоспособност и тези, които отглеждат деца с 50 и над 50 на сто вид и степен на увреждане при ползване на съответните данъчни облекчения  - за лица с намалена работоспособност по чл. 18 от ЗДДФЛ и деца с увреждания по чл. 22г. като отпада задължението към годишната данъчна декларация да се прилага копие на валидно решение на ТЕЛК/НЕЛК. </w:t>
      </w:r>
    </w:p>
    <w:p w:rsidR="00AC7542" w:rsidRPr="00AC7542" w:rsidRDefault="00AC7542" w:rsidP="00AC7542">
      <w:pPr>
        <w:spacing w:before="120" w:after="0"/>
        <w:rPr>
          <w:rFonts w:eastAsia="Batang" w:cs="Times New Roman"/>
          <w:szCs w:val="24"/>
          <w:lang w:eastAsia="en-US"/>
        </w:rPr>
      </w:pPr>
      <w:r w:rsidRPr="00AC7542">
        <w:rPr>
          <w:rFonts w:eastAsia="Batang" w:cs="Times New Roman"/>
          <w:szCs w:val="24"/>
          <w:lang w:eastAsia="en-US"/>
        </w:rPr>
        <w:t>Също така се предлага намаляване на административната тежест при ползване на данъчното облекчение за закупуване на осиг</w:t>
      </w:r>
      <w:r>
        <w:rPr>
          <w:rFonts w:eastAsia="Batang" w:cs="Times New Roman"/>
          <w:szCs w:val="24"/>
          <w:lang w:eastAsia="en-US"/>
        </w:rPr>
        <w:t>урителен стаж при пенсиониране,</w:t>
      </w:r>
      <w:r w:rsidRPr="00AC7542">
        <w:rPr>
          <w:rFonts w:eastAsia="Batang" w:cs="Times New Roman"/>
          <w:szCs w:val="24"/>
          <w:lang w:eastAsia="en-US"/>
        </w:rPr>
        <w:t xml:space="preserve"> като отпада задължението към годишната данъчна декларация да се прилагат копия на документите за направени осигурителни вноски по реда на КСО.</w:t>
      </w:r>
    </w:p>
    <w:p w:rsidR="00AC7542" w:rsidRDefault="00AC7542" w:rsidP="00AC7542">
      <w:pPr>
        <w:spacing w:before="120" w:after="0"/>
        <w:rPr>
          <w:rFonts w:eastAsia="Batang" w:cs="Times New Roman"/>
          <w:szCs w:val="24"/>
          <w:lang w:eastAsia="en-US"/>
        </w:rPr>
      </w:pPr>
      <w:r>
        <w:rPr>
          <w:rFonts w:eastAsia="Batang" w:cs="Times New Roman"/>
          <w:szCs w:val="24"/>
          <w:lang w:eastAsia="en-US"/>
        </w:rPr>
        <w:t>Националната агенция за приходите</w:t>
      </w:r>
      <w:r w:rsidRPr="00AC7542">
        <w:rPr>
          <w:rFonts w:eastAsia="Batang" w:cs="Times New Roman"/>
          <w:szCs w:val="24"/>
          <w:lang w:eastAsia="en-US"/>
        </w:rPr>
        <w:t xml:space="preserve"> вече има достъп до регистър „Единна информационна система на медицинската експертиза“, а личните вноски за осигурителен стаж при пенсиониране се правят в НАП, което прави възможно отпадането на задължението за прилагането им от лицата към годишната данъчна декларация. Предложено е отпадането  на изискванията за прилагане на копия от решенията на ТЕЛК/НЕЛК и копия от направените лични вноски по реда на КСО, да се прилагат и при ползване на данъчни облекчения за  2019 година.</w:t>
      </w:r>
    </w:p>
    <w:p w:rsidR="00820CAF" w:rsidRPr="00820CAF" w:rsidRDefault="00820CAF" w:rsidP="003403BF">
      <w:pPr>
        <w:numPr>
          <w:ilvl w:val="0"/>
          <w:numId w:val="33"/>
        </w:numPr>
        <w:tabs>
          <w:tab w:val="left" w:pos="720"/>
        </w:tabs>
        <w:spacing w:before="120" w:after="0"/>
        <w:rPr>
          <w:rFonts w:eastAsia="Times New Roman" w:cs="Times New Roman"/>
          <w:b/>
          <w:bCs/>
          <w:i/>
          <w:iCs/>
          <w:szCs w:val="24"/>
          <w:lang w:eastAsia="en-US"/>
        </w:rPr>
      </w:pPr>
      <w:r w:rsidRPr="00820CAF">
        <w:rPr>
          <w:rFonts w:eastAsia="Times New Roman" w:cs="Times New Roman"/>
          <w:b/>
          <w:bCs/>
          <w:i/>
          <w:iCs/>
          <w:szCs w:val="24"/>
          <w:lang w:eastAsia="en-US"/>
        </w:rPr>
        <w:t>Синхронизиране на разпоредбите на ЗДДФЛ с тези на нов</w:t>
      </w:r>
      <w:r w:rsidR="00E042F1">
        <w:rPr>
          <w:rFonts w:eastAsia="Times New Roman" w:cs="Times New Roman"/>
          <w:b/>
          <w:bCs/>
          <w:i/>
          <w:iCs/>
          <w:szCs w:val="24"/>
          <w:lang w:eastAsia="en-US"/>
        </w:rPr>
        <w:t>ия</w:t>
      </w:r>
      <w:r w:rsidRPr="00820CAF">
        <w:rPr>
          <w:rFonts w:eastAsia="Times New Roman" w:cs="Times New Roman"/>
          <w:b/>
          <w:bCs/>
          <w:i/>
          <w:iCs/>
          <w:szCs w:val="24"/>
          <w:lang w:eastAsia="en-US"/>
        </w:rPr>
        <w:t xml:space="preserve"> Закон за физическото възпитание и спорта</w:t>
      </w:r>
    </w:p>
    <w:p w:rsidR="00820CAF" w:rsidRPr="00820CAF" w:rsidRDefault="00820CAF" w:rsidP="00820CAF">
      <w:pPr>
        <w:spacing w:before="120" w:after="0"/>
        <w:rPr>
          <w:rFonts w:eastAsia="Calibri" w:cs="Times New Roman"/>
          <w:szCs w:val="24"/>
          <w:lang w:eastAsia="en-US"/>
        </w:rPr>
      </w:pPr>
      <w:r w:rsidRPr="00820CAF">
        <w:rPr>
          <w:rFonts w:eastAsia="Batang" w:cs="Times New Roman"/>
          <w:szCs w:val="24"/>
          <w:lang w:eastAsia="en-US"/>
        </w:rPr>
        <w:t xml:space="preserve">Предлага се приравняване на доходите на спортисти и треньори по договори със спортни клубове на доходи от трудови правоотношения. Предложението цели да </w:t>
      </w:r>
      <w:r w:rsidR="007F7B95">
        <w:rPr>
          <w:rFonts w:eastAsia="Batang" w:cs="Times New Roman"/>
          <w:szCs w:val="24"/>
          <w:lang w:eastAsia="en-US"/>
        </w:rPr>
        <w:t xml:space="preserve">се </w:t>
      </w:r>
      <w:r w:rsidRPr="00820CAF">
        <w:rPr>
          <w:rFonts w:eastAsia="Batang" w:cs="Times New Roman"/>
          <w:szCs w:val="24"/>
          <w:lang w:eastAsia="en-US"/>
        </w:rPr>
        <w:t>регулира еднозначно и ясно облагането на тези доходи във връзка с влизането в сила на нов Закон за физическото възпитание и спорта от януари 2019 г., и по-конкретно по отношение на договорите, предвидени в чл. 77 и чл. 78 от този закон. Предвидено е в</w:t>
      </w:r>
      <w:r w:rsidRPr="00820CAF">
        <w:rPr>
          <w:rFonts w:eastAsia="Calibri" w:cs="Times New Roman"/>
          <w:szCs w:val="24"/>
          <w:lang w:eastAsia="en-US"/>
        </w:rPr>
        <w:t>ъвеждането на изменението да влезе в сила от 1 януари 2020 година.</w:t>
      </w:r>
    </w:p>
    <w:p w:rsidR="00820CAF" w:rsidRPr="00820CAF" w:rsidRDefault="00820CAF" w:rsidP="003403BF">
      <w:pPr>
        <w:numPr>
          <w:ilvl w:val="0"/>
          <w:numId w:val="33"/>
        </w:numPr>
        <w:tabs>
          <w:tab w:val="left" w:pos="720"/>
        </w:tabs>
        <w:spacing w:before="120" w:after="0"/>
        <w:rPr>
          <w:rFonts w:eastAsia="Times New Roman" w:cs="Times New Roman"/>
          <w:b/>
          <w:bCs/>
          <w:i/>
          <w:iCs/>
          <w:szCs w:val="24"/>
          <w:lang w:eastAsia="en-US"/>
        </w:rPr>
      </w:pPr>
      <w:r w:rsidRPr="00820CAF">
        <w:rPr>
          <w:rFonts w:eastAsia="Times New Roman" w:cs="Times New Roman"/>
          <w:b/>
          <w:bCs/>
          <w:i/>
          <w:iCs/>
          <w:szCs w:val="24"/>
          <w:lang w:eastAsia="en-US"/>
        </w:rPr>
        <w:t>Прецизиране на разпоредби, свързани с намаляване на административната тежест за лицата, които предоставят награди, освободени от облагане на основание чл. 13, ал. 1, т. 21 от ЗДДФЛ</w:t>
      </w:r>
    </w:p>
    <w:p w:rsidR="00820CAF" w:rsidRPr="00820CAF" w:rsidRDefault="00820CAF" w:rsidP="00820CAF">
      <w:pPr>
        <w:spacing w:before="120" w:after="0"/>
        <w:rPr>
          <w:rFonts w:eastAsia="Batang" w:cs="Times New Roman"/>
          <w:szCs w:val="24"/>
          <w:lang w:eastAsia="en-US"/>
        </w:rPr>
      </w:pPr>
      <w:r w:rsidRPr="00820CAF">
        <w:rPr>
          <w:rFonts w:eastAsia="Batang" w:cs="Times New Roman"/>
          <w:szCs w:val="24"/>
          <w:lang w:eastAsia="en-US"/>
        </w:rPr>
        <w:t>Задължението за предприятията и самоосигуряващите се лица да включват в справката за изплатени доходи по чл. 73, ал. 1 от ЗДДФЛ наградите във вид на допълнителна игра и предметните печалби с незначителна стойност (до 100 лв.), които са необлагаеми, когато годишният им размер превиши 5 000 лв., е неизпълнимо и не се прилага на практика, което налага предложението за нормативна промяна и намаляване на административната тежест за данъчно задължените лица.</w:t>
      </w:r>
    </w:p>
    <w:p w:rsidR="00820CAF" w:rsidRPr="00820CAF" w:rsidRDefault="00820CAF" w:rsidP="003403BF">
      <w:pPr>
        <w:numPr>
          <w:ilvl w:val="0"/>
          <w:numId w:val="33"/>
        </w:numPr>
        <w:tabs>
          <w:tab w:val="left" w:pos="720"/>
        </w:tabs>
        <w:spacing w:before="120" w:after="0"/>
        <w:rPr>
          <w:rFonts w:eastAsia="Times New Roman" w:cs="Times New Roman"/>
          <w:b/>
          <w:bCs/>
          <w:i/>
          <w:iCs/>
          <w:szCs w:val="24"/>
          <w:lang w:eastAsia="en-US"/>
        </w:rPr>
      </w:pPr>
      <w:r w:rsidRPr="00820CAF">
        <w:rPr>
          <w:rFonts w:eastAsia="Times New Roman" w:cs="Times New Roman"/>
          <w:b/>
          <w:bCs/>
          <w:i/>
          <w:iCs/>
          <w:szCs w:val="24"/>
          <w:lang w:eastAsia="en-US"/>
        </w:rPr>
        <w:t>Синхронизиране на разпоредбите на ЗДДФЛ с тези на ЗКПО относно понятието „скрито разпределение на печалбата“</w:t>
      </w:r>
    </w:p>
    <w:p w:rsidR="00820CAF" w:rsidRPr="00820CAF" w:rsidRDefault="00820CAF" w:rsidP="00820CAF">
      <w:pPr>
        <w:spacing w:before="120" w:after="0"/>
        <w:rPr>
          <w:rFonts w:eastAsia="Batang" w:cs="Times New Roman"/>
          <w:szCs w:val="24"/>
          <w:lang w:eastAsia="en-US"/>
        </w:rPr>
      </w:pPr>
      <w:r w:rsidRPr="00820CAF">
        <w:rPr>
          <w:rFonts w:eastAsia="Batang" w:cs="Times New Roman"/>
          <w:szCs w:val="24"/>
          <w:lang w:eastAsia="en-US"/>
        </w:rPr>
        <w:t>Предлага се текст</w:t>
      </w:r>
      <w:r w:rsidR="007F7B95">
        <w:rPr>
          <w:rFonts w:eastAsia="Batang" w:cs="Times New Roman"/>
          <w:szCs w:val="24"/>
          <w:lang w:eastAsia="en-US"/>
        </w:rPr>
        <w:t>ът</w:t>
      </w:r>
      <w:r w:rsidRPr="00820CAF">
        <w:rPr>
          <w:rFonts w:eastAsia="Batang" w:cs="Times New Roman"/>
          <w:szCs w:val="24"/>
          <w:lang w:eastAsia="en-US"/>
        </w:rPr>
        <w:t xml:space="preserve"> относно основата, върху която се изчислява дължимия данък в случаите на скрито разпределение на печалбата</w:t>
      </w:r>
      <w:r w:rsidR="00AA0F80">
        <w:rPr>
          <w:rFonts w:eastAsia="Batang" w:cs="Times New Roman"/>
          <w:szCs w:val="24"/>
          <w:lang w:eastAsia="en-US"/>
        </w:rPr>
        <w:t>,</w:t>
      </w:r>
      <w:r w:rsidRPr="00820CAF">
        <w:rPr>
          <w:rFonts w:eastAsia="Batang" w:cs="Times New Roman"/>
          <w:szCs w:val="24"/>
          <w:lang w:eastAsia="en-US"/>
        </w:rPr>
        <w:t xml:space="preserve"> да се синхронизира с този на кореспондираща</w:t>
      </w:r>
      <w:r w:rsidR="00AA0F80">
        <w:rPr>
          <w:rFonts w:eastAsia="Batang" w:cs="Times New Roman"/>
          <w:szCs w:val="24"/>
          <w:lang w:eastAsia="en-US"/>
        </w:rPr>
        <w:t>та</w:t>
      </w:r>
      <w:r w:rsidRPr="00820CAF">
        <w:rPr>
          <w:rFonts w:eastAsia="Batang" w:cs="Times New Roman"/>
          <w:szCs w:val="24"/>
          <w:lang w:eastAsia="en-US"/>
        </w:rPr>
        <w:t xml:space="preserve"> разпоредба в ЗДДФЛ и с дефиницията на понятието „скрито разпределение на печалбата“ в ЗКПО, за да се определя коректно дължимия</w:t>
      </w:r>
      <w:r w:rsidR="00D43AB4">
        <w:rPr>
          <w:rFonts w:eastAsia="Batang" w:cs="Times New Roman"/>
          <w:szCs w:val="24"/>
          <w:lang w:eastAsia="en-US"/>
        </w:rPr>
        <w:t>т</w:t>
      </w:r>
      <w:r w:rsidRPr="00820CAF">
        <w:rPr>
          <w:rFonts w:eastAsia="Batang" w:cs="Times New Roman"/>
          <w:szCs w:val="24"/>
          <w:lang w:eastAsia="en-US"/>
        </w:rPr>
        <w:t xml:space="preserve"> данък във всички случаи на скрито разпределение на печалбата, включително когато въпросните суми не са начислени</w:t>
      </w:r>
      <w:r w:rsidR="00AC7542">
        <w:rPr>
          <w:rFonts w:eastAsia="Batang" w:cs="Times New Roman"/>
          <w:szCs w:val="24"/>
          <w:lang w:eastAsia="en-US"/>
        </w:rPr>
        <w:t>.</w:t>
      </w:r>
    </w:p>
    <w:p w:rsidR="00820CAF" w:rsidRPr="00820CAF" w:rsidRDefault="00820CAF" w:rsidP="003403BF">
      <w:pPr>
        <w:numPr>
          <w:ilvl w:val="0"/>
          <w:numId w:val="33"/>
        </w:numPr>
        <w:tabs>
          <w:tab w:val="left" w:pos="720"/>
        </w:tabs>
        <w:spacing w:before="120" w:after="0"/>
        <w:rPr>
          <w:rFonts w:eastAsia="Times New Roman" w:cs="Times New Roman"/>
          <w:b/>
          <w:bCs/>
          <w:i/>
          <w:iCs/>
          <w:szCs w:val="24"/>
          <w:lang w:eastAsia="en-US"/>
        </w:rPr>
      </w:pPr>
      <w:r w:rsidRPr="00820CAF">
        <w:rPr>
          <w:rFonts w:eastAsia="Times New Roman" w:cs="Times New Roman"/>
          <w:b/>
          <w:bCs/>
          <w:i/>
          <w:iCs/>
          <w:szCs w:val="24"/>
          <w:lang w:eastAsia="en-US"/>
        </w:rPr>
        <w:t>Синхронизиране на дефинициите за „ликвидационен дял“ и „данъчен кредит“ в ЗДДФЛ с тези в ЗКПО</w:t>
      </w:r>
    </w:p>
    <w:p w:rsidR="00820CAF" w:rsidRPr="00820CAF" w:rsidRDefault="00820CAF" w:rsidP="00820CAF">
      <w:pPr>
        <w:spacing w:before="120" w:after="0"/>
        <w:rPr>
          <w:rFonts w:eastAsia="Calibri" w:cs="Times New Roman"/>
          <w:szCs w:val="24"/>
          <w:lang w:eastAsia="en-US"/>
        </w:rPr>
      </w:pPr>
      <w:r w:rsidRPr="00820CAF">
        <w:rPr>
          <w:rFonts w:eastAsia="Calibri" w:cs="Times New Roman"/>
          <w:szCs w:val="24"/>
          <w:lang w:eastAsia="en-US"/>
        </w:rPr>
        <w:t>С предлаганата промяна в дефиницията за „ликвидационен дял“ в ЗДДФЛ  не се разширява кръг</w:t>
      </w:r>
      <w:r w:rsidR="00D43AB4">
        <w:rPr>
          <w:rFonts w:eastAsia="Calibri" w:cs="Times New Roman"/>
          <w:szCs w:val="24"/>
          <w:lang w:eastAsia="en-US"/>
        </w:rPr>
        <w:t>ът</w:t>
      </w:r>
      <w:r w:rsidRPr="00820CAF">
        <w:rPr>
          <w:rFonts w:eastAsia="Calibri" w:cs="Times New Roman"/>
          <w:szCs w:val="24"/>
          <w:lang w:eastAsia="en-US"/>
        </w:rPr>
        <w:t xml:space="preserve"> на облагаемите доходи, а </w:t>
      </w:r>
      <w:r w:rsidR="00AC7542">
        <w:rPr>
          <w:rFonts w:eastAsia="Calibri" w:cs="Times New Roman"/>
          <w:szCs w:val="24"/>
          <w:lang w:eastAsia="en-US"/>
        </w:rPr>
        <w:t xml:space="preserve">се изяснява, </w:t>
      </w:r>
      <w:r w:rsidRPr="00820CAF">
        <w:rPr>
          <w:rFonts w:eastAsia="Calibri" w:cs="Times New Roman"/>
          <w:szCs w:val="24"/>
          <w:lang w:eastAsia="en-US"/>
        </w:rPr>
        <w:t>че същите ще се облагат като „ликвидационен дял“, а не с данък върху общата годишна данъчна основа. Уеднаквяването на дефиницията с тази, дадена в ЗКПО, ще улесни прилагането на закона по отношение на данъчното третиране и облагане на доходите от ликвидационен дял, получени от местните физически лица от източници в чужбина.</w:t>
      </w:r>
    </w:p>
    <w:p w:rsidR="00820CAF" w:rsidRDefault="00820CAF" w:rsidP="00820CAF">
      <w:pPr>
        <w:spacing w:before="120" w:after="0"/>
        <w:rPr>
          <w:rFonts w:eastAsia="Calibri" w:cs="Times New Roman"/>
          <w:szCs w:val="24"/>
          <w:lang w:eastAsia="en-US"/>
        </w:rPr>
      </w:pPr>
      <w:r w:rsidRPr="00820CAF">
        <w:rPr>
          <w:rFonts w:eastAsia="Calibri" w:cs="Times New Roman"/>
          <w:szCs w:val="24"/>
          <w:lang w:eastAsia="en-US"/>
        </w:rPr>
        <w:t>Синхронизирането на дефиницията за „данъчен кредит“ в ЗДДФЛ и ЗКПО ще улесни приложението на разпоредбата като се избегне неяснота в случаите на използване на данъчен кредит от физическите лица при платен от тях данък в чужбина върху печалби и доходи от източник в страната или чужбина.</w:t>
      </w:r>
    </w:p>
    <w:p w:rsidR="00D57546" w:rsidRPr="00A9412E" w:rsidRDefault="00D57546" w:rsidP="00D57546">
      <w:pPr>
        <w:pStyle w:val="ListParagraph"/>
        <w:numPr>
          <w:ilvl w:val="0"/>
          <w:numId w:val="33"/>
        </w:numPr>
        <w:spacing w:before="120" w:after="0"/>
        <w:rPr>
          <w:rFonts w:eastAsia="Calibri" w:cs="Times New Roman"/>
          <w:b/>
          <w:i/>
          <w:szCs w:val="24"/>
          <w:lang w:eastAsia="en-US"/>
        </w:rPr>
      </w:pPr>
      <w:r w:rsidRPr="00A9412E">
        <w:rPr>
          <w:rFonts w:eastAsia="Calibri" w:cs="Times New Roman"/>
          <w:b/>
          <w:i/>
          <w:szCs w:val="24"/>
          <w:lang w:eastAsia="en-US"/>
        </w:rPr>
        <w:t>Промени, свързани с намаляване на административната тежест в Закона за акци</w:t>
      </w:r>
      <w:r w:rsidR="00141E7E">
        <w:rPr>
          <w:rFonts w:eastAsia="Calibri" w:cs="Times New Roman"/>
          <w:b/>
          <w:i/>
          <w:szCs w:val="24"/>
          <w:lang w:eastAsia="en-US"/>
        </w:rPr>
        <w:t>зите и данъчните складове</w:t>
      </w:r>
    </w:p>
    <w:p w:rsidR="00D57546" w:rsidRPr="00820CAF" w:rsidRDefault="00D57546" w:rsidP="00D57546">
      <w:pPr>
        <w:spacing w:before="120" w:after="0"/>
        <w:rPr>
          <w:rFonts w:eastAsia="Calibri" w:cs="Times New Roman"/>
          <w:szCs w:val="24"/>
          <w:lang w:eastAsia="en-US"/>
        </w:rPr>
      </w:pPr>
      <w:r>
        <w:rPr>
          <w:rFonts w:eastAsia="Calibri" w:cs="Times New Roman"/>
          <w:szCs w:val="24"/>
          <w:lang w:eastAsia="en-US"/>
        </w:rPr>
        <w:t>Създава се</w:t>
      </w:r>
      <w:r w:rsidRPr="00EF558E">
        <w:rPr>
          <w:rFonts w:eastAsia="Calibri" w:cs="Times New Roman"/>
          <w:szCs w:val="24"/>
          <w:lang w:eastAsia="en-US"/>
        </w:rPr>
        <w:t xml:space="preserve"> възможност за </w:t>
      </w:r>
      <w:r>
        <w:rPr>
          <w:rFonts w:eastAsia="Calibri" w:cs="Times New Roman"/>
          <w:szCs w:val="24"/>
          <w:lang w:eastAsia="en-US"/>
        </w:rPr>
        <w:t xml:space="preserve">данъчно задължените лица, при попълване на съответните административни формуляри по закона, </w:t>
      </w:r>
      <w:r w:rsidRPr="00EF558E">
        <w:rPr>
          <w:rFonts w:eastAsia="Calibri" w:cs="Times New Roman"/>
          <w:szCs w:val="24"/>
          <w:lang w:eastAsia="en-US"/>
        </w:rPr>
        <w:t xml:space="preserve">да посочват индивидуализиращите данни на </w:t>
      </w:r>
      <w:r>
        <w:rPr>
          <w:rFonts w:eastAsia="Calibri" w:cs="Times New Roman"/>
          <w:szCs w:val="24"/>
          <w:lang w:eastAsia="en-US"/>
        </w:rPr>
        <w:t>изискуемите</w:t>
      </w:r>
      <w:r w:rsidRPr="00EF558E">
        <w:rPr>
          <w:rFonts w:eastAsia="Calibri" w:cs="Times New Roman"/>
          <w:szCs w:val="24"/>
          <w:lang w:eastAsia="en-US"/>
        </w:rPr>
        <w:t xml:space="preserve"> документ</w:t>
      </w:r>
      <w:r>
        <w:rPr>
          <w:rFonts w:eastAsia="Calibri" w:cs="Times New Roman"/>
          <w:szCs w:val="24"/>
          <w:lang w:eastAsia="en-US"/>
        </w:rPr>
        <w:t>и</w:t>
      </w:r>
      <w:r w:rsidRPr="00EF558E">
        <w:rPr>
          <w:rFonts w:eastAsia="Calibri" w:cs="Times New Roman"/>
          <w:szCs w:val="24"/>
          <w:lang w:eastAsia="en-US"/>
        </w:rPr>
        <w:t xml:space="preserve">, въз основа на които </w:t>
      </w:r>
      <w:r>
        <w:rPr>
          <w:rFonts w:eastAsia="Calibri" w:cs="Times New Roman"/>
          <w:szCs w:val="24"/>
          <w:lang w:eastAsia="en-US"/>
        </w:rPr>
        <w:t xml:space="preserve">може </w:t>
      </w:r>
      <w:r w:rsidRPr="00EF558E">
        <w:rPr>
          <w:rFonts w:eastAsia="Calibri" w:cs="Times New Roman"/>
          <w:szCs w:val="24"/>
          <w:lang w:eastAsia="en-US"/>
        </w:rPr>
        <w:t>да се установи информацията по служебен път, чрез справка в средата за междурегистров обмен.</w:t>
      </w:r>
      <w:r>
        <w:rPr>
          <w:rFonts w:eastAsia="Calibri" w:cs="Times New Roman"/>
          <w:szCs w:val="24"/>
          <w:lang w:eastAsia="en-US"/>
        </w:rPr>
        <w:t xml:space="preserve"> Целта е о</w:t>
      </w:r>
      <w:r w:rsidRPr="0075751A">
        <w:rPr>
          <w:rFonts w:eastAsia="Calibri" w:cs="Times New Roman"/>
          <w:szCs w:val="24"/>
          <w:lang w:eastAsia="en-US"/>
        </w:rPr>
        <w:t>простяване и привеждане на услугите за бизнеса в съответствие със Закона за ограничаване на административното регулиране и административния контрол върху стопанската дейност</w:t>
      </w:r>
      <w:r>
        <w:rPr>
          <w:rFonts w:eastAsia="Calibri" w:cs="Times New Roman"/>
          <w:szCs w:val="24"/>
          <w:lang w:eastAsia="en-US"/>
        </w:rPr>
        <w:t>.</w:t>
      </w:r>
    </w:p>
    <w:p w:rsidR="00820CAF" w:rsidRPr="00820CAF" w:rsidRDefault="00820CAF" w:rsidP="00431DBD">
      <w:pPr>
        <w:pStyle w:val="Heading4"/>
        <w:rPr>
          <w:rFonts w:eastAsia="Times New Roman"/>
        </w:rPr>
      </w:pPr>
      <w:r w:rsidRPr="00820CAF">
        <w:rPr>
          <w:rFonts w:eastAsia="Times New Roman"/>
        </w:rPr>
        <w:t>Мерки в областта на събиране на просрочени задължения</w:t>
      </w:r>
    </w:p>
    <w:p w:rsidR="00820CAF" w:rsidRPr="00820CAF" w:rsidRDefault="00820CAF" w:rsidP="00820CAF">
      <w:pPr>
        <w:spacing w:before="120" w:after="0"/>
        <w:rPr>
          <w:rFonts w:eastAsia="Calibri" w:cs="Times New Roman"/>
          <w:szCs w:val="24"/>
          <w:lang w:eastAsia="en-US"/>
        </w:rPr>
      </w:pPr>
      <w:r w:rsidRPr="00820CAF">
        <w:rPr>
          <w:rFonts w:eastAsia="Calibri" w:cs="Times New Roman"/>
          <w:szCs w:val="24"/>
          <w:lang w:eastAsia="en-US"/>
        </w:rPr>
        <w:t>Продължава да се прилага текущо оперативно наблюдение на задължените лица чрез определяне на действия по събиране и селективен подход към длъжниците на база размера на дълга им, риска за събиране на задължението и тяхното поведение към спазването на задълженията за регистриране, деклариране и заплащане на задължения за данъци и осигуровки и други публични държавни вземания.</w:t>
      </w:r>
    </w:p>
    <w:p w:rsidR="00820CAF" w:rsidRPr="00820CAF" w:rsidRDefault="00820CAF" w:rsidP="00820CAF">
      <w:pPr>
        <w:spacing w:before="120" w:after="0"/>
        <w:rPr>
          <w:rFonts w:eastAsia="Calibri" w:cs="Times New Roman"/>
          <w:szCs w:val="24"/>
          <w:lang w:eastAsia="en-US"/>
        </w:rPr>
      </w:pPr>
      <w:r w:rsidRPr="00820CAF">
        <w:rPr>
          <w:rFonts w:eastAsia="Calibri" w:cs="Times New Roman"/>
          <w:szCs w:val="24"/>
          <w:lang w:eastAsia="en-US"/>
        </w:rPr>
        <w:t>Прилагат се техники за стимулиране и спазване на доброволното изпълнение на задълженията в зависимост от това към коя група попадат задължените лица: уведомления, напомнителни писма, разясняване на възможностите за обезпечаване и погасяване на задълженията на лица с временно финансово затруднение, възможност за сключване на споразумения с приходната администрация.</w:t>
      </w:r>
    </w:p>
    <w:p w:rsidR="00820CAF" w:rsidRPr="00820CAF" w:rsidRDefault="00820CAF" w:rsidP="00820CAF">
      <w:pPr>
        <w:spacing w:before="120" w:after="0"/>
        <w:rPr>
          <w:rFonts w:eastAsia="Calibri" w:cs="Times New Roman"/>
          <w:szCs w:val="24"/>
          <w:lang w:eastAsia="en-US"/>
        </w:rPr>
      </w:pPr>
      <w:r w:rsidRPr="00820CAF">
        <w:rPr>
          <w:rFonts w:eastAsia="Calibri" w:cs="Times New Roman"/>
          <w:szCs w:val="24"/>
          <w:lang w:eastAsia="en-US"/>
        </w:rPr>
        <w:t>В тази връзка ще продължат да се изпълняват следните мерки:</w:t>
      </w:r>
    </w:p>
    <w:p w:rsidR="00820CAF" w:rsidRPr="00820CAF" w:rsidRDefault="00820CAF" w:rsidP="003403BF">
      <w:pPr>
        <w:numPr>
          <w:ilvl w:val="0"/>
          <w:numId w:val="33"/>
        </w:numPr>
        <w:tabs>
          <w:tab w:val="left" w:pos="720"/>
        </w:tabs>
        <w:spacing w:before="120" w:after="0"/>
        <w:rPr>
          <w:rFonts w:eastAsia="Times New Roman" w:cs="Times New Roman"/>
          <w:b/>
          <w:bCs/>
          <w:i/>
          <w:iCs/>
          <w:szCs w:val="24"/>
          <w:lang w:eastAsia="en-US"/>
        </w:rPr>
      </w:pPr>
      <w:r w:rsidRPr="00820CAF">
        <w:rPr>
          <w:rFonts w:eastAsia="Times New Roman" w:cs="Times New Roman"/>
          <w:b/>
          <w:bCs/>
          <w:i/>
          <w:iCs/>
          <w:szCs w:val="24"/>
          <w:lang w:eastAsia="en-US"/>
        </w:rPr>
        <w:t>Осъществяване на постоянен мониторинг спрямо длъжници с просрочени задължения в размер над 100 хил. лв. (200 хил. лв. за Териториална дирекция на НАП София-град) за данъци и задължителни осигурителни вноски, категоризирани като събираеми и частично-събираеми, в т.ч. и провеждане на персонални срещи от страна на директорите на териториални дирекции на НАП в цялата страна с лицата с невнесени публични задължения в особено големи размери</w:t>
      </w:r>
    </w:p>
    <w:p w:rsidR="00820CAF" w:rsidRPr="00820CAF" w:rsidRDefault="00820CAF" w:rsidP="00820CAF">
      <w:pPr>
        <w:spacing w:before="120" w:after="0"/>
        <w:rPr>
          <w:rFonts w:eastAsia="Calibri" w:cs="Times New Roman"/>
          <w:szCs w:val="24"/>
          <w:lang w:eastAsia="en-US"/>
        </w:rPr>
      </w:pPr>
      <w:r w:rsidRPr="00820CAF">
        <w:rPr>
          <w:rFonts w:eastAsia="Calibri" w:cs="Times New Roman"/>
          <w:szCs w:val="24"/>
          <w:lang w:eastAsia="en-US"/>
        </w:rPr>
        <w:t>Мярката е с постоянен характер и нейната цел е да се поемат изрични ангажименти за предоставяне на обезпечения и/или извършване на цялостни или частични плащания на просрочените дългове, ефективно наблюдение на поетите от длъжниците ангажименти и навременен контрол за третирането им от страна на компетентните органи – актуална оценка на икономическия статус на задълженото лице, своевременно налагане на обезпечителни мерки, издаване на разрешения за неотложни плащания, разсрочване/отсрочване, реализиране на имуществото, извършване на ревизии и проверки при необходимост и други.</w:t>
      </w:r>
    </w:p>
    <w:p w:rsidR="00820CAF" w:rsidRPr="00820CAF" w:rsidRDefault="00820CAF" w:rsidP="003403BF">
      <w:pPr>
        <w:numPr>
          <w:ilvl w:val="0"/>
          <w:numId w:val="33"/>
        </w:numPr>
        <w:tabs>
          <w:tab w:val="left" w:pos="720"/>
        </w:tabs>
        <w:spacing w:before="120" w:after="0"/>
        <w:rPr>
          <w:rFonts w:eastAsia="Times New Roman" w:cs="Times New Roman"/>
          <w:b/>
          <w:bCs/>
          <w:i/>
          <w:iCs/>
          <w:szCs w:val="24"/>
          <w:lang w:eastAsia="en-US"/>
        </w:rPr>
      </w:pPr>
      <w:r w:rsidRPr="00820CAF">
        <w:rPr>
          <w:rFonts w:eastAsia="Times New Roman" w:cs="Times New Roman"/>
          <w:b/>
          <w:bCs/>
          <w:i/>
          <w:iCs/>
          <w:szCs w:val="24"/>
          <w:lang w:eastAsia="en-US"/>
        </w:rPr>
        <w:t>Усъвършенстване на механизма за погасяване на публични задължения на лица с вземания от общини, от други ведомства или държавни предприятия по договори за обществени поръчки и такива, възложени в изпълнение на оперативни програми на ЕС чрез насочване на принудителното изпълнение срещу трети задължени лица, каквито се явяват посочените</w:t>
      </w:r>
    </w:p>
    <w:p w:rsidR="00820CAF" w:rsidRPr="00820CAF" w:rsidRDefault="00820CAF" w:rsidP="00820CAF">
      <w:pPr>
        <w:spacing w:before="120" w:after="0"/>
        <w:rPr>
          <w:rFonts w:eastAsia="Batang" w:cs="Times New Roman"/>
          <w:szCs w:val="24"/>
          <w:lang w:eastAsia="en-US"/>
        </w:rPr>
      </w:pPr>
      <w:r w:rsidRPr="00820CAF">
        <w:rPr>
          <w:rFonts w:eastAsia="SimSun" w:cs="Times New Roman"/>
          <w:kern w:val="2"/>
          <w:szCs w:val="24"/>
          <w:lang w:eastAsia="zh-CN"/>
        </w:rPr>
        <w:t xml:space="preserve">Една от основните мерки за събиране на публичните задължения от длъжници, явяващи се изпълнители по договори с лица-разпоредители с бюджет, е приоритетно насочване на изпълнението към предстоящите плащания по тези договори (РМС № 788/28.11.2014 г., РМС № 593/20.07.2016 г. и РМС № 592/21.08.2018 г.). Мярката е с постоянен характер и беше въведена през </w:t>
      </w:r>
      <w:r w:rsidR="00A937A1">
        <w:rPr>
          <w:rFonts w:eastAsia="SimSun" w:cs="Times New Roman"/>
          <w:kern w:val="2"/>
          <w:szCs w:val="24"/>
          <w:lang w:eastAsia="zh-CN"/>
        </w:rPr>
        <w:t xml:space="preserve">м. </w:t>
      </w:r>
      <w:r w:rsidRPr="00820CAF">
        <w:rPr>
          <w:rFonts w:eastAsia="SimSun" w:cs="Times New Roman"/>
          <w:kern w:val="2"/>
          <w:szCs w:val="24"/>
          <w:lang w:eastAsia="zh-CN"/>
        </w:rPr>
        <w:t xml:space="preserve">декември 2014 г. с цел постигане на бърза и ефективна събираемост на публичните вземания. Допълнително през 2016 г. е внедрена и информационна система „РМС 593“, която подпомага взаимодействието между разпоредителите с бюджет и приходните администрации, така че за лицата, които нямат задължения към НАП и </w:t>
      </w:r>
      <w:r w:rsidR="006F0B92" w:rsidRPr="006F0B92">
        <w:rPr>
          <w:rFonts w:eastAsia="SimSun" w:cs="Times New Roman"/>
          <w:kern w:val="2"/>
          <w:szCs w:val="24"/>
          <w:lang w:eastAsia="zh-CN"/>
        </w:rPr>
        <w:t>Агенция „Митници“</w:t>
      </w:r>
      <w:r w:rsidRPr="00820CAF">
        <w:rPr>
          <w:rFonts w:eastAsia="SimSun" w:cs="Times New Roman"/>
          <w:kern w:val="2"/>
          <w:szCs w:val="24"/>
          <w:lang w:eastAsia="zh-CN"/>
        </w:rPr>
        <w:t xml:space="preserve"> над 100 лв., да е възможно незабавно разплащане, а по отношение на длъжниците – да се ускори процесът по налагане на обезпечителни мерки по изпълнението им.</w:t>
      </w:r>
    </w:p>
    <w:p w:rsidR="00820CAF" w:rsidRPr="00820CAF" w:rsidRDefault="00820CAF" w:rsidP="00820CAF">
      <w:pPr>
        <w:spacing w:before="120" w:after="0"/>
        <w:rPr>
          <w:rFonts w:eastAsia="Batang" w:cs="Times New Roman"/>
          <w:szCs w:val="24"/>
          <w:lang w:eastAsia="en-US"/>
        </w:rPr>
      </w:pPr>
      <w:r w:rsidRPr="00820CAF">
        <w:rPr>
          <w:rFonts w:eastAsia="Batang" w:cs="Times New Roman"/>
          <w:szCs w:val="24"/>
          <w:lang w:eastAsia="en-US"/>
        </w:rPr>
        <w:t>През 2018 г. мярката се развива с цел осъществяване на ефективна защита на фискалната позиция и се оптимизира процесът по събиране на бюджетните приходи от мита, данъци, задължителни осигурителни вноски и други публични вземания, администрирани от Националната агенция за приходите и Агенция „Митници“.</w:t>
      </w:r>
      <w:r w:rsidRPr="00820CAF">
        <w:rPr>
          <w:rFonts w:ascii="Calibri" w:eastAsia="Calibri" w:hAnsi="Calibri" w:cs="Times New Roman"/>
          <w:sz w:val="22"/>
          <w:lang w:eastAsia="en-US"/>
        </w:rPr>
        <w:t xml:space="preserve"> </w:t>
      </w:r>
      <w:r w:rsidRPr="00820CAF">
        <w:rPr>
          <w:rFonts w:eastAsia="Batang" w:cs="Times New Roman"/>
          <w:szCs w:val="24"/>
          <w:lang w:eastAsia="en-US"/>
        </w:rPr>
        <w:t xml:space="preserve">С РМС № 592/2018 г. се установява нова процедура, при която разпоредителите с бюджет уведомяват приходните администрации, освен за предстоящите плащания по договори или за първични платежни документи, също така и за сключените от тях договори, на стойност, равна на или надвишаваща 30 000 лв. Промяната цели да повиши приходите в бюджета, като предостави възможност на приходните администрации на по-ранен етап – още след сключване на договора – да налагат обезпечителни мерки, които да гарантират събирането на </w:t>
      </w:r>
      <w:r w:rsidR="006F0B92">
        <w:rPr>
          <w:rFonts w:eastAsia="Batang" w:cs="Times New Roman"/>
          <w:szCs w:val="24"/>
          <w:lang w:eastAsia="en-US"/>
        </w:rPr>
        <w:t>публичните задължения на лицата-</w:t>
      </w:r>
      <w:r w:rsidRPr="00820CAF">
        <w:rPr>
          <w:rFonts w:eastAsia="Batang" w:cs="Times New Roman"/>
          <w:szCs w:val="24"/>
          <w:lang w:eastAsia="en-US"/>
        </w:rPr>
        <w:t>изпълнители по договори/получатели на плащания. Направено е изменение, свързано с въвеждане на задължения за платците по договорите, когато тези лица са различни от разпоредителите с бюджет, сключили договора, също да уведомяват приходните администрации. Основни цели на приетото решение са да се повиши събираемостта на публичните вземания, да се намалят разходите за събиране на публичните вземания чрез електронен обмен на информация и ефективно да се използват съществуващите информационни технологии и ресурси в институциите. В тази връзка е регламентиран обменът на информацията между разпоредителите с бюджет и приходните администрации, който съгласно приетото Решение се извършва чрез новоразработена информационна система „РМС-Плащания“, при спазване на определен ред и срокове.</w:t>
      </w:r>
    </w:p>
    <w:p w:rsidR="005B1E72" w:rsidRPr="00BD507B" w:rsidRDefault="00190E21" w:rsidP="00A73E68">
      <w:pPr>
        <w:pStyle w:val="Heading3"/>
        <w:ind w:left="0"/>
      </w:pPr>
      <w:bookmarkStart w:id="414" w:name="_Toc464224791"/>
      <w:bookmarkStart w:id="415" w:name="_Toc464225441"/>
      <w:bookmarkStart w:id="416" w:name="_Toc464458988"/>
      <w:bookmarkStart w:id="417" w:name="_Toc464459736"/>
      <w:bookmarkStart w:id="418" w:name="_Toc464460689"/>
      <w:bookmarkStart w:id="419" w:name="_Toc464463088"/>
      <w:bookmarkStart w:id="420" w:name="_Toc464464915"/>
      <w:bookmarkStart w:id="421" w:name="_Toc464465421"/>
      <w:bookmarkStart w:id="422" w:name="_Toc464465609"/>
      <w:bookmarkStart w:id="423" w:name="_Toc464466434"/>
      <w:bookmarkStart w:id="424" w:name="_Toc464466678"/>
      <w:bookmarkStart w:id="425" w:name="_Toc464644993"/>
      <w:bookmarkStart w:id="426" w:name="_Toc465070487"/>
      <w:bookmarkStart w:id="427" w:name="_Toc465205537"/>
      <w:r>
        <w:t>ДАНЪЧН</w:t>
      </w:r>
      <w:r w:rsidR="005B1E72" w:rsidRPr="00BD507B">
        <w:t>И</w:t>
      </w:r>
      <w:r>
        <w:t xml:space="preserve"> </w:t>
      </w:r>
      <w:r w:rsidR="005B1E72" w:rsidRPr="00BD507B">
        <w:t>ПРИХОДИ</w:t>
      </w:r>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p>
    <w:p w:rsidR="005B1E72" w:rsidRPr="00FC2F83" w:rsidRDefault="005B1E72" w:rsidP="00FE030E">
      <w:pPr>
        <w:pStyle w:val="Heading6"/>
        <w:ind w:left="1134" w:hanging="774"/>
      </w:pPr>
      <w:r w:rsidRPr="00FC2F83">
        <w:t>Приходи от корпоративни данъци (вкл. данъци върху дивидентите, ликвидационните дялове и доходите на местни и чуждестранни юридически лица и други данъци по ЗКПО)</w:t>
      </w:r>
    </w:p>
    <w:p w:rsidR="00BE0B6A" w:rsidRPr="009D25AA" w:rsidRDefault="00BE0B6A" w:rsidP="00BE0B6A">
      <w:pPr>
        <w:spacing w:before="120" w:after="0"/>
        <w:rPr>
          <w:rFonts w:eastAsia="Batang"/>
        </w:rPr>
      </w:pPr>
      <w:bookmarkStart w:id="428" w:name="_Toc464224787"/>
      <w:bookmarkStart w:id="429" w:name="_Toc464225437"/>
      <w:bookmarkStart w:id="430" w:name="_Toc464458984"/>
      <w:bookmarkStart w:id="431" w:name="_Toc464463084"/>
      <w:bookmarkStart w:id="432" w:name="_Toc464464911"/>
      <w:bookmarkStart w:id="433" w:name="_Toc464465417"/>
      <w:bookmarkStart w:id="434" w:name="_Toc464465605"/>
      <w:bookmarkStart w:id="435" w:name="_Toc464466430"/>
      <w:bookmarkStart w:id="436" w:name="_Toc464466674"/>
      <w:bookmarkStart w:id="437" w:name="_Toc464644986"/>
      <w:bookmarkStart w:id="438" w:name="_Toc465205517"/>
      <w:r w:rsidRPr="009D25AA">
        <w:rPr>
          <w:rFonts w:eastAsia="Batang"/>
        </w:rPr>
        <w:t xml:space="preserve">Прогнозните приходи от корпоративен данък за 2020 г. са 2 974,2 млн. лв. </w:t>
      </w:r>
    </w:p>
    <w:p w:rsidR="00BE0B6A" w:rsidRPr="009D25AA" w:rsidRDefault="00BE0B6A" w:rsidP="00BE0B6A">
      <w:pPr>
        <w:spacing w:before="120" w:after="0"/>
        <w:rPr>
          <w:rFonts w:eastAsia="Batang"/>
        </w:rPr>
      </w:pPr>
      <w:r w:rsidRPr="009D25AA">
        <w:rPr>
          <w:rFonts w:eastAsia="Batang"/>
        </w:rPr>
        <w:t>В прогнозата са включени следните данъци по ЗКПО:</w:t>
      </w:r>
    </w:p>
    <w:p w:rsidR="00BE0B6A" w:rsidRPr="009D25AA" w:rsidRDefault="00BE0B6A" w:rsidP="00BE0B6A">
      <w:pPr>
        <w:pStyle w:val="ListParagraph"/>
        <w:spacing w:before="120" w:after="0"/>
        <w:ind w:left="851" w:hanging="284"/>
        <w:rPr>
          <w:rFonts w:eastAsia="Batang"/>
        </w:rPr>
      </w:pPr>
      <w:r w:rsidRPr="009D25AA">
        <w:rPr>
          <w:rFonts w:eastAsia="Batang"/>
        </w:rPr>
        <w:t>Корпоративен данък (от финансови институции и нефинансови предприятия) – 2 731,1 млн. лв.;</w:t>
      </w:r>
    </w:p>
    <w:p w:rsidR="00BE0B6A" w:rsidRPr="009D25AA" w:rsidRDefault="00BE0B6A" w:rsidP="00BE0B6A">
      <w:pPr>
        <w:pStyle w:val="ListParagraph"/>
        <w:spacing w:before="120" w:after="0"/>
        <w:ind w:left="851" w:hanging="284"/>
        <w:rPr>
          <w:rFonts w:eastAsia="Batang"/>
        </w:rPr>
      </w:pPr>
      <w:r w:rsidRPr="009D25AA">
        <w:rPr>
          <w:rFonts w:eastAsia="Batang"/>
        </w:rPr>
        <w:t>Данъци върху дивидентите, ликвидационните дялове и доходите на местни и чуждестранни юридически лица – 84,0 млн. лв.;</w:t>
      </w:r>
    </w:p>
    <w:p w:rsidR="00BE0B6A" w:rsidRPr="009D25AA" w:rsidRDefault="00BE0B6A" w:rsidP="00BE0B6A">
      <w:pPr>
        <w:pStyle w:val="ListParagraph"/>
        <w:spacing w:before="120" w:after="0"/>
        <w:ind w:left="851" w:hanging="284"/>
        <w:rPr>
          <w:rFonts w:eastAsia="Batang"/>
        </w:rPr>
      </w:pPr>
      <w:r w:rsidRPr="009D25AA">
        <w:rPr>
          <w:rFonts w:eastAsia="Batang"/>
        </w:rPr>
        <w:t>Други данъци по ЗКПО – 159,1 млн. лв.</w:t>
      </w:r>
    </w:p>
    <w:p w:rsidR="00BE0B6A" w:rsidRPr="009D25AA" w:rsidRDefault="00BE0B6A" w:rsidP="00BE0B6A">
      <w:pPr>
        <w:spacing w:before="120" w:after="0"/>
        <w:rPr>
          <w:rFonts w:eastAsia="Batang"/>
        </w:rPr>
      </w:pPr>
      <w:r w:rsidRPr="009D25AA">
        <w:rPr>
          <w:rFonts w:eastAsia="Batang"/>
        </w:rPr>
        <w:t>Прогнозата за размера на приходите от тази група данъци за 2020 г. е базирана на следните допускания:</w:t>
      </w:r>
    </w:p>
    <w:p w:rsidR="00BE0B6A" w:rsidRPr="0060630B" w:rsidRDefault="00BE0B6A" w:rsidP="003403BF">
      <w:pPr>
        <w:pStyle w:val="ListParagraph"/>
        <w:numPr>
          <w:ilvl w:val="0"/>
          <w:numId w:val="37"/>
        </w:numPr>
        <w:spacing w:before="120" w:after="0"/>
        <w:rPr>
          <w:rFonts w:eastAsia="Batang"/>
        </w:rPr>
      </w:pPr>
      <w:r w:rsidRPr="0060630B">
        <w:rPr>
          <w:rFonts w:eastAsia="Batang"/>
        </w:rPr>
        <w:t>запазване на ставката от 10% през целия период;</w:t>
      </w:r>
    </w:p>
    <w:p w:rsidR="00BE0B6A" w:rsidRPr="0060630B" w:rsidRDefault="00BE0B6A" w:rsidP="003403BF">
      <w:pPr>
        <w:pStyle w:val="ListParagraph"/>
        <w:numPr>
          <w:ilvl w:val="0"/>
          <w:numId w:val="37"/>
        </w:numPr>
        <w:spacing w:before="120" w:after="0"/>
        <w:rPr>
          <w:rFonts w:eastAsia="Batang"/>
        </w:rPr>
      </w:pPr>
      <w:r w:rsidRPr="0060630B">
        <w:rPr>
          <w:rFonts w:eastAsia="Batang"/>
        </w:rPr>
        <w:t xml:space="preserve">номинален ръст на показателя бруто опериращ излишък/смесен доход, съгласно есенната макроикономическа прогноза на МФ; </w:t>
      </w:r>
    </w:p>
    <w:p w:rsidR="00BE0B6A" w:rsidRDefault="00BE0B6A" w:rsidP="003403BF">
      <w:pPr>
        <w:pStyle w:val="ListParagraph"/>
        <w:numPr>
          <w:ilvl w:val="0"/>
          <w:numId w:val="37"/>
        </w:numPr>
        <w:spacing w:before="120" w:after="0"/>
        <w:rPr>
          <w:rFonts w:eastAsia="Batang"/>
        </w:rPr>
      </w:pPr>
      <w:r w:rsidRPr="0060630B">
        <w:rPr>
          <w:rFonts w:eastAsia="Batang"/>
        </w:rPr>
        <w:t>при прогнозиране на приходите от данъци по ЗКПО са взети предвид, показателите, отчетени за първото полугодие на 2019 г. за декларираната облагаема печалба/загуба за финансовата 2018 г., както и декларираните от данъчно задължени</w:t>
      </w:r>
      <w:r>
        <w:rPr>
          <w:rFonts w:eastAsia="Batang"/>
        </w:rPr>
        <w:t>те</w:t>
      </w:r>
      <w:r w:rsidRPr="0060630B">
        <w:rPr>
          <w:rFonts w:eastAsia="Batang"/>
        </w:rPr>
        <w:t xml:space="preserve"> лица с годишните данъчни декларации данни за загуби, които подлежат на приспадане през следващи отчетни периоди;</w:t>
      </w:r>
    </w:p>
    <w:p w:rsidR="00BE0B6A" w:rsidRDefault="00BE0B6A" w:rsidP="003403BF">
      <w:pPr>
        <w:pStyle w:val="ListParagraph"/>
        <w:numPr>
          <w:ilvl w:val="0"/>
          <w:numId w:val="37"/>
        </w:numPr>
        <w:spacing w:before="120" w:after="0"/>
        <w:rPr>
          <w:rFonts w:eastAsia="Batang"/>
        </w:rPr>
      </w:pPr>
      <w:r w:rsidRPr="0060630B">
        <w:rPr>
          <w:rFonts w:eastAsia="Batang"/>
        </w:rPr>
        <w:t>запазване на размера на внесените авансови вноски за корпоративен данък в края на годината.</w:t>
      </w:r>
    </w:p>
    <w:p w:rsidR="007E007B" w:rsidRPr="008C3AC2" w:rsidRDefault="007E007B" w:rsidP="007E007B">
      <w:pPr>
        <w:spacing w:before="120" w:after="0"/>
        <w:rPr>
          <w:rFonts w:eastAsia="Batang"/>
        </w:rPr>
      </w:pPr>
      <w:r w:rsidRPr="007E007B">
        <w:rPr>
          <w:rFonts w:eastAsia="Batang"/>
        </w:rPr>
        <w:t xml:space="preserve">Планираните </w:t>
      </w:r>
      <w:r w:rsidRPr="008C3AC2">
        <w:rPr>
          <w:rFonts w:eastAsia="Batang"/>
        </w:rPr>
        <w:t>приходи от корпоративен данък са съответно 3 164,1 млн. лв. за 2021 г. и 3</w:t>
      </w:r>
      <w:r w:rsidR="008C3AC2">
        <w:rPr>
          <w:rFonts w:eastAsia="Batang"/>
        </w:rPr>
        <w:t> </w:t>
      </w:r>
      <w:r w:rsidRPr="008C3AC2">
        <w:rPr>
          <w:rFonts w:eastAsia="Batang"/>
        </w:rPr>
        <w:t>351,0 млн. лв. за 2022 година.</w:t>
      </w:r>
    </w:p>
    <w:p w:rsidR="00BE0B6A" w:rsidRPr="008C3AC2" w:rsidRDefault="00BE0B6A" w:rsidP="00BE0B6A">
      <w:pPr>
        <w:spacing w:after="120"/>
        <w:rPr>
          <w:rFonts w:eastAsia="Batang"/>
          <w:highlight w:val="yellow"/>
        </w:rPr>
      </w:pPr>
    </w:p>
    <w:p w:rsidR="00034C85" w:rsidRDefault="00034C85" w:rsidP="00BE0B6A">
      <w:pPr>
        <w:spacing w:after="120"/>
        <w:rPr>
          <w:rFonts w:eastAsia="Batang"/>
          <w:highlight w:val="yellow"/>
        </w:rPr>
      </w:pPr>
    </w:p>
    <w:p w:rsidR="00BE0B6A" w:rsidRPr="005375AC" w:rsidRDefault="00BE0B6A" w:rsidP="00BE0B6A">
      <w:pPr>
        <w:pStyle w:val="Heading6"/>
      </w:pPr>
      <w:r w:rsidRPr="005375AC">
        <w:t>Приходи от ДДФЛ</w:t>
      </w:r>
    </w:p>
    <w:p w:rsidR="00BE0B6A" w:rsidRPr="009D25AA" w:rsidRDefault="00BE0B6A" w:rsidP="00BE0B6A">
      <w:pPr>
        <w:spacing w:before="120" w:after="0"/>
        <w:rPr>
          <w:rFonts w:eastAsia="Batang"/>
        </w:rPr>
      </w:pPr>
      <w:r w:rsidRPr="00D13906">
        <w:rPr>
          <w:rFonts w:eastAsia="Batang"/>
        </w:rPr>
        <w:t xml:space="preserve">Прогнозните приходи от данъци върху доходите на физически лица за 2020 г. са в размер </w:t>
      </w:r>
      <w:r w:rsidRPr="009D25AA">
        <w:rPr>
          <w:rFonts w:eastAsia="Batang"/>
        </w:rPr>
        <w:t>на 4 358,5 млн. лв. (с изкл. на постъпленията от патентен данък).</w:t>
      </w:r>
    </w:p>
    <w:p w:rsidR="00BE0B6A" w:rsidRPr="00D13906" w:rsidRDefault="00BE0B6A" w:rsidP="00BE0B6A">
      <w:pPr>
        <w:spacing w:before="120" w:after="0"/>
        <w:rPr>
          <w:rFonts w:eastAsia="Batang"/>
        </w:rPr>
      </w:pPr>
      <w:r w:rsidRPr="009D25AA">
        <w:rPr>
          <w:rFonts w:eastAsia="Batang"/>
        </w:rPr>
        <w:t xml:space="preserve">Прогнозата за постъпленията </w:t>
      </w:r>
      <w:r w:rsidRPr="00D13906">
        <w:rPr>
          <w:rFonts w:eastAsia="Batang"/>
        </w:rPr>
        <w:t xml:space="preserve">от ДДФЛ е изготвена, като са взети предвид следните фактори: </w:t>
      </w:r>
    </w:p>
    <w:p w:rsidR="00BE0B6A" w:rsidRPr="00D13906" w:rsidRDefault="00BE0B6A" w:rsidP="003403BF">
      <w:pPr>
        <w:pStyle w:val="ListParagraph"/>
        <w:numPr>
          <w:ilvl w:val="0"/>
          <w:numId w:val="37"/>
        </w:numPr>
        <w:spacing w:before="120" w:after="0"/>
        <w:rPr>
          <w:rFonts w:eastAsia="Batang"/>
        </w:rPr>
      </w:pPr>
      <w:r w:rsidRPr="00D13906">
        <w:rPr>
          <w:rFonts w:eastAsia="Batang"/>
        </w:rPr>
        <w:t>номинален ръст на показателя компенсации на наетите лица, съгласно есенната макроикономическа прогноза на МФ;</w:t>
      </w:r>
    </w:p>
    <w:p w:rsidR="00BE0B6A" w:rsidRPr="00D13906" w:rsidRDefault="00BE0B6A" w:rsidP="003403BF">
      <w:pPr>
        <w:pStyle w:val="ListParagraph"/>
        <w:numPr>
          <w:ilvl w:val="0"/>
          <w:numId w:val="37"/>
        </w:numPr>
        <w:spacing w:before="120" w:after="0"/>
        <w:rPr>
          <w:rFonts w:eastAsia="Batang"/>
        </w:rPr>
      </w:pPr>
      <w:r w:rsidRPr="00D13906">
        <w:rPr>
          <w:rFonts w:eastAsia="Batang"/>
        </w:rPr>
        <w:t>прогнозен брой заети лица;</w:t>
      </w:r>
    </w:p>
    <w:p w:rsidR="00BE0B6A" w:rsidRPr="00D13906" w:rsidRDefault="00BE0B6A" w:rsidP="003403BF">
      <w:pPr>
        <w:pStyle w:val="ListParagraph"/>
        <w:numPr>
          <w:ilvl w:val="0"/>
          <w:numId w:val="37"/>
        </w:numPr>
        <w:spacing w:before="120" w:after="0"/>
        <w:rPr>
          <w:rFonts w:eastAsia="Batang"/>
        </w:rPr>
      </w:pPr>
      <w:r w:rsidRPr="00D13906">
        <w:rPr>
          <w:rFonts w:eastAsia="Batang"/>
        </w:rPr>
        <w:t>максимален осигурителен доход в размер на 3 000 лв.;</w:t>
      </w:r>
    </w:p>
    <w:p w:rsidR="00BE0B6A" w:rsidRPr="00D13906" w:rsidRDefault="00A5292E" w:rsidP="003403BF">
      <w:pPr>
        <w:pStyle w:val="ListParagraph"/>
        <w:numPr>
          <w:ilvl w:val="0"/>
          <w:numId w:val="37"/>
        </w:numPr>
        <w:spacing w:before="120" w:after="0"/>
        <w:rPr>
          <w:rFonts w:eastAsia="Batang"/>
        </w:rPr>
      </w:pPr>
      <w:r>
        <w:rPr>
          <w:rFonts w:eastAsia="Batang"/>
        </w:rPr>
        <w:t>увеличение</w:t>
      </w:r>
      <w:r w:rsidR="00BE0B6A" w:rsidRPr="00D13906">
        <w:rPr>
          <w:rFonts w:eastAsia="Batang"/>
        </w:rPr>
        <w:t xml:space="preserve"> на мин</w:t>
      </w:r>
      <w:r w:rsidR="00BE0B6A">
        <w:rPr>
          <w:rFonts w:eastAsia="Batang"/>
        </w:rPr>
        <w:t>ималната работна заплата с 50 лв.</w:t>
      </w:r>
      <w:r w:rsidR="00BE0B6A" w:rsidRPr="00D13906">
        <w:rPr>
          <w:rFonts w:eastAsia="Batang"/>
        </w:rPr>
        <w:t xml:space="preserve"> от началото на 2020 г. Оцененият ефект от увеличението е допълнителни приходи от ДДФЛ в размер на 22,8 млн. лв. за 2020 г.;</w:t>
      </w:r>
    </w:p>
    <w:p w:rsidR="00BE0B6A" w:rsidRPr="00D13906" w:rsidRDefault="00A5292E" w:rsidP="003403BF">
      <w:pPr>
        <w:pStyle w:val="ListParagraph"/>
        <w:numPr>
          <w:ilvl w:val="0"/>
          <w:numId w:val="37"/>
        </w:numPr>
        <w:spacing w:before="120" w:after="0"/>
        <w:rPr>
          <w:rFonts w:eastAsia="Batang"/>
        </w:rPr>
      </w:pPr>
      <w:r>
        <w:rPr>
          <w:rFonts w:eastAsia="Batang"/>
        </w:rPr>
        <w:t>увеличение</w:t>
      </w:r>
      <w:r w:rsidR="00BE0B6A" w:rsidRPr="00D13906">
        <w:rPr>
          <w:rFonts w:eastAsia="Batang"/>
        </w:rPr>
        <w:t xml:space="preserve"> на учителските заплати, което ще доведе до нарастване на приходите от ДДФЛ с 25,2 млн. лв. за 2020 г.;</w:t>
      </w:r>
    </w:p>
    <w:p w:rsidR="00BE0B6A" w:rsidRPr="00D13906" w:rsidRDefault="00A5292E" w:rsidP="003403BF">
      <w:pPr>
        <w:pStyle w:val="ListParagraph"/>
        <w:numPr>
          <w:ilvl w:val="0"/>
          <w:numId w:val="37"/>
        </w:numPr>
        <w:spacing w:before="120" w:after="0"/>
        <w:rPr>
          <w:rFonts w:eastAsia="Batang"/>
        </w:rPr>
      </w:pPr>
      <w:r>
        <w:rPr>
          <w:rFonts w:eastAsia="Batang"/>
        </w:rPr>
        <w:t>увеличение</w:t>
      </w:r>
      <w:r w:rsidR="00BE0B6A" w:rsidRPr="00D13906">
        <w:rPr>
          <w:rFonts w:eastAsia="Batang"/>
        </w:rPr>
        <w:t xml:space="preserve"> на средствата за заплати в обществения сектор с 10% от началото на 2020 г., което ще доведе до повишаване на приходите от ДДФЛ с 38,2 млн. лв. за 2020 г.;</w:t>
      </w:r>
    </w:p>
    <w:p w:rsidR="00BE0B6A" w:rsidRPr="00D13906" w:rsidRDefault="00A5292E" w:rsidP="003403BF">
      <w:pPr>
        <w:pStyle w:val="ListParagraph"/>
        <w:numPr>
          <w:ilvl w:val="0"/>
          <w:numId w:val="37"/>
        </w:numPr>
        <w:spacing w:before="120" w:after="0"/>
        <w:rPr>
          <w:rFonts w:eastAsia="Batang"/>
        </w:rPr>
      </w:pPr>
      <w:r>
        <w:rPr>
          <w:rFonts w:eastAsia="Batang"/>
        </w:rPr>
        <w:t>увеличение</w:t>
      </w:r>
      <w:r w:rsidR="00BE0B6A" w:rsidRPr="00D13906">
        <w:rPr>
          <w:rFonts w:eastAsia="Batang"/>
        </w:rPr>
        <w:t xml:space="preserve"> на минималните осигурителни доходи по икономически дейности и групи професии за наетите лица и на минималния осигурителен доход за самоосигуряващите се</w:t>
      </w:r>
      <w:r w:rsidR="00C1779E">
        <w:rPr>
          <w:rFonts w:eastAsia="Batang"/>
        </w:rPr>
        <w:t xml:space="preserve"> лица вследствие на увеличението</w:t>
      </w:r>
      <w:r w:rsidR="00BE0B6A" w:rsidRPr="00D13906">
        <w:rPr>
          <w:rFonts w:eastAsia="Batang"/>
        </w:rPr>
        <w:t xml:space="preserve"> на минималната работна заплата, както и увеличение на минималния месечен размер на осигурителния доход за земеделските стопани и тютюнопроизводителите, което ще доведе до допълнителни приходи от ДДФЛ в размер на 12,7 млн. лв. за 2020 г.;</w:t>
      </w:r>
    </w:p>
    <w:p w:rsidR="00BE0B6A" w:rsidRPr="009D25AA" w:rsidRDefault="00BE0B6A" w:rsidP="003403BF">
      <w:pPr>
        <w:pStyle w:val="ListParagraph"/>
        <w:numPr>
          <w:ilvl w:val="0"/>
          <w:numId w:val="37"/>
        </w:numPr>
        <w:spacing w:before="120" w:after="0"/>
        <w:rPr>
          <w:rFonts w:eastAsia="Batang"/>
        </w:rPr>
      </w:pPr>
      <w:r w:rsidRPr="009D25AA">
        <w:rPr>
          <w:rFonts w:eastAsia="Batang"/>
        </w:rPr>
        <w:t>запазване на нивото на изплатените допълнителни възнаграждения на данъкоплатците в края на годината.</w:t>
      </w:r>
    </w:p>
    <w:p w:rsidR="007E007B" w:rsidRPr="009D25AA" w:rsidRDefault="007E007B" w:rsidP="00BE0B6A">
      <w:pPr>
        <w:spacing w:before="120" w:after="0"/>
        <w:rPr>
          <w:rFonts w:eastAsia="Batang"/>
        </w:rPr>
      </w:pPr>
      <w:r w:rsidRPr="009D25AA">
        <w:rPr>
          <w:rFonts w:eastAsia="Batang"/>
        </w:rPr>
        <w:t>За 2021 г. прогнозните постъпления от ДДФЛ са в размер на 4 632,0  млн. лв., а за 2022 г. достигат 4 906,4 млн. лв.</w:t>
      </w:r>
    </w:p>
    <w:p w:rsidR="00BE0B6A" w:rsidRPr="00071E32" w:rsidRDefault="00BE0B6A" w:rsidP="00BE0B6A">
      <w:pPr>
        <w:spacing w:before="120" w:after="0"/>
        <w:rPr>
          <w:rFonts w:eastAsia="Batang"/>
        </w:rPr>
      </w:pPr>
      <w:r w:rsidRPr="00D13906">
        <w:rPr>
          <w:rFonts w:eastAsia="Batang"/>
        </w:rPr>
        <w:t>В размера на приходите от личното подоходно облагане не са включени постъпленията от патентен данък, постъпващ в местните бюджети.</w:t>
      </w:r>
    </w:p>
    <w:p w:rsidR="00BE0B6A" w:rsidRDefault="00BE0B6A" w:rsidP="00BE0B6A">
      <w:pPr>
        <w:spacing w:after="120"/>
        <w:rPr>
          <w:rFonts w:eastAsia="Batang"/>
          <w:highlight w:val="yellow"/>
        </w:rPr>
      </w:pPr>
    </w:p>
    <w:p w:rsidR="00BE0B6A" w:rsidRPr="00190E21" w:rsidRDefault="00BE0B6A" w:rsidP="00BE0B6A">
      <w:pPr>
        <w:pStyle w:val="Heading6"/>
      </w:pPr>
      <w:r w:rsidRPr="00190E21">
        <w:t>Приходи от ДДС</w:t>
      </w:r>
    </w:p>
    <w:p w:rsidR="00BE0B6A" w:rsidRDefault="00BE0B6A" w:rsidP="00BE0B6A">
      <w:pPr>
        <w:spacing w:before="120" w:after="0"/>
        <w:rPr>
          <w:rFonts w:eastAsia="Batang"/>
        </w:rPr>
      </w:pPr>
    </w:p>
    <w:p w:rsidR="00BE0B6A" w:rsidRPr="009D25AA" w:rsidRDefault="00BE0B6A" w:rsidP="00BE0B6A">
      <w:pPr>
        <w:spacing w:before="120" w:after="0"/>
        <w:rPr>
          <w:rFonts w:eastAsia="Batang"/>
        </w:rPr>
      </w:pPr>
      <w:r w:rsidRPr="00B040B6">
        <w:rPr>
          <w:rFonts w:eastAsia="Batang"/>
        </w:rPr>
        <w:t xml:space="preserve">Прогнозните приходи от </w:t>
      </w:r>
      <w:r w:rsidRPr="009D25AA">
        <w:rPr>
          <w:rFonts w:eastAsia="Batang"/>
        </w:rPr>
        <w:t>ДДС за 2020 г. са 11 730,0 млн. лв. при относителен дял от потреблението в размер на 12,0%.</w:t>
      </w:r>
    </w:p>
    <w:p w:rsidR="00BE0B6A" w:rsidRPr="009D25AA" w:rsidRDefault="00BE0B6A" w:rsidP="00BE0B6A">
      <w:pPr>
        <w:spacing w:before="120" w:after="0"/>
        <w:rPr>
          <w:rFonts w:eastAsia="Batang"/>
        </w:rPr>
      </w:pPr>
      <w:r w:rsidRPr="009D25AA">
        <w:rPr>
          <w:rFonts w:eastAsia="Batang"/>
        </w:rPr>
        <w:t>При прогнозиране на приходите от ДДС са взети предвид следните фактори:</w:t>
      </w:r>
    </w:p>
    <w:p w:rsidR="00BE0B6A" w:rsidRPr="00B040B6" w:rsidRDefault="00BE0B6A" w:rsidP="003403BF">
      <w:pPr>
        <w:pStyle w:val="ListParagraph"/>
        <w:numPr>
          <w:ilvl w:val="0"/>
          <w:numId w:val="37"/>
        </w:numPr>
        <w:spacing w:before="120" w:after="0"/>
        <w:rPr>
          <w:rFonts w:eastAsia="Batang"/>
        </w:rPr>
      </w:pPr>
      <w:r w:rsidRPr="009D25AA">
        <w:rPr>
          <w:rFonts w:eastAsia="Batang"/>
        </w:rPr>
        <w:t>прогнозен ръст на ефективно внесения данък</w:t>
      </w:r>
      <w:r w:rsidRPr="00B040B6">
        <w:rPr>
          <w:rFonts w:eastAsia="Batang"/>
        </w:rPr>
        <w:t>, администриран от двете приходни агенции за 2020 г.;</w:t>
      </w:r>
    </w:p>
    <w:p w:rsidR="00BE0B6A" w:rsidRPr="00B040B6" w:rsidRDefault="00BE0B6A" w:rsidP="003403BF">
      <w:pPr>
        <w:pStyle w:val="ListParagraph"/>
        <w:numPr>
          <w:ilvl w:val="0"/>
          <w:numId w:val="37"/>
        </w:numPr>
        <w:spacing w:before="120" w:after="0"/>
        <w:rPr>
          <w:rFonts w:eastAsia="Batang"/>
        </w:rPr>
      </w:pPr>
      <w:r w:rsidRPr="00B040B6">
        <w:rPr>
          <w:rFonts w:eastAsia="Batang"/>
        </w:rPr>
        <w:t>прогнозен размер на възстановения ДДС;</w:t>
      </w:r>
    </w:p>
    <w:p w:rsidR="00BE0B6A" w:rsidRPr="00B040B6" w:rsidRDefault="00BE0B6A" w:rsidP="003403BF">
      <w:pPr>
        <w:pStyle w:val="ListParagraph"/>
        <w:numPr>
          <w:ilvl w:val="0"/>
          <w:numId w:val="37"/>
        </w:numPr>
        <w:spacing w:before="120" w:after="0"/>
        <w:rPr>
          <w:rFonts w:eastAsia="Batang"/>
        </w:rPr>
      </w:pPr>
      <w:r w:rsidRPr="00B040B6">
        <w:rPr>
          <w:rFonts w:eastAsia="Batang"/>
        </w:rPr>
        <w:t>запазване на невъзстановения в срок ДДС за 2020 г. на нивото, отчетено за 2018 г.;</w:t>
      </w:r>
    </w:p>
    <w:p w:rsidR="00BE0B6A" w:rsidRPr="00B040B6" w:rsidRDefault="00BE0B6A" w:rsidP="003403BF">
      <w:pPr>
        <w:pStyle w:val="ListParagraph"/>
        <w:numPr>
          <w:ilvl w:val="0"/>
          <w:numId w:val="37"/>
        </w:numPr>
        <w:spacing w:before="120" w:after="0"/>
        <w:rPr>
          <w:rFonts w:eastAsia="Batang"/>
        </w:rPr>
      </w:pPr>
      <w:r w:rsidRPr="00B040B6">
        <w:rPr>
          <w:rFonts w:eastAsia="Batang"/>
        </w:rPr>
        <w:t>прогнозни допускания за физическите обеми на стоките, пораждащи ДДС от внос и показателите за прогнозни количества суров нефт, мазут и други стоки;</w:t>
      </w:r>
    </w:p>
    <w:p w:rsidR="00BE0B6A" w:rsidRPr="00B040B6" w:rsidRDefault="00BE0B6A" w:rsidP="003403BF">
      <w:pPr>
        <w:pStyle w:val="ListParagraph"/>
        <w:numPr>
          <w:ilvl w:val="0"/>
          <w:numId w:val="37"/>
        </w:numPr>
        <w:spacing w:before="120" w:after="0"/>
        <w:rPr>
          <w:rFonts w:eastAsia="Batang"/>
        </w:rPr>
      </w:pPr>
      <w:r w:rsidRPr="00B040B6">
        <w:rPr>
          <w:rFonts w:eastAsia="Batang"/>
        </w:rPr>
        <w:t>допускания за ръст на вноса, износа и потреблението, валутния курс (щ.д./лев), цена на барел за петрол тип „Брент“, предвидени в есенната макроикономическа прогноза на МФ.</w:t>
      </w:r>
    </w:p>
    <w:p w:rsidR="00BE0B6A" w:rsidRDefault="00BE0B6A" w:rsidP="00BE0B6A">
      <w:pPr>
        <w:spacing w:before="120" w:after="0"/>
        <w:rPr>
          <w:rFonts w:eastAsia="Batang"/>
        </w:rPr>
      </w:pPr>
      <w:r w:rsidRPr="00B040B6">
        <w:rPr>
          <w:rFonts w:eastAsia="Batang"/>
        </w:rPr>
        <w:t>При оценката за очакваните постъпления от ДДС за 2020 г. е взето предвид и действието на мерките за предотвратяване на възможностите за злоупотреби и данъчни измами с ДДС и повишаване на бюджетните приходи.</w:t>
      </w:r>
    </w:p>
    <w:p w:rsidR="00276558" w:rsidRDefault="0058284D" w:rsidP="00BE0B6A">
      <w:pPr>
        <w:spacing w:before="120" w:after="0"/>
        <w:rPr>
          <w:rFonts w:eastAsia="Batang"/>
          <w:highlight w:val="yellow"/>
        </w:rPr>
      </w:pPr>
      <w:r>
        <w:rPr>
          <w:rFonts w:eastAsia="Batang"/>
        </w:rPr>
        <w:t>П</w:t>
      </w:r>
      <w:r w:rsidR="007E007B" w:rsidRPr="007E007B">
        <w:rPr>
          <w:rFonts w:eastAsia="Batang"/>
        </w:rPr>
        <w:t xml:space="preserve">рогнозните постъпления от ДДС са </w:t>
      </w:r>
      <w:r w:rsidR="007E007B" w:rsidRPr="009D25AA">
        <w:rPr>
          <w:rFonts w:eastAsia="Batang"/>
        </w:rPr>
        <w:t xml:space="preserve">съответно 12 360,0 млн. лв. за 2021 г. и 13 060,0 </w:t>
      </w:r>
      <w:r w:rsidR="007E007B" w:rsidRPr="007E007B">
        <w:rPr>
          <w:rFonts w:eastAsia="Batang"/>
        </w:rPr>
        <w:t>млн. лв. за 2022 г.</w:t>
      </w:r>
    </w:p>
    <w:p w:rsidR="00BE0B6A" w:rsidRDefault="00BE0B6A" w:rsidP="00BE0B6A">
      <w:pPr>
        <w:spacing w:before="120" w:after="0"/>
        <w:rPr>
          <w:rFonts w:eastAsia="Batang"/>
          <w:highlight w:val="yellow"/>
        </w:rPr>
      </w:pPr>
    </w:p>
    <w:p w:rsidR="00BE0B6A" w:rsidRPr="00190E21" w:rsidRDefault="00BE0B6A" w:rsidP="00BE0B6A">
      <w:pPr>
        <w:pStyle w:val="Heading6"/>
      </w:pPr>
      <w:r w:rsidRPr="00190E21">
        <w:t>Приходи от акцизи</w:t>
      </w:r>
    </w:p>
    <w:p w:rsidR="00BE0B6A" w:rsidRPr="009D25AA" w:rsidRDefault="00BE0B6A" w:rsidP="00BE0B6A">
      <w:pPr>
        <w:spacing w:before="120" w:after="0"/>
        <w:rPr>
          <w:rFonts w:eastAsia="Batang"/>
        </w:rPr>
      </w:pPr>
      <w:r w:rsidRPr="003071B1">
        <w:rPr>
          <w:rFonts w:eastAsia="Batang"/>
        </w:rPr>
        <w:t xml:space="preserve">Прогнозните приходи от акцизи за 2020 г. </w:t>
      </w:r>
      <w:r w:rsidRPr="009D25AA">
        <w:rPr>
          <w:rFonts w:eastAsia="Batang"/>
        </w:rPr>
        <w:t>са 5 685,1 млн. лв., като относителният дял на постъпленията от акцизи спрямо потреблението е 5,8%.</w:t>
      </w:r>
    </w:p>
    <w:p w:rsidR="00BE0B6A" w:rsidRPr="003071B1" w:rsidRDefault="00BE0B6A" w:rsidP="00BE0B6A">
      <w:pPr>
        <w:spacing w:before="120" w:after="0"/>
        <w:rPr>
          <w:rFonts w:eastAsia="Batang"/>
        </w:rPr>
      </w:pPr>
      <w:r w:rsidRPr="003071B1">
        <w:rPr>
          <w:rFonts w:eastAsia="Batang"/>
        </w:rPr>
        <w:t xml:space="preserve">Приходите от акцизи се формират основно от две групи стоки – тютюневи изделия с относителен дял от 49,2% и горива, с относителен дял от 44,3% в общата сума на постъпленията. Останалите акцизни стоки (вкл. алкохолни напитки, бира, електрическа енергия и други стоки) са с относителен дял в размер на 6,5%. </w:t>
      </w:r>
    </w:p>
    <w:p w:rsidR="00BE0B6A" w:rsidRPr="003071B1" w:rsidRDefault="00BE0B6A" w:rsidP="00BE0B6A">
      <w:pPr>
        <w:spacing w:before="120" w:after="0"/>
        <w:rPr>
          <w:rFonts w:eastAsia="Batang"/>
        </w:rPr>
      </w:pPr>
      <w:r w:rsidRPr="003071B1">
        <w:rPr>
          <w:rFonts w:eastAsia="Batang"/>
        </w:rPr>
        <w:t>При прогнозиране на приходите от акцизи, освен допусканията за макроикономическите показатели е отчетено и влиянието на следните фактори:</w:t>
      </w:r>
    </w:p>
    <w:p w:rsidR="00BE0B6A" w:rsidRPr="003071B1" w:rsidRDefault="00BE0B6A" w:rsidP="003403BF">
      <w:pPr>
        <w:pStyle w:val="ListParagraph"/>
        <w:numPr>
          <w:ilvl w:val="0"/>
          <w:numId w:val="37"/>
        </w:numPr>
        <w:spacing w:before="120" w:after="0"/>
        <w:rPr>
          <w:rFonts w:eastAsia="Batang"/>
        </w:rPr>
      </w:pPr>
      <w:r w:rsidRPr="003071B1">
        <w:rPr>
          <w:rFonts w:eastAsia="Batang"/>
        </w:rPr>
        <w:t>ръст на потреблението на акцизни стоки, съобразен със заложения в есенната  макрорамка реален ръст на крайното потребление за 2020 г.;</w:t>
      </w:r>
    </w:p>
    <w:p w:rsidR="00BE0B6A" w:rsidRPr="003071B1" w:rsidRDefault="00BE0B6A" w:rsidP="003403BF">
      <w:pPr>
        <w:pStyle w:val="ListParagraph"/>
        <w:numPr>
          <w:ilvl w:val="0"/>
          <w:numId w:val="37"/>
        </w:numPr>
        <w:spacing w:before="120" w:after="0"/>
        <w:rPr>
          <w:rFonts w:eastAsia="Batang"/>
        </w:rPr>
      </w:pPr>
      <w:r w:rsidRPr="003071B1">
        <w:rPr>
          <w:rFonts w:eastAsia="Batang"/>
        </w:rPr>
        <w:t>запазване на акцизните ставки за облагане на различните групи акцизни стоки;</w:t>
      </w:r>
    </w:p>
    <w:p w:rsidR="00BE0B6A" w:rsidRPr="003071B1" w:rsidRDefault="00BE0B6A" w:rsidP="003403BF">
      <w:pPr>
        <w:pStyle w:val="ListParagraph"/>
        <w:numPr>
          <w:ilvl w:val="0"/>
          <w:numId w:val="37"/>
        </w:numPr>
        <w:spacing w:before="120" w:after="0"/>
        <w:rPr>
          <w:rFonts w:eastAsia="Batang"/>
        </w:rPr>
      </w:pPr>
      <w:r w:rsidRPr="003071B1">
        <w:rPr>
          <w:rFonts w:eastAsia="Batang"/>
        </w:rPr>
        <w:t>относителна устойчивост на структурата на потреблението на акцизните продукти в рамките на различните групи акцизни стоки;</w:t>
      </w:r>
    </w:p>
    <w:p w:rsidR="00BE0B6A" w:rsidRDefault="00BE0B6A" w:rsidP="003403BF">
      <w:pPr>
        <w:pStyle w:val="ListParagraph"/>
        <w:numPr>
          <w:ilvl w:val="0"/>
          <w:numId w:val="37"/>
        </w:numPr>
        <w:spacing w:before="120" w:after="0"/>
        <w:rPr>
          <w:rFonts w:eastAsia="Batang"/>
        </w:rPr>
      </w:pPr>
      <w:r w:rsidRPr="003071B1">
        <w:rPr>
          <w:rFonts w:eastAsia="Batang"/>
        </w:rPr>
        <w:t>положителен ефект от оптимизиране на контролната дейност върху търговията с акцизни стоки и подобряване на събираемостта на акцизите, чрез въвеждане на изменения и прецизиране на разпоредби в ЗАДС.</w:t>
      </w:r>
    </w:p>
    <w:p w:rsidR="0034668F" w:rsidRPr="008C3AC2" w:rsidRDefault="0034668F" w:rsidP="00AA0F80">
      <w:pPr>
        <w:spacing w:before="120" w:after="0"/>
        <w:rPr>
          <w:rFonts w:eastAsia="Batang"/>
        </w:rPr>
      </w:pPr>
      <w:r w:rsidRPr="008C3AC2">
        <w:rPr>
          <w:rFonts w:eastAsia="Batang"/>
        </w:rPr>
        <w:t>Планираните постъпления от акцизи са 5 815,0 млн. лв. за 2021 г., а за 2022 г. приходите достигат 5 935,3 млн. лв.</w:t>
      </w:r>
    </w:p>
    <w:p w:rsidR="00BE0B6A" w:rsidRDefault="00BE0B6A" w:rsidP="00BE0B6A">
      <w:pPr>
        <w:spacing w:after="120"/>
        <w:rPr>
          <w:rFonts w:eastAsia="Batang"/>
          <w:highlight w:val="yellow"/>
        </w:rPr>
      </w:pPr>
    </w:p>
    <w:p w:rsidR="00BE0B6A" w:rsidRPr="00190E21" w:rsidRDefault="00BE0B6A" w:rsidP="00BE0B6A">
      <w:pPr>
        <w:pStyle w:val="Heading6"/>
      </w:pPr>
      <w:r w:rsidRPr="00190E21">
        <w:t>Приходи от мита</w:t>
      </w:r>
    </w:p>
    <w:p w:rsidR="00BE0B6A" w:rsidRPr="00DD1978" w:rsidRDefault="00BE0B6A" w:rsidP="00BE0B6A">
      <w:pPr>
        <w:spacing w:before="120" w:after="0"/>
        <w:rPr>
          <w:rFonts w:eastAsia="Batang"/>
        </w:rPr>
      </w:pPr>
      <w:r w:rsidRPr="00DD1978">
        <w:rPr>
          <w:rFonts w:eastAsia="Batang"/>
        </w:rPr>
        <w:t xml:space="preserve">Прогнозираните приходи от мита за 2020 г. са в размер </w:t>
      </w:r>
      <w:r w:rsidRPr="009D25AA">
        <w:rPr>
          <w:rFonts w:eastAsia="Batang"/>
        </w:rPr>
        <w:t>на 237,2 млн</w:t>
      </w:r>
      <w:r w:rsidRPr="00DD1978">
        <w:rPr>
          <w:rFonts w:eastAsia="Batang"/>
        </w:rPr>
        <w:t>. лв.</w:t>
      </w:r>
    </w:p>
    <w:p w:rsidR="00BE0B6A" w:rsidRPr="00DD1978" w:rsidRDefault="00BE0B6A" w:rsidP="00BE0B6A">
      <w:pPr>
        <w:spacing w:before="120" w:after="0"/>
        <w:rPr>
          <w:rFonts w:eastAsia="Batang"/>
        </w:rPr>
      </w:pPr>
      <w:r w:rsidRPr="00DD1978">
        <w:rPr>
          <w:rFonts w:eastAsia="Batang"/>
        </w:rPr>
        <w:t>На основание постигнатите договорености в рамките на Световната търговска организация за улесняване на търговията, в последните повече от десет години търговската политика на ЕС е все по-либерална, вследствие на което има все повече сключени споразумения за свободна търговия и споразумения за икономическо партньорство. На базата на тези споразумения стоките се оформят за внос в ЕС и в страната/групата страни партньор/партньори с намалени или нулеви ставки на митата.</w:t>
      </w:r>
    </w:p>
    <w:p w:rsidR="00BE0B6A" w:rsidRDefault="00BE0B6A" w:rsidP="00BE0B6A">
      <w:pPr>
        <w:spacing w:before="120" w:after="0"/>
        <w:rPr>
          <w:rFonts w:eastAsia="Batang"/>
        </w:rPr>
      </w:pPr>
      <w:r w:rsidRPr="00DD1978">
        <w:rPr>
          <w:rFonts w:eastAsia="Batang"/>
        </w:rPr>
        <w:t>На фона на все по-либералната  политика на ЕС, насочена към разширяване обхвата на споразуменията за свободна търговия и споразуменията за икономическо партньорство, данните за вноса на стоки в Р</w:t>
      </w:r>
      <w:r>
        <w:rPr>
          <w:rFonts w:eastAsia="Batang"/>
        </w:rPr>
        <w:t>епублика</w:t>
      </w:r>
      <w:r w:rsidRPr="00DD1978">
        <w:rPr>
          <w:rFonts w:eastAsia="Batang"/>
        </w:rPr>
        <w:t xml:space="preserve"> България в периода 2014-2018 г. показват устойч</w:t>
      </w:r>
      <w:r>
        <w:rPr>
          <w:rFonts w:eastAsia="Batang"/>
        </w:rPr>
        <w:t xml:space="preserve">ив ръст, както по отношение на </w:t>
      </w:r>
      <w:r w:rsidRPr="00DD1978">
        <w:rPr>
          <w:rFonts w:eastAsia="Batang"/>
        </w:rPr>
        <w:t>обема (без суров нефт), така и в декларираната статистическа стойност на внесените стоки от трети страни. По прогнозни данни от Световната банка от месец април 2019 г., в периода 2020-2022 г. се очаква ръст в цените на неенергийните борсови стоки и ръст в индексите на цените при енергоносителите, като само за 2020 г. се предвижда спад на цените при тази група стоки.</w:t>
      </w:r>
    </w:p>
    <w:p w:rsidR="00803C0F" w:rsidRPr="009D25AA" w:rsidRDefault="00803C0F" w:rsidP="00BE0B6A">
      <w:pPr>
        <w:spacing w:before="120" w:after="0"/>
        <w:rPr>
          <w:rFonts w:eastAsia="Batang"/>
          <w:highlight w:val="yellow"/>
        </w:rPr>
      </w:pPr>
      <w:r w:rsidRPr="00803C0F">
        <w:rPr>
          <w:rFonts w:eastAsia="Batang"/>
        </w:rPr>
        <w:t>Кумулативното действие на посочените политики и макроикономически индикатори, определят тенденция на устойчиво нарастване на приходите от мита по години както следва</w:t>
      </w:r>
      <w:r w:rsidRPr="009D25AA">
        <w:rPr>
          <w:rFonts w:eastAsia="Batang"/>
        </w:rPr>
        <w:t>: 245,0 млн. лв. за 2021 г. и 252,5 млн. лв. за 2022 г.</w:t>
      </w:r>
    </w:p>
    <w:p w:rsidR="00BE0B6A" w:rsidRDefault="00BE0B6A" w:rsidP="00BE0B6A">
      <w:pPr>
        <w:spacing w:after="120"/>
        <w:rPr>
          <w:rFonts w:eastAsia="Batang"/>
          <w:highlight w:val="yellow"/>
        </w:rPr>
      </w:pPr>
    </w:p>
    <w:p w:rsidR="00BE0B6A" w:rsidRPr="00190E21" w:rsidRDefault="00BE0B6A" w:rsidP="00BE0B6A">
      <w:pPr>
        <w:pStyle w:val="Heading6"/>
      </w:pPr>
      <w:r>
        <w:t xml:space="preserve">Приходи от </w:t>
      </w:r>
      <w:r w:rsidRPr="00BA3E5E">
        <w:t>данък върху застрахователните премии</w:t>
      </w:r>
    </w:p>
    <w:p w:rsidR="00BE0B6A" w:rsidRPr="009D25AA" w:rsidRDefault="00BE0B6A" w:rsidP="00AA0F80">
      <w:pPr>
        <w:spacing w:before="120" w:after="0"/>
        <w:rPr>
          <w:rFonts w:eastAsia="Batang"/>
        </w:rPr>
      </w:pPr>
      <w:r w:rsidRPr="00D034AC">
        <w:rPr>
          <w:rFonts w:eastAsia="Batang"/>
        </w:rPr>
        <w:t xml:space="preserve">Прогнозните приходи от данък върху застрахователните премии за 2020 г. </w:t>
      </w:r>
      <w:r w:rsidRPr="009D25AA">
        <w:rPr>
          <w:rFonts w:eastAsia="Batang"/>
        </w:rPr>
        <w:t>са 44,8 млн. лв. Допусканията за размера на приходите от данъка върху застрахователните премии са базирани на следните допускания:</w:t>
      </w:r>
    </w:p>
    <w:p w:rsidR="00BE0B6A" w:rsidRPr="009D25AA" w:rsidRDefault="00BE0B6A" w:rsidP="00AA0F80">
      <w:pPr>
        <w:pStyle w:val="ListParagraph"/>
        <w:numPr>
          <w:ilvl w:val="0"/>
          <w:numId w:val="37"/>
        </w:numPr>
        <w:spacing w:before="120" w:after="0"/>
        <w:rPr>
          <w:rFonts w:eastAsia="Batang"/>
        </w:rPr>
      </w:pPr>
      <w:r w:rsidRPr="009D25AA">
        <w:rPr>
          <w:rFonts w:eastAsia="Batang"/>
        </w:rPr>
        <w:t>запазване на ставката от 2% за периода 2020-2022 г.;</w:t>
      </w:r>
    </w:p>
    <w:p w:rsidR="00BE0B6A" w:rsidRPr="009D25AA" w:rsidRDefault="00BE0B6A" w:rsidP="00AA0F80">
      <w:pPr>
        <w:pStyle w:val="ListParagraph"/>
        <w:numPr>
          <w:ilvl w:val="0"/>
          <w:numId w:val="37"/>
        </w:numPr>
        <w:spacing w:before="120" w:after="0"/>
        <w:rPr>
          <w:rFonts w:eastAsia="Batang"/>
        </w:rPr>
      </w:pPr>
      <w:r w:rsidRPr="009D25AA">
        <w:rPr>
          <w:rFonts w:eastAsia="Batang"/>
        </w:rPr>
        <w:t>запазване на динамиката на нарастване на брутните премийни приходи в общото застраховане;</w:t>
      </w:r>
    </w:p>
    <w:p w:rsidR="00BE0B6A" w:rsidRPr="009D25AA" w:rsidRDefault="00BE0B6A" w:rsidP="00AA0F80">
      <w:pPr>
        <w:pStyle w:val="ListParagraph"/>
        <w:numPr>
          <w:ilvl w:val="0"/>
          <w:numId w:val="37"/>
        </w:numPr>
        <w:spacing w:before="120" w:after="0"/>
        <w:rPr>
          <w:rFonts w:eastAsia="Batang"/>
        </w:rPr>
      </w:pPr>
      <w:r w:rsidRPr="009D25AA">
        <w:rPr>
          <w:rFonts w:eastAsia="Batang"/>
        </w:rPr>
        <w:t>запазване на тенденцията за разширяване и обогатяване на застрахователните продукти.</w:t>
      </w:r>
    </w:p>
    <w:p w:rsidR="00BE0B6A" w:rsidRPr="009D25AA" w:rsidRDefault="0099144D" w:rsidP="00AA0F80">
      <w:pPr>
        <w:spacing w:before="120" w:after="0"/>
        <w:rPr>
          <w:rFonts w:eastAsia="Batang"/>
        </w:rPr>
      </w:pPr>
      <w:r w:rsidRPr="009D25AA">
        <w:rPr>
          <w:rFonts w:eastAsia="Batang"/>
        </w:rPr>
        <w:t>О</w:t>
      </w:r>
      <w:r w:rsidR="00803C0F" w:rsidRPr="009D25AA">
        <w:rPr>
          <w:rFonts w:eastAsia="Batang"/>
        </w:rPr>
        <w:t>чакваните приходи от застрахователни премии са съответно 49,0 млн. лв. за 2021 г. и 53,7</w:t>
      </w:r>
      <w:r w:rsidRPr="009D25AA">
        <w:rPr>
          <w:rFonts w:eastAsia="Batang"/>
        </w:rPr>
        <w:t xml:space="preserve"> млн. лв. за 2022</w:t>
      </w:r>
      <w:r w:rsidR="00803C0F" w:rsidRPr="009D25AA">
        <w:rPr>
          <w:rFonts w:eastAsia="Batang"/>
        </w:rPr>
        <w:t xml:space="preserve"> г.</w:t>
      </w:r>
    </w:p>
    <w:p w:rsidR="00BE0B6A" w:rsidRDefault="00BE0B6A" w:rsidP="00BE0B6A">
      <w:pPr>
        <w:pStyle w:val="Heading3"/>
        <w:ind w:left="0"/>
        <w:rPr>
          <w:caps w:val="0"/>
        </w:rPr>
      </w:pPr>
      <w:bookmarkStart w:id="439" w:name="_Toc464463082"/>
      <w:bookmarkStart w:id="440" w:name="_Toc464464909"/>
      <w:bookmarkStart w:id="441" w:name="_Toc464465415"/>
      <w:bookmarkStart w:id="442" w:name="_Toc464465603"/>
      <w:bookmarkStart w:id="443" w:name="_Toc464466428"/>
      <w:bookmarkStart w:id="444" w:name="_Toc464466672"/>
      <w:bookmarkStart w:id="445" w:name="_Toc464644984"/>
      <w:bookmarkStart w:id="446" w:name="_Toc464224785"/>
      <w:bookmarkStart w:id="447" w:name="_Toc464225435"/>
      <w:bookmarkStart w:id="448" w:name="_Toc464458982"/>
      <w:bookmarkStart w:id="449" w:name="_Toc465070465"/>
      <w:bookmarkStart w:id="450" w:name="_Toc465205515"/>
      <w:r>
        <w:t>ОСИГУРИТЕЛНА ПОЛИТИКА И ОСИГУРИТЕЛНИ</w:t>
      </w:r>
      <w:r w:rsidRPr="0010274F">
        <w:t xml:space="preserve"> </w:t>
      </w:r>
      <w:bookmarkEnd w:id="439"/>
      <w:bookmarkEnd w:id="440"/>
      <w:bookmarkEnd w:id="441"/>
      <w:bookmarkEnd w:id="442"/>
      <w:bookmarkEnd w:id="443"/>
      <w:bookmarkEnd w:id="444"/>
      <w:bookmarkEnd w:id="445"/>
      <w:bookmarkEnd w:id="446"/>
      <w:bookmarkEnd w:id="447"/>
      <w:bookmarkEnd w:id="448"/>
      <w:bookmarkEnd w:id="449"/>
      <w:bookmarkEnd w:id="450"/>
      <w:r>
        <w:rPr>
          <w:caps w:val="0"/>
        </w:rPr>
        <w:t>ПРИХОДИ</w:t>
      </w:r>
    </w:p>
    <w:p w:rsidR="00735955" w:rsidRPr="00735955" w:rsidRDefault="00735955" w:rsidP="00735955">
      <w:pPr>
        <w:spacing w:before="120" w:after="0"/>
        <w:rPr>
          <w:rFonts w:eastAsia="Times New Roman"/>
        </w:rPr>
      </w:pPr>
      <w:r w:rsidRPr="00735955">
        <w:rPr>
          <w:rFonts w:eastAsia="Times New Roman"/>
        </w:rPr>
        <w:t xml:space="preserve">За периода 2020-2022 г. по отношение на социално и здравноосигурителните вноски се предвижда: </w:t>
      </w:r>
    </w:p>
    <w:p w:rsidR="00735955" w:rsidRPr="00735955" w:rsidRDefault="00735955" w:rsidP="00735955">
      <w:pPr>
        <w:pStyle w:val="ListParagraph"/>
        <w:spacing w:before="120" w:after="0"/>
      </w:pPr>
      <w:r w:rsidRPr="00735955">
        <w:t xml:space="preserve">Запазване размерите и съотношенията на осигурителните вноски за фондовете на държавното обществено осигуряване; </w:t>
      </w:r>
    </w:p>
    <w:p w:rsidR="00735955" w:rsidRDefault="00A5292E" w:rsidP="00735955">
      <w:pPr>
        <w:pStyle w:val="ListParagraph"/>
        <w:spacing w:before="120" w:after="0"/>
      </w:pPr>
      <w:r>
        <w:t>Увеличение</w:t>
      </w:r>
      <w:r w:rsidR="00735955" w:rsidRPr="00735955">
        <w:t xml:space="preserve"> на минималния осигурителен доход за самоосигуряващите се лица, съответно </w:t>
      </w:r>
      <w:r w:rsidR="00B27612" w:rsidRPr="00735955">
        <w:t xml:space="preserve">в размер на 610 лв. </w:t>
      </w:r>
      <w:r w:rsidR="00735955" w:rsidRPr="00735955">
        <w:t>за 2020 г. и 650 лв. за 2021 г. и 2022 г.;</w:t>
      </w:r>
    </w:p>
    <w:p w:rsidR="00735955" w:rsidRPr="00735955" w:rsidRDefault="00A5292E" w:rsidP="00735955">
      <w:pPr>
        <w:pStyle w:val="ListParagraph"/>
        <w:spacing w:before="120" w:after="0"/>
      </w:pPr>
      <w:r>
        <w:t>Увеличение</w:t>
      </w:r>
      <w:r w:rsidR="00735955" w:rsidRPr="00735955">
        <w:t xml:space="preserve"> на минималния осигурителен доход за регистрираните земеделски стопани и тютюнопроизводители от 400 лв. на 610 лв. от началото на 2020 г.;</w:t>
      </w:r>
    </w:p>
    <w:p w:rsidR="00735955" w:rsidRPr="00735955" w:rsidRDefault="00735955" w:rsidP="00735955">
      <w:pPr>
        <w:pStyle w:val="ListParagraph"/>
        <w:spacing w:before="120" w:after="0"/>
      </w:pPr>
      <w:r w:rsidRPr="00735955">
        <w:t xml:space="preserve">Запазване на максималния осигурителен доход за всички осигурени лица – </w:t>
      </w:r>
      <w:r>
        <w:t xml:space="preserve">              </w:t>
      </w:r>
      <w:r w:rsidRPr="00735955">
        <w:t xml:space="preserve">3 000 лв.; </w:t>
      </w:r>
    </w:p>
    <w:p w:rsidR="00735955" w:rsidRPr="00735955" w:rsidRDefault="00735955" w:rsidP="00735955">
      <w:pPr>
        <w:pStyle w:val="ListParagraph"/>
        <w:spacing w:before="120" w:after="0"/>
      </w:pPr>
      <w:r w:rsidRPr="00735955">
        <w:t>Запазване равнищата на минималните осигурителни доходи по основните икономически дейности и квалификационни групи професии от 2019 г.</w:t>
      </w:r>
      <w:r w:rsidR="00C95EAD">
        <w:t>,</w:t>
      </w:r>
      <w:r w:rsidRPr="00735955">
        <w:t xml:space="preserve"> като се извършва корекция сам</w:t>
      </w:r>
      <w:r w:rsidR="00C95EAD">
        <w:t>о по отношение на позициите, кои</w:t>
      </w:r>
      <w:r w:rsidRPr="00735955">
        <w:t xml:space="preserve">то са под размера на минималната работна заплата за 2020 г. – 610 лв.; </w:t>
      </w:r>
    </w:p>
    <w:p w:rsidR="00735955" w:rsidRPr="00735955" w:rsidRDefault="00735955" w:rsidP="00735955">
      <w:pPr>
        <w:pStyle w:val="ListParagraph"/>
        <w:spacing w:before="120" w:after="0"/>
      </w:pPr>
      <w:r w:rsidRPr="00735955">
        <w:t>Запазване размера на здравноосигурителната вноска – 8 на сто;</w:t>
      </w:r>
    </w:p>
    <w:p w:rsidR="00735955" w:rsidRPr="00735955" w:rsidRDefault="00735955" w:rsidP="00735955">
      <w:pPr>
        <w:pStyle w:val="ListParagraph"/>
        <w:spacing w:before="120" w:after="0"/>
      </w:pPr>
      <w:r w:rsidRPr="00735955">
        <w:t xml:space="preserve">Запазване размера на осигурителната вноска за Учителския пенсионен фонд – 4,3 на сто; </w:t>
      </w:r>
    </w:p>
    <w:p w:rsidR="00735955" w:rsidRPr="00735955" w:rsidRDefault="00735955" w:rsidP="00735955">
      <w:pPr>
        <w:pStyle w:val="ListParagraph"/>
        <w:spacing w:before="120" w:after="0"/>
      </w:pPr>
      <w:r w:rsidRPr="00735955">
        <w:t>Не се правят вноски за фонд „Гарантирани вземания на работниците и служителите“.</w:t>
      </w:r>
    </w:p>
    <w:p w:rsidR="00BE0B6A" w:rsidRPr="009D25AA" w:rsidRDefault="00BE0B6A" w:rsidP="00BE0B6A">
      <w:pPr>
        <w:spacing w:before="120" w:after="0"/>
        <w:rPr>
          <w:rFonts w:eastAsia="Times New Roman"/>
        </w:rPr>
      </w:pPr>
      <w:r w:rsidRPr="00FE2386">
        <w:rPr>
          <w:rFonts w:eastAsia="Times New Roman"/>
        </w:rPr>
        <w:t>Осигур</w:t>
      </w:r>
      <w:r>
        <w:rPr>
          <w:rFonts w:eastAsia="Times New Roman"/>
        </w:rPr>
        <w:t>ителните приходи за периода 2020-2022</w:t>
      </w:r>
      <w:r w:rsidRPr="00FE2386">
        <w:rPr>
          <w:rFonts w:eastAsia="Times New Roman"/>
        </w:rPr>
        <w:t xml:space="preserve"> г. се</w:t>
      </w:r>
      <w:r>
        <w:rPr>
          <w:rFonts w:eastAsia="Times New Roman"/>
        </w:rPr>
        <w:t xml:space="preserve"> предвижда да бъдат в размер на </w:t>
      </w:r>
      <w:r w:rsidRPr="009D25AA">
        <w:rPr>
          <w:rFonts w:eastAsia="Batang"/>
        </w:rPr>
        <w:t>11 233,2</w:t>
      </w:r>
      <w:r w:rsidRPr="009D25AA">
        <w:rPr>
          <w:rFonts w:eastAsia="Times New Roman"/>
        </w:rPr>
        <w:t xml:space="preserve">  млн. лв. за 2020 г., </w:t>
      </w:r>
      <w:r w:rsidRPr="009D25AA">
        <w:rPr>
          <w:rFonts w:eastAsia="Batang"/>
        </w:rPr>
        <w:t>11 863,5</w:t>
      </w:r>
      <w:r w:rsidRPr="009D25AA">
        <w:rPr>
          <w:rFonts w:eastAsia="Times New Roman"/>
        </w:rPr>
        <w:t xml:space="preserve"> млн. лв. за 2021 г. и </w:t>
      </w:r>
      <w:r w:rsidRPr="009D25AA">
        <w:rPr>
          <w:rFonts w:eastAsia="Batang"/>
        </w:rPr>
        <w:t>12 469,8</w:t>
      </w:r>
      <w:r w:rsidRPr="009D25AA">
        <w:rPr>
          <w:rFonts w:eastAsia="Times New Roman"/>
        </w:rPr>
        <w:t xml:space="preserve"> млн. лв. за 2022 г.</w:t>
      </w:r>
    </w:p>
    <w:p w:rsidR="00BE0B6A" w:rsidRPr="0010274F" w:rsidRDefault="00BE0B6A" w:rsidP="00BE0B6A">
      <w:pPr>
        <w:pStyle w:val="Heading3"/>
        <w:ind w:left="0"/>
      </w:pPr>
      <w:bookmarkStart w:id="451" w:name="_Toc464224786"/>
      <w:bookmarkStart w:id="452" w:name="_Toc464225436"/>
      <w:bookmarkStart w:id="453" w:name="_Toc464458983"/>
      <w:bookmarkStart w:id="454" w:name="_Toc464463083"/>
      <w:bookmarkStart w:id="455" w:name="_Toc464464910"/>
      <w:bookmarkStart w:id="456" w:name="_Toc464465416"/>
      <w:bookmarkStart w:id="457" w:name="_Toc464465604"/>
      <w:bookmarkStart w:id="458" w:name="_Toc464466429"/>
      <w:bookmarkStart w:id="459" w:name="_Toc464466673"/>
      <w:bookmarkStart w:id="460" w:name="_Toc464644985"/>
      <w:bookmarkStart w:id="461" w:name="_Toc465070466"/>
      <w:bookmarkStart w:id="462" w:name="_Toc465205516"/>
      <w:r>
        <w:rPr>
          <w:caps w:val="0"/>
        </w:rPr>
        <w:t xml:space="preserve">НЕДАНЪЧНИ </w:t>
      </w:r>
      <w:r w:rsidRPr="0010274F">
        <w:t>ПРИХОДИ</w:t>
      </w:r>
      <w:bookmarkEnd w:id="451"/>
      <w:bookmarkEnd w:id="452"/>
      <w:bookmarkEnd w:id="453"/>
      <w:bookmarkEnd w:id="454"/>
      <w:bookmarkEnd w:id="455"/>
      <w:bookmarkEnd w:id="456"/>
      <w:bookmarkEnd w:id="457"/>
      <w:bookmarkEnd w:id="458"/>
      <w:bookmarkEnd w:id="459"/>
      <w:bookmarkEnd w:id="460"/>
      <w:bookmarkEnd w:id="461"/>
      <w:bookmarkEnd w:id="462"/>
    </w:p>
    <w:p w:rsidR="00BE0B6A" w:rsidRPr="009D2915" w:rsidRDefault="00BE0B6A" w:rsidP="00BE0B6A">
      <w:pPr>
        <w:pStyle w:val="Heading4"/>
      </w:pPr>
      <w:r w:rsidRPr="009D2915">
        <w:t>Приходи от такси</w:t>
      </w:r>
    </w:p>
    <w:p w:rsidR="001A1F42" w:rsidRDefault="001A1F42" w:rsidP="001A1F42">
      <w:pPr>
        <w:spacing w:before="120" w:after="0"/>
      </w:pPr>
      <w:r>
        <w:t>Прогнозата за приходите от такси по бюджетите на ПРБ и други бюджетни организации, включени в консолидираната фискална програма за прогнозния период, е разработена на база действащата нормативна уредба, есенната макроикономическа прогноза за периода 2019-2022 г., реализирането на мерки за подобряване събираемостта и намаляване на административната тежест.</w:t>
      </w:r>
    </w:p>
    <w:p w:rsidR="001A1F42" w:rsidRDefault="001A1F42" w:rsidP="001A1F42">
      <w:pPr>
        <w:spacing w:before="120" w:after="0"/>
      </w:pPr>
      <w:r>
        <w:t>От 1 януари 2019 г. започна поетапното въвеждане на ТОЛ системата с въвеждането на т.нар. „електронна винетка“ за леките автомобили, а от март 2020 г. ще бъдат тарифирани и товарните автомобили над 3,5 тона. През 2020 г. се предвижда ТОЛ системата да обхване магистралите и пътища от І клас, като през следващите години се планира да се разшири обхватът на ТОЛ системата и да обхване и пътища от ІІ клас.</w:t>
      </w:r>
    </w:p>
    <w:p w:rsidR="001A1F42" w:rsidRDefault="001A1F42" w:rsidP="00BE0B6A">
      <w:pPr>
        <w:spacing w:before="120" w:after="0"/>
      </w:pPr>
      <w:r w:rsidRPr="00D43AB4">
        <w:t>В тази връзка за 2020 г. се очаква ръст на приходите от държавни такси в размер на 450,0 млн. лв. и за 2021 г. – 150,0 млн. лв.</w:t>
      </w:r>
    </w:p>
    <w:p w:rsidR="001A1F42" w:rsidRDefault="001A1F42" w:rsidP="00BE0B6A">
      <w:pPr>
        <w:spacing w:before="120" w:after="0"/>
      </w:pPr>
    </w:p>
    <w:p w:rsidR="001A1F42" w:rsidRDefault="001A1F42" w:rsidP="001A1F42">
      <w:pPr>
        <w:pStyle w:val="Heading4"/>
      </w:pPr>
      <w:r>
        <w:t>Други приходи</w:t>
      </w:r>
    </w:p>
    <w:p w:rsidR="00D93C37" w:rsidRDefault="00D93C37" w:rsidP="001A1F42">
      <w:pPr>
        <w:spacing w:before="120" w:after="0"/>
      </w:pPr>
      <w:r w:rsidRPr="00D93C37">
        <w:t>За 2020 г. се очаква нетно намаление на приходите на Фонд „Сигурност на електроенергийната система“ (фонда) с 400,9 млн. лв., което е резултат от:</w:t>
      </w:r>
    </w:p>
    <w:p w:rsidR="001A1F42" w:rsidRDefault="001A1F42" w:rsidP="003403BF">
      <w:pPr>
        <w:pStyle w:val="ListParagraph"/>
        <w:numPr>
          <w:ilvl w:val="0"/>
          <w:numId w:val="43"/>
        </w:numPr>
        <w:spacing w:before="120" w:after="0"/>
      </w:pPr>
      <w:r>
        <w:t>увеличението със 130,0 млн. лв. на приходите от продажба на квоти за емисии на парникови газове (чл. 57, ал. 1 от Закона за ограничаване изменението на климата) - предвидени на база прогнозни нетни количества квоти, които Република България ще реализира на Европейската енергийна борса, трендът на повишение на цените на квотите и доклада на Европейската комисия от 14.05.2019 г. относно общия брой квоти в обръщение за целия ЕС през 2020 г.;</w:t>
      </w:r>
    </w:p>
    <w:p w:rsidR="001A1F42" w:rsidRDefault="001A1F42" w:rsidP="003403BF">
      <w:pPr>
        <w:pStyle w:val="ListParagraph"/>
        <w:numPr>
          <w:ilvl w:val="0"/>
          <w:numId w:val="43"/>
        </w:numPr>
        <w:spacing w:before="120" w:after="0"/>
      </w:pPr>
      <w:r>
        <w:t>увеличението с 62,2 млн.</w:t>
      </w:r>
      <w:r w:rsidR="00016BFE">
        <w:t xml:space="preserve"> </w:t>
      </w:r>
      <w:r>
        <w:t xml:space="preserve">лв. на </w:t>
      </w:r>
      <w:r w:rsidR="00016BFE">
        <w:t>постъпленията</w:t>
      </w:r>
      <w:r>
        <w:t xml:space="preserve"> от 5% -ни вноски от приходите на производителите и търговците на електрическа енергия (чл. 36е от Закона за енергетиката);</w:t>
      </w:r>
    </w:p>
    <w:p w:rsidR="001A1F42" w:rsidRDefault="001A1F42" w:rsidP="003403BF">
      <w:pPr>
        <w:pStyle w:val="ListParagraph"/>
        <w:numPr>
          <w:ilvl w:val="0"/>
          <w:numId w:val="43"/>
        </w:numPr>
        <w:spacing w:before="120" w:after="0"/>
      </w:pPr>
      <w:r>
        <w:t>увеличение</w:t>
      </w:r>
      <w:r w:rsidR="00C1779E">
        <w:t>то</w:t>
      </w:r>
      <w:r>
        <w:t xml:space="preserve"> с 1,0 млн. лв. на приходите от лихви, в резултат на извършена инвентаризация на вземанията на фонда от задължените лица, на база на която са констатирани всички просрочени вземания на фонда и са начислени лихвите за забава;</w:t>
      </w:r>
    </w:p>
    <w:p w:rsidR="001A1F42" w:rsidRPr="001A1F42" w:rsidRDefault="001A1F42" w:rsidP="003403BF">
      <w:pPr>
        <w:pStyle w:val="ListParagraph"/>
        <w:numPr>
          <w:ilvl w:val="0"/>
          <w:numId w:val="43"/>
        </w:numPr>
        <w:spacing w:before="120" w:after="0"/>
      </w:pPr>
      <w:r>
        <w:t xml:space="preserve">намалението с 594,1 млн. лв. на приходите от цена „задължение към обществото“ (ЗО), която се заплаща от присъединените към електроенергийната система крайни клиенти на свободния пазар на електрическа енергия, клиентите на доставчика от последна инстанция, крайните снабдители, електропреносното и електроразпределителните дружества за закупената електрическа енергия за покриване на технологични разходи (чл. 30, ал. 1, т. </w:t>
      </w:r>
      <w:r w:rsidR="0034668F">
        <w:t>17 от Закона за енергетиката) в</w:t>
      </w:r>
      <w:r>
        <w:t>следствие новото ценово решение на КЕВР за намаляване на цената ЗО спрямо ценовия период 2018/2019 г. от 36,75 лв./MWh на 19,57 лв./MWh за ценовия период 2019/2020 г.</w:t>
      </w:r>
    </w:p>
    <w:p w:rsidR="00C1779E" w:rsidRDefault="00C1779E" w:rsidP="00BE0B6A">
      <w:pPr>
        <w:spacing w:after="120"/>
        <w:rPr>
          <w:highlight w:val="yellow"/>
        </w:rPr>
      </w:pPr>
    </w:p>
    <w:p w:rsidR="00BE0B6A" w:rsidRPr="00D8768E" w:rsidRDefault="00BE0B6A" w:rsidP="00BE0B6A">
      <w:pPr>
        <w:pStyle w:val="Heading4"/>
        <w:rPr>
          <w:lang w:val="ru-RU"/>
        </w:rPr>
      </w:pPr>
      <w:r w:rsidRPr="009D2915">
        <w:t>Приходи от дивидент за държавата</w:t>
      </w:r>
    </w:p>
    <w:p w:rsidR="00D93C37" w:rsidRDefault="00D93C37" w:rsidP="00D93C37">
      <w:pPr>
        <w:spacing w:before="120" w:after="0"/>
        <w:rPr>
          <w:rFonts w:eastAsia="Times New Roman"/>
        </w:rPr>
      </w:pPr>
      <w:r>
        <w:rPr>
          <w:rFonts w:eastAsia="Times New Roman"/>
        </w:rPr>
        <w:t>Прогнозата за п</w:t>
      </w:r>
      <w:r w:rsidRPr="00730995">
        <w:rPr>
          <w:rFonts w:eastAsia="Times New Roman"/>
        </w:rPr>
        <w:t>риходите от дивиде</w:t>
      </w:r>
      <w:r>
        <w:rPr>
          <w:rFonts w:eastAsia="Times New Roman"/>
        </w:rPr>
        <w:t>нт за държавата за периода 2020-</w:t>
      </w:r>
      <w:r w:rsidRPr="00730995">
        <w:rPr>
          <w:rFonts w:eastAsia="Times New Roman"/>
        </w:rPr>
        <w:t xml:space="preserve">2022 г. </w:t>
      </w:r>
      <w:r>
        <w:rPr>
          <w:rFonts w:eastAsia="Times New Roman"/>
        </w:rPr>
        <w:t>е</w:t>
      </w:r>
      <w:r w:rsidRPr="00730995">
        <w:rPr>
          <w:rFonts w:eastAsia="Times New Roman"/>
        </w:rPr>
        <w:t xml:space="preserve"> изготвен</w:t>
      </w:r>
      <w:r>
        <w:rPr>
          <w:rFonts w:eastAsia="Times New Roman"/>
        </w:rPr>
        <w:t>а</w:t>
      </w:r>
      <w:r w:rsidRPr="00730995">
        <w:rPr>
          <w:rFonts w:eastAsia="Times New Roman"/>
        </w:rPr>
        <w:t xml:space="preserve"> при </w:t>
      </w:r>
      <w:r>
        <w:rPr>
          <w:rFonts w:eastAsia="Times New Roman"/>
        </w:rPr>
        <w:t>следните допускания:</w:t>
      </w:r>
    </w:p>
    <w:p w:rsidR="00D93C37" w:rsidRPr="006B0B8D" w:rsidRDefault="00D93C37" w:rsidP="00D93C37">
      <w:pPr>
        <w:pStyle w:val="ListParagraph"/>
        <w:numPr>
          <w:ilvl w:val="0"/>
          <w:numId w:val="8"/>
        </w:numPr>
        <w:spacing w:before="120" w:after="0"/>
        <w:ind w:left="851" w:hanging="284"/>
        <w:rPr>
          <w:rFonts w:eastAsia="Times New Roman"/>
        </w:rPr>
      </w:pPr>
      <w:r w:rsidRPr="006B0B8D">
        <w:rPr>
          <w:rFonts w:eastAsia="Times New Roman"/>
        </w:rPr>
        <w:t>запазване на ставката за отчисленията от 50 на сто;</w:t>
      </w:r>
    </w:p>
    <w:p w:rsidR="00D93C37" w:rsidRPr="006B0B8D" w:rsidRDefault="00D93C37" w:rsidP="00D93C37">
      <w:pPr>
        <w:pStyle w:val="ListParagraph"/>
        <w:numPr>
          <w:ilvl w:val="0"/>
          <w:numId w:val="8"/>
        </w:numPr>
        <w:spacing w:before="120" w:after="0"/>
        <w:ind w:left="851" w:hanging="284"/>
        <w:rPr>
          <w:rFonts w:eastAsia="Times New Roman"/>
        </w:rPr>
      </w:pPr>
      <w:r w:rsidRPr="006B0B8D">
        <w:rPr>
          <w:rFonts w:eastAsia="Times New Roman"/>
        </w:rPr>
        <w:t>запазване на подхода по отношение акционерните дружества, съставящи консолидирани финансови отчети, а именно: дивидентът да се отчислява на база печалбата по консолидирани</w:t>
      </w:r>
      <w:r>
        <w:rPr>
          <w:rFonts w:eastAsia="Times New Roman"/>
        </w:rPr>
        <w:t>я финансов отчет на дружествата;</w:t>
      </w:r>
    </w:p>
    <w:p w:rsidR="00D93C37" w:rsidRPr="006B0B8D" w:rsidRDefault="00D93C37" w:rsidP="00D93C37">
      <w:pPr>
        <w:pStyle w:val="ListParagraph"/>
        <w:numPr>
          <w:ilvl w:val="0"/>
          <w:numId w:val="8"/>
        </w:numPr>
        <w:spacing w:before="120" w:after="0"/>
        <w:ind w:left="851" w:hanging="284"/>
        <w:rPr>
          <w:rFonts w:eastAsia="Times New Roman"/>
        </w:rPr>
      </w:pPr>
      <w:r w:rsidRPr="006B0B8D">
        <w:rPr>
          <w:rFonts w:eastAsia="Times New Roman"/>
        </w:rPr>
        <w:t>изключване на лечебните заведения за болнична помощ от обхвата на  Разпореждането на Министерския съвет за установяване и внасяне в полза на държавата на отчисления от печалбата от държавни предприятия и търговски дружества с държавно участие в капитала;</w:t>
      </w:r>
    </w:p>
    <w:p w:rsidR="00D93C37" w:rsidRPr="006B0B8D" w:rsidRDefault="00D93C37" w:rsidP="00D93C37">
      <w:pPr>
        <w:pStyle w:val="ListParagraph"/>
        <w:numPr>
          <w:ilvl w:val="0"/>
          <w:numId w:val="8"/>
        </w:numPr>
        <w:spacing w:before="120" w:after="0"/>
        <w:ind w:left="851" w:hanging="284"/>
        <w:rPr>
          <w:rFonts w:eastAsia="Times New Roman"/>
        </w:rPr>
      </w:pPr>
      <w:r w:rsidRPr="006B0B8D">
        <w:rPr>
          <w:rFonts w:eastAsia="Times New Roman"/>
        </w:rPr>
        <w:t>изключване също и на дружествата от отрасъл „Водоснабдяване и канализация“ във връзка с изпълнение на предварителни условия във водния сектор за усвояване на средствата от европейските фондове за програмния период 2014-2020 г.</w:t>
      </w:r>
    </w:p>
    <w:p w:rsidR="00D93C37" w:rsidRPr="00730995" w:rsidRDefault="00D93C37" w:rsidP="00D93C37">
      <w:pPr>
        <w:spacing w:before="120" w:after="0"/>
        <w:rPr>
          <w:rFonts w:eastAsia="Times New Roman"/>
        </w:rPr>
      </w:pPr>
      <w:r>
        <w:rPr>
          <w:rFonts w:eastAsia="Times New Roman"/>
        </w:rPr>
        <w:t>П</w:t>
      </w:r>
      <w:r w:rsidRPr="00730995">
        <w:rPr>
          <w:rFonts w:eastAsia="Times New Roman"/>
        </w:rPr>
        <w:t>рогнозираните приходи от дивидент</w:t>
      </w:r>
      <w:r>
        <w:rPr>
          <w:rFonts w:eastAsia="Times New Roman"/>
        </w:rPr>
        <w:t xml:space="preserve"> по държавния бюджет са</w:t>
      </w:r>
      <w:r w:rsidRPr="00730995">
        <w:rPr>
          <w:rFonts w:eastAsia="Times New Roman"/>
        </w:rPr>
        <w:t>, както следва:</w:t>
      </w:r>
    </w:p>
    <w:p w:rsidR="00D93C37" w:rsidRPr="009D25AA" w:rsidRDefault="00D93C37" w:rsidP="00D93C37">
      <w:pPr>
        <w:pStyle w:val="ListParagraph"/>
        <w:numPr>
          <w:ilvl w:val="0"/>
          <w:numId w:val="40"/>
        </w:numPr>
        <w:spacing w:before="120" w:after="0"/>
        <w:rPr>
          <w:rFonts w:eastAsia="Times New Roman"/>
        </w:rPr>
      </w:pPr>
      <w:r w:rsidRPr="009D25AA">
        <w:rPr>
          <w:rFonts w:eastAsia="Batang"/>
        </w:rPr>
        <w:t>55,4</w:t>
      </w:r>
      <w:r w:rsidRPr="009D25AA">
        <w:rPr>
          <w:rFonts w:eastAsia="Times New Roman"/>
        </w:rPr>
        <w:t xml:space="preserve"> млн. лв. за 2020 г.;</w:t>
      </w:r>
    </w:p>
    <w:p w:rsidR="00D93C37" w:rsidRPr="009D25AA" w:rsidRDefault="00D93C37" w:rsidP="00D93C37">
      <w:pPr>
        <w:pStyle w:val="ListParagraph"/>
        <w:numPr>
          <w:ilvl w:val="0"/>
          <w:numId w:val="40"/>
        </w:numPr>
        <w:spacing w:before="120" w:after="0"/>
        <w:rPr>
          <w:rFonts w:eastAsia="Times New Roman"/>
        </w:rPr>
      </w:pPr>
      <w:r w:rsidRPr="009D25AA">
        <w:rPr>
          <w:rFonts w:eastAsia="Batang"/>
        </w:rPr>
        <w:t>60,8</w:t>
      </w:r>
      <w:r w:rsidRPr="009D25AA">
        <w:rPr>
          <w:rFonts w:eastAsia="Times New Roman"/>
        </w:rPr>
        <w:t xml:space="preserve"> млн. лв. за 2021 г.;</w:t>
      </w:r>
    </w:p>
    <w:p w:rsidR="00D93C37" w:rsidRPr="00CD277D" w:rsidRDefault="00D93C37" w:rsidP="00D93C37">
      <w:pPr>
        <w:pStyle w:val="ListParagraph"/>
        <w:numPr>
          <w:ilvl w:val="0"/>
          <w:numId w:val="40"/>
        </w:numPr>
        <w:spacing w:before="120" w:after="0"/>
        <w:rPr>
          <w:rFonts w:eastAsia="Times New Roman"/>
        </w:rPr>
      </w:pPr>
      <w:r w:rsidRPr="009D25AA">
        <w:rPr>
          <w:rFonts w:eastAsia="Batang"/>
        </w:rPr>
        <w:t>62,8</w:t>
      </w:r>
      <w:r w:rsidRPr="009D25AA">
        <w:rPr>
          <w:rFonts w:eastAsia="Times New Roman"/>
        </w:rPr>
        <w:t xml:space="preserve"> млн. лв. за </w:t>
      </w:r>
      <w:r w:rsidRPr="00CD277D">
        <w:rPr>
          <w:rFonts w:eastAsia="Times New Roman"/>
        </w:rPr>
        <w:t>2022 г.</w:t>
      </w:r>
    </w:p>
    <w:p w:rsidR="00BE0B6A" w:rsidRPr="00D93C37" w:rsidRDefault="00BE0B6A" w:rsidP="00D93C37">
      <w:pPr>
        <w:rPr>
          <w:rFonts w:eastAsia="Times New Roman"/>
          <w:highlight w:val="yellow"/>
        </w:rPr>
      </w:pPr>
    </w:p>
    <w:p w:rsidR="00BE0B6A" w:rsidRPr="009D2915" w:rsidRDefault="00BE0B6A" w:rsidP="00BE0B6A">
      <w:pPr>
        <w:pStyle w:val="Heading4"/>
      </w:pPr>
      <w:r w:rsidRPr="009D2915">
        <w:t>Приходи от наеми за държавата</w:t>
      </w:r>
    </w:p>
    <w:p w:rsidR="00BE0B6A" w:rsidRDefault="00BE0B6A" w:rsidP="00BE0B6A">
      <w:pPr>
        <w:spacing w:before="120" w:after="0"/>
      </w:pPr>
      <w:r>
        <w:t>Приходите от наеми за държавата за периода 2020-2022 г. са разчетени при 50% отчисления от наемите, получени от държавните предприятия и едноличните търговски дружества, отдали под наем предоставените им застроени или незастроени недвижими имоти.</w:t>
      </w:r>
    </w:p>
    <w:p w:rsidR="00BE0B6A" w:rsidRDefault="00BE0B6A" w:rsidP="00BE0B6A">
      <w:pPr>
        <w:spacing w:before="120" w:after="0"/>
        <w:rPr>
          <w:rFonts w:eastAsia="Times New Roman"/>
        </w:rPr>
      </w:pPr>
      <w:r>
        <w:t xml:space="preserve">Размерът на прогнозираните приходи е по </w:t>
      </w:r>
      <w:r w:rsidRPr="009D25AA">
        <w:rPr>
          <w:rFonts w:eastAsia="Batang"/>
        </w:rPr>
        <w:t>5,0</w:t>
      </w:r>
      <w:r w:rsidRPr="009D25AA">
        <w:rPr>
          <w:rFonts w:eastAsia="Times New Roman"/>
        </w:rPr>
        <w:t xml:space="preserve"> млн. </w:t>
      </w:r>
      <w:r>
        <w:rPr>
          <w:rFonts w:eastAsia="Times New Roman"/>
        </w:rPr>
        <w:t>лв. годишно за периода 2020-2022 г.</w:t>
      </w:r>
    </w:p>
    <w:p w:rsidR="00BE0B6A" w:rsidRPr="009D2915" w:rsidRDefault="00BE0B6A" w:rsidP="00BE0B6A">
      <w:pPr>
        <w:pStyle w:val="Heading4"/>
      </w:pPr>
      <w:r w:rsidRPr="009D2915">
        <w:t>Приходи от концесионна дейност</w:t>
      </w:r>
    </w:p>
    <w:p w:rsidR="008D3816" w:rsidRPr="009D25AA" w:rsidRDefault="008D3816" w:rsidP="008D3816">
      <w:pPr>
        <w:spacing w:before="120" w:after="0"/>
        <w:rPr>
          <w:bCs/>
        </w:rPr>
      </w:pPr>
      <w:r>
        <w:t xml:space="preserve">Прогнозните приходи от концесии по КФП за 2020 г. възлизат </w:t>
      </w:r>
      <w:r w:rsidRPr="009D25AA">
        <w:t xml:space="preserve">на </w:t>
      </w:r>
      <w:r w:rsidRPr="009D25AA">
        <w:rPr>
          <w:rFonts w:eastAsia="Batang"/>
        </w:rPr>
        <w:t>803,1</w:t>
      </w:r>
      <w:r w:rsidR="00016BFE" w:rsidRPr="009D25AA">
        <w:rPr>
          <w:rFonts w:eastAsia="Batang"/>
        </w:rPr>
        <w:t xml:space="preserve"> </w:t>
      </w:r>
      <w:r w:rsidRPr="009D25AA">
        <w:t>млн. лв., като от тях 755,4 млн. лв. се очаква да постъпят по бюджетите на министерствата и Министерския съвет и 42,5 млн. лв. приходи от държавни концесии по бюджетите на общините, на чиито територии се намират находищата на подземни богатства, минералните води, морските плажове</w:t>
      </w:r>
      <w:r w:rsidRPr="009D25AA">
        <w:rPr>
          <w:bCs/>
        </w:rPr>
        <w:t xml:space="preserve"> и концесионната площ по концесионния договор „Ски зона с център Банско – част от територията на Национален парк – „Пирин</w:t>
      </w:r>
      <w:r w:rsidR="00016BFE" w:rsidRPr="009D25AA">
        <w:rPr>
          <w:bCs/>
        </w:rPr>
        <w:t>“</w:t>
      </w:r>
      <w:r w:rsidRPr="009D25AA">
        <w:rPr>
          <w:bCs/>
        </w:rPr>
        <w:t xml:space="preserve"> и 5,3 млн. лв. приходи от общински концесии</w:t>
      </w:r>
      <w:r w:rsidRPr="009D25AA">
        <w:t xml:space="preserve">. В прогнозните постъпления за 2020 г. е включено и първоначалното концесионно възнаграждение, което ще постъпи от концесията за </w:t>
      </w:r>
      <w:r w:rsidR="00016BFE" w:rsidRPr="009D25AA">
        <w:t xml:space="preserve">„Гражданско </w:t>
      </w:r>
      <w:r w:rsidRPr="009D25AA">
        <w:t>летище за обществено ползване София</w:t>
      </w:r>
      <w:r w:rsidR="00016BFE" w:rsidRPr="009D25AA">
        <w:t>“</w:t>
      </w:r>
      <w:r w:rsidRPr="009D25AA">
        <w:t xml:space="preserve"> – 660,0 млн. лв.</w:t>
      </w:r>
    </w:p>
    <w:p w:rsidR="008D3816" w:rsidRPr="009D25AA" w:rsidRDefault="008D3816" w:rsidP="008D3816">
      <w:pPr>
        <w:spacing w:before="120" w:after="0"/>
      </w:pPr>
      <w:r w:rsidRPr="009D25AA">
        <w:t xml:space="preserve">За 2021 г. се предвиждат приходи от концесии по КФП в размер на </w:t>
      </w:r>
      <w:r w:rsidRPr="009D25AA">
        <w:rPr>
          <w:rFonts w:eastAsia="Batang"/>
        </w:rPr>
        <w:t>200,9</w:t>
      </w:r>
      <w:r w:rsidRPr="009D25AA">
        <w:t xml:space="preserve"> млн. лв., като от тях 153,1 млн. лв. се очаква да постъпят по бюджетите на министерствата и Министерския съвет, и </w:t>
      </w:r>
      <w:r w:rsidRPr="009D25AA">
        <w:rPr>
          <w:rFonts w:eastAsia="Batang"/>
        </w:rPr>
        <w:t>47,8</w:t>
      </w:r>
      <w:r w:rsidRPr="009D25AA">
        <w:t xml:space="preserve"> млн. лв. по бюджетите на общините. </w:t>
      </w:r>
    </w:p>
    <w:p w:rsidR="008D3816" w:rsidRPr="009D25AA" w:rsidRDefault="008D3816" w:rsidP="008D3816">
      <w:pPr>
        <w:spacing w:before="120" w:after="0"/>
      </w:pPr>
      <w:r w:rsidRPr="009D25AA">
        <w:t xml:space="preserve">За 2022 г. се предвиждат приходи от концесии по КФП в размер на </w:t>
      </w:r>
      <w:r w:rsidRPr="009D25AA">
        <w:rPr>
          <w:rFonts w:eastAsia="Batang"/>
        </w:rPr>
        <w:t>204,7</w:t>
      </w:r>
      <w:r w:rsidRPr="009D25AA">
        <w:t xml:space="preserve"> млн. лв., като от тях 156,9 млн. лв. се очаква да постъпят по бюджетите на министерствата и Министерския съвет, и </w:t>
      </w:r>
      <w:r w:rsidRPr="009D25AA">
        <w:rPr>
          <w:rFonts w:eastAsia="Batang"/>
        </w:rPr>
        <w:t>47,8</w:t>
      </w:r>
      <w:r w:rsidRPr="009D25AA">
        <w:t xml:space="preserve"> млн. лв. по бюджетите на общините.</w:t>
      </w:r>
    </w:p>
    <w:p w:rsidR="008D3816" w:rsidRDefault="008D3816" w:rsidP="008D3816">
      <w:pPr>
        <w:spacing w:before="120" w:after="0"/>
      </w:pPr>
      <w:r w:rsidRPr="009D25AA">
        <w:t xml:space="preserve">Основна мярка за повишаване събираемостта на приходите от концесии е подобряване контрола върху концесионните договори – чрез своевременно начисляване и предявяване на предвидените неустойки по договорите, завеждане на съдебни дела </w:t>
      </w:r>
      <w:r>
        <w:t>и прекратяване на концесионни договори със стари задължения и сключване на нови.</w:t>
      </w:r>
    </w:p>
    <w:p w:rsidR="00083361" w:rsidRPr="0010274F" w:rsidRDefault="00083361" w:rsidP="00DE2BDB">
      <w:pPr>
        <w:pStyle w:val="Heading2"/>
      </w:pPr>
      <w:bookmarkStart w:id="463" w:name="_Toc23337478"/>
      <w:r w:rsidRPr="0010274F">
        <w:t>Р</w:t>
      </w:r>
      <w:r w:rsidR="002A37C0">
        <w:t>АЗХОДНИ ПОЛИТИКИ ЗА ПЕРИОДА 2020</w:t>
      </w:r>
      <w:r w:rsidR="001228E3">
        <w:t>-20</w:t>
      </w:r>
      <w:r w:rsidR="002A37C0">
        <w:t>22</w:t>
      </w:r>
      <w:r w:rsidR="00AA3035">
        <w:t> г.</w:t>
      </w:r>
      <w:bookmarkEnd w:id="428"/>
      <w:bookmarkEnd w:id="429"/>
      <w:bookmarkEnd w:id="430"/>
      <w:bookmarkEnd w:id="431"/>
      <w:bookmarkEnd w:id="432"/>
      <w:bookmarkEnd w:id="433"/>
      <w:bookmarkEnd w:id="434"/>
      <w:bookmarkEnd w:id="435"/>
      <w:bookmarkEnd w:id="436"/>
      <w:bookmarkEnd w:id="437"/>
      <w:bookmarkEnd w:id="438"/>
      <w:bookmarkEnd w:id="463"/>
    </w:p>
    <w:p w:rsidR="00505870" w:rsidRDefault="0076173E" w:rsidP="00940345">
      <w:pPr>
        <w:spacing w:after="120"/>
      </w:pPr>
      <w:r w:rsidRPr="00093AAC">
        <w:t>Р</w:t>
      </w:r>
      <w:r w:rsidR="00083361" w:rsidRPr="00093AAC">
        <w:t xml:space="preserve">азходните политики </w:t>
      </w:r>
      <w:r w:rsidRPr="00093AAC">
        <w:t>са инструмент за реализиране на правителствените приоритети</w:t>
      </w:r>
      <w:r w:rsidR="009968C6" w:rsidRPr="00093AAC">
        <w:t>,</w:t>
      </w:r>
      <w:r w:rsidRPr="00093AAC">
        <w:t xml:space="preserve"> </w:t>
      </w:r>
      <w:r w:rsidR="009968C6" w:rsidRPr="00093AAC">
        <w:t xml:space="preserve">а успешното им провеждане </w:t>
      </w:r>
      <w:r w:rsidR="00083361" w:rsidRPr="00093AAC">
        <w:t>е в пряка зависимост от реформи</w:t>
      </w:r>
      <w:r w:rsidR="009968C6" w:rsidRPr="00093AAC">
        <w:t>те</w:t>
      </w:r>
      <w:r w:rsidR="00083361" w:rsidRPr="00093AAC">
        <w:t xml:space="preserve"> в отделните сектори. Необходими са мерки за подобряване на ефективността на публичните разходи, вкл. и чрез засилване ролята на пазарните механизми и спазване на бюджетните тавани и ограничения.</w:t>
      </w:r>
      <w:r w:rsidR="003F7B70" w:rsidRPr="00093AAC">
        <w:t xml:space="preserve"> </w:t>
      </w:r>
      <w:r w:rsidR="009968C6" w:rsidRPr="00093AAC">
        <w:t>Параметр</w:t>
      </w:r>
      <w:r w:rsidR="006228B3" w:rsidRPr="00093AAC">
        <w:t>ите на разходите за периода 20</w:t>
      </w:r>
      <w:r w:rsidR="00093AAC" w:rsidRPr="00093AAC">
        <w:t>20</w:t>
      </w:r>
      <w:r w:rsidR="009968C6" w:rsidRPr="00093AAC">
        <w:t>-202</w:t>
      </w:r>
      <w:r w:rsidR="00093AAC" w:rsidRPr="00093AAC">
        <w:t>2</w:t>
      </w:r>
      <w:r w:rsidR="009968C6" w:rsidRPr="00093AAC">
        <w:t xml:space="preserve"> г. са съобразени с възможностите на бюджета за финансиране на политиките и с перспективите за развитие на публичните сфери.</w:t>
      </w:r>
    </w:p>
    <w:p w:rsidR="006C1196" w:rsidRPr="009F6150" w:rsidRDefault="006C1196" w:rsidP="006C1196">
      <w:pPr>
        <w:pStyle w:val="Caption"/>
        <w:rPr>
          <w:lang w:val="ru-RU"/>
        </w:rPr>
      </w:pPr>
      <w:r w:rsidRPr="007924D6">
        <w:t xml:space="preserve">Граф. </w:t>
      </w:r>
      <w:fldSimple w:instr=" STYLEREF 1 \s ">
        <w:r w:rsidR="0034195B">
          <w:rPr>
            <w:noProof/>
          </w:rPr>
          <w:t>III</w:t>
        </w:r>
      </w:fldSimple>
      <w:r w:rsidRPr="007924D6">
        <w:noBreakHyphen/>
      </w:r>
      <w:fldSimple w:instr=" SEQ Граф. \* ARABIC \s 1 ">
        <w:r w:rsidR="0034195B">
          <w:rPr>
            <w:noProof/>
          </w:rPr>
          <w:t>2</w:t>
        </w:r>
      </w:fldSimple>
      <w:r w:rsidRPr="007924D6">
        <w:t>:</w:t>
      </w:r>
      <w:r w:rsidRPr="007924D6">
        <w:tab/>
        <w:t xml:space="preserve">Структура на разходите по КФП в % за периода </w:t>
      </w:r>
      <w:r w:rsidR="00A36510" w:rsidRPr="00A36510">
        <w:t>2019</w:t>
      </w:r>
      <w:r w:rsidRPr="00A36510">
        <w:t>-20</w:t>
      </w:r>
      <w:r w:rsidRPr="00A36510">
        <w:rPr>
          <w:lang w:val="ru-RU"/>
        </w:rPr>
        <w:t>2</w:t>
      </w:r>
      <w:r w:rsidR="00A36510" w:rsidRPr="00A36510">
        <w:t>2</w:t>
      </w:r>
      <w:r w:rsidRPr="007924D6">
        <w:t xml:space="preserve"> г., вкл. резерв и вноска в бюджета на ЕС </w:t>
      </w:r>
      <w:r w:rsidRPr="007924D6">
        <w:rPr>
          <w:vertAlign w:val="superscript"/>
        </w:rPr>
        <w:footnoteReference w:id="22"/>
      </w:r>
    </w:p>
    <w:p w:rsidR="007D6981" w:rsidRPr="007D6981" w:rsidRDefault="007D6981" w:rsidP="007D6981">
      <w:pPr>
        <w:rPr>
          <w:lang w:val="en-US"/>
        </w:rPr>
      </w:pPr>
      <w:r w:rsidRPr="001C0F68">
        <w:rPr>
          <w:b/>
          <w:i/>
          <w:noProof/>
          <w:sz w:val="18"/>
          <w:szCs w:val="18"/>
        </w:rPr>
        <w:drawing>
          <wp:inline distT="0" distB="0" distL="0" distR="0" wp14:anchorId="4159C357" wp14:editId="2BA7AEE8">
            <wp:extent cx="5759450" cy="2915920"/>
            <wp:effectExtent l="0" t="0" r="12700" b="1778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BB7CB3" w:rsidRDefault="00BB7CB3" w:rsidP="00BB7CB3">
      <w:pPr>
        <w:pStyle w:val="Caption"/>
        <w:spacing w:before="120"/>
      </w:pPr>
      <w:bookmarkStart w:id="464" w:name="_Toc464644988"/>
      <w:bookmarkStart w:id="465" w:name="_Toc464646365"/>
      <w:bookmarkStart w:id="466" w:name="_Toc464737644"/>
    </w:p>
    <w:p w:rsidR="00083361" w:rsidRDefault="0010274F" w:rsidP="0051695D">
      <w:pPr>
        <w:pStyle w:val="Caption"/>
        <w:spacing w:before="360"/>
        <w:rPr>
          <w:rFonts w:cs="Calibri"/>
          <w:color w:val="000000"/>
          <w:szCs w:val="24"/>
        </w:rPr>
      </w:pPr>
      <w:bookmarkStart w:id="467" w:name="_Toc23337527"/>
      <w:r>
        <w:t xml:space="preserve">Табл. </w:t>
      </w:r>
      <w:fldSimple w:instr=" STYLEREF 1 \s ">
        <w:r w:rsidR="0034195B">
          <w:rPr>
            <w:noProof/>
          </w:rPr>
          <w:t>III</w:t>
        </w:r>
      </w:fldSimple>
      <w:r w:rsidR="00927CD5">
        <w:noBreakHyphen/>
      </w:r>
      <w:fldSimple w:instr=" SEQ Табл. \* ARABIC \s 1 ">
        <w:r w:rsidR="0034195B">
          <w:rPr>
            <w:noProof/>
          </w:rPr>
          <w:t>1</w:t>
        </w:r>
      </w:fldSimple>
      <w:r>
        <w:t>:</w:t>
      </w:r>
      <w:r>
        <w:tab/>
      </w:r>
      <w:r w:rsidR="00083361" w:rsidRPr="00D338FD">
        <w:rPr>
          <w:rFonts w:cs="Calibri"/>
          <w:color w:val="000000"/>
          <w:szCs w:val="24"/>
        </w:rPr>
        <w:t xml:space="preserve">Разходи по функции по КФП за периода </w:t>
      </w:r>
      <w:r w:rsidR="00083361" w:rsidRPr="00065D2A">
        <w:rPr>
          <w:rFonts w:cs="Calibri"/>
          <w:color w:val="000000"/>
          <w:szCs w:val="24"/>
        </w:rPr>
        <w:t>201</w:t>
      </w:r>
      <w:r w:rsidR="00065D2A" w:rsidRPr="00065D2A">
        <w:rPr>
          <w:rFonts w:cs="Calibri"/>
          <w:color w:val="000000"/>
          <w:szCs w:val="24"/>
        </w:rPr>
        <w:t>9</w:t>
      </w:r>
      <w:r w:rsidR="00083361" w:rsidRPr="00065D2A">
        <w:rPr>
          <w:rFonts w:cs="Calibri"/>
          <w:color w:val="000000"/>
          <w:szCs w:val="24"/>
        </w:rPr>
        <w:t>-20</w:t>
      </w:r>
      <w:r w:rsidR="001228E3" w:rsidRPr="00065D2A">
        <w:rPr>
          <w:rFonts w:cs="Calibri"/>
          <w:color w:val="000000"/>
          <w:szCs w:val="24"/>
          <w:lang w:val="ru-RU"/>
        </w:rPr>
        <w:t>2</w:t>
      </w:r>
      <w:r w:rsidR="00065D2A" w:rsidRPr="00065D2A">
        <w:rPr>
          <w:rFonts w:cs="Calibri"/>
          <w:color w:val="000000"/>
          <w:szCs w:val="24"/>
        </w:rPr>
        <w:t>2</w:t>
      </w:r>
      <w:r w:rsidR="00AA3035" w:rsidRPr="00065D2A">
        <w:rPr>
          <w:rFonts w:cs="Calibri"/>
          <w:color w:val="000000"/>
          <w:szCs w:val="24"/>
        </w:rPr>
        <w:t> г.</w:t>
      </w:r>
      <w:r w:rsidR="00083361" w:rsidRPr="00D338FD">
        <w:rPr>
          <w:rFonts w:cs="Calibri"/>
          <w:color w:val="000000"/>
          <w:szCs w:val="24"/>
        </w:rPr>
        <w:t xml:space="preserve"> с разпределен резерв по функции (без вноска в общия бюджет на ЕС)</w:t>
      </w:r>
      <w:bookmarkEnd w:id="464"/>
      <w:bookmarkEnd w:id="465"/>
      <w:bookmarkEnd w:id="466"/>
      <w:bookmarkEnd w:id="467"/>
    </w:p>
    <w:tbl>
      <w:tblPr>
        <w:tblW w:w="9970" w:type="dxa"/>
        <w:tblInd w:w="70" w:type="dxa"/>
        <w:tblCellMar>
          <w:left w:w="70" w:type="dxa"/>
          <w:right w:w="70" w:type="dxa"/>
        </w:tblCellMar>
        <w:tblLook w:val="04A0" w:firstRow="1" w:lastRow="0" w:firstColumn="1" w:lastColumn="0" w:noHBand="0" w:noVBand="1"/>
      </w:tblPr>
      <w:tblGrid>
        <w:gridCol w:w="2835"/>
        <w:gridCol w:w="920"/>
        <w:gridCol w:w="923"/>
        <w:gridCol w:w="908"/>
        <w:gridCol w:w="908"/>
        <w:gridCol w:w="840"/>
        <w:gridCol w:w="820"/>
        <w:gridCol w:w="908"/>
        <w:gridCol w:w="908"/>
      </w:tblGrid>
      <w:tr w:rsidR="00AD2E9D" w:rsidRPr="00AD2E9D" w:rsidTr="0033314F">
        <w:trPr>
          <w:trHeight w:val="285"/>
          <w:tblHeader/>
        </w:trPr>
        <w:tc>
          <w:tcPr>
            <w:tcW w:w="2835" w:type="dxa"/>
            <w:vMerge w:val="restart"/>
            <w:tcBorders>
              <w:top w:val="single" w:sz="4" w:space="0" w:color="595959"/>
              <w:left w:val="nil"/>
              <w:bottom w:val="single" w:sz="4" w:space="0" w:color="595959"/>
              <w:right w:val="nil"/>
            </w:tcBorders>
            <w:shd w:val="clear" w:color="000000" w:fill="FFFFFF"/>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ПОКАЗАТЕЛИ</w:t>
            </w:r>
          </w:p>
        </w:tc>
        <w:tc>
          <w:tcPr>
            <w:tcW w:w="3659" w:type="dxa"/>
            <w:gridSpan w:val="4"/>
            <w:tcBorders>
              <w:top w:val="single" w:sz="4" w:space="0" w:color="595959"/>
              <w:left w:val="nil"/>
              <w:bottom w:val="single" w:sz="4" w:space="0" w:color="595959"/>
              <w:right w:val="nil"/>
            </w:tcBorders>
            <w:shd w:val="clear" w:color="000000" w:fill="FFFFFF"/>
            <w:vAlign w:val="bottom"/>
            <w:hideMark/>
          </w:tcPr>
          <w:p w:rsidR="00AD2E9D" w:rsidRPr="00AD2E9D" w:rsidRDefault="00AD2E9D" w:rsidP="00AD2E9D">
            <w:pPr>
              <w:spacing w:after="0"/>
              <w:jc w:val="center"/>
              <w:rPr>
                <w:rFonts w:eastAsia="Times New Roman" w:cs="Times New Roman"/>
                <w:b/>
                <w:bCs/>
                <w:color w:val="000000"/>
                <w:sz w:val="18"/>
                <w:szCs w:val="18"/>
              </w:rPr>
            </w:pPr>
            <w:r w:rsidRPr="00AD2E9D">
              <w:rPr>
                <w:rFonts w:eastAsia="Times New Roman" w:cs="Times New Roman"/>
                <w:b/>
                <w:bCs/>
                <w:color w:val="000000"/>
                <w:sz w:val="18"/>
                <w:szCs w:val="18"/>
              </w:rPr>
              <w:t>млн. лв.</w:t>
            </w:r>
          </w:p>
        </w:tc>
        <w:tc>
          <w:tcPr>
            <w:tcW w:w="3476" w:type="dxa"/>
            <w:gridSpan w:val="4"/>
            <w:tcBorders>
              <w:top w:val="single" w:sz="4" w:space="0" w:color="auto"/>
              <w:left w:val="nil"/>
              <w:bottom w:val="single" w:sz="4" w:space="0" w:color="auto"/>
              <w:right w:val="nil"/>
            </w:tcBorders>
            <w:shd w:val="clear" w:color="000000" w:fill="F2F2F2"/>
            <w:vAlign w:val="bottom"/>
            <w:hideMark/>
          </w:tcPr>
          <w:p w:rsidR="00AD2E9D" w:rsidRPr="00AD2E9D" w:rsidRDefault="00AD2E9D" w:rsidP="00AD2E9D">
            <w:pPr>
              <w:spacing w:after="0"/>
              <w:jc w:val="center"/>
              <w:rPr>
                <w:rFonts w:eastAsia="Times New Roman" w:cs="Times New Roman"/>
                <w:b/>
                <w:bCs/>
                <w:color w:val="000000"/>
                <w:sz w:val="18"/>
                <w:szCs w:val="18"/>
              </w:rPr>
            </w:pPr>
            <w:r w:rsidRPr="00AD2E9D">
              <w:rPr>
                <w:rFonts w:eastAsia="Times New Roman" w:cs="Times New Roman"/>
                <w:b/>
                <w:bCs/>
                <w:color w:val="000000"/>
                <w:sz w:val="18"/>
                <w:szCs w:val="18"/>
              </w:rPr>
              <w:t>% от БВП</w:t>
            </w:r>
          </w:p>
        </w:tc>
      </w:tr>
      <w:tr w:rsidR="00AD2E9D" w:rsidRPr="00AD2E9D" w:rsidTr="0033314F">
        <w:trPr>
          <w:trHeight w:val="285"/>
          <w:tblHeader/>
        </w:trPr>
        <w:tc>
          <w:tcPr>
            <w:tcW w:w="2835" w:type="dxa"/>
            <w:vMerge/>
            <w:tcBorders>
              <w:top w:val="single" w:sz="4" w:space="0" w:color="595959"/>
              <w:left w:val="nil"/>
              <w:bottom w:val="single" w:sz="4" w:space="0" w:color="595959"/>
              <w:right w:val="nil"/>
            </w:tcBorders>
            <w:vAlign w:val="center"/>
            <w:hideMark/>
          </w:tcPr>
          <w:p w:rsidR="00AD2E9D" w:rsidRPr="00AD2E9D" w:rsidRDefault="00AD2E9D" w:rsidP="00AD2E9D">
            <w:pPr>
              <w:spacing w:after="0"/>
              <w:jc w:val="left"/>
              <w:rPr>
                <w:rFonts w:eastAsia="Times New Roman" w:cs="Times New Roman"/>
                <w:b/>
                <w:bCs/>
                <w:sz w:val="18"/>
                <w:szCs w:val="18"/>
              </w:rPr>
            </w:pPr>
          </w:p>
        </w:tc>
        <w:tc>
          <w:tcPr>
            <w:tcW w:w="920" w:type="dxa"/>
            <w:tcBorders>
              <w:top w:val="nil"/>
              <w:left w:val="nil"/>
              <w:right w:val="nil"/>
            </w:tcBorders>
            <w:shd w:val="clear" w:color="auto" w:fill="auto"/>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2019</w:t>
            </w:r>
          </w:p>
        </w:tc>
        <w:tc>
          <w:tcPr>
            <w:tcW w:w="923" w:type="dxa"/>
            <w:tcBorders>
              <w:top w:val="nil"/>
              <w:left w:val="nil"/>
              <w:right w:val="nil"/>
            </w:tcBorders>
            <w:shd w:val="clear" w:color="000000" w:fill="FFFFFF"/>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2020</w:t>
            </w:r>
          </w:p>
        </w:tc>
        <w:tc>
          <w:tcPr>
            <w:tcW w:w="908" w:type="dxa"/>
            <w:tcBorders>
              <w:top w:val="nil"/>
              <w:left w:val="nil"/>
              <w:right w:val="nil"/>
            </w:tcBorders>
            <w:shd w:val="clear" w:color="000000" w:fill="FFFFFF"/>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2021</w:t>
            </w:r>
          </w:p>
        </w:tc>
        <w:tc>
          <w:tcPr>
            <w:tcW w:w="908" w:type="dxa"/>
            <w:tcBorders>
              <w:top w:val="nil"/>
              <w:left w:val="nil"/>
              <w:right w:val="nil"/>
            </w:tcBorders>
            <w:shd w:val="clear" w:color="000000" w:fill="FFFFFF"/>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2022</w:t>
            </w:r>
          </w:p>
        </w:tc>
        <w:tc>
          <w:tcPr>
            <w:tcW w:w="840" w:type="dxa"/>
            <w:tcBorders>
              <w:top w:val="nil"/>
              <w:left w:val="nil"/>
              <w:right w:val="nil"/>
            </w:tcBorders>
            <w:shd w:val="clear" w:color="000000" w:fill="F2F2F2"/>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2019</w:t>
            </w:r>
          </w:p>
        </w:tc>
        <w:tc>
          <w:tcPr>
            <w:tcW w:w="820" w:type="dxa"/>
            <w:tcBorders>
              <w:top w:val="nil"/>
              <w:left w:val="nil"/>
              <w:right w:val="nil"/>
            </w:tcBorders>
            <w:shd w:val="clear" w:color="000000" w:fill="F2F2F2"/>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2020</w:t>
            </w:r>
          </w:p>
        </w:tc>
        <w:tc>
          <w:tcPr>
            <w:tcW w:w="908" w:type="dxa"/>
            <w:tcBorders>
              <w:top w:val="nil"/>
              <w:left w:val="nil"/>
              <w:right w:val="nil"/>
            </w:tcBorders>
            <w:shd w:val="clear" w:color="000000" w:fill="F2F2F2"/>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2021</w:t>
            </w:r>
          </w:p>
        </w:tc>
        <w:tc>
          <w:tcPr>
            <w:tcW w:w="908" w:type="dxa"/>
            <w:tcBorders>
              <w:top w:val="nil"/>
              <w:left w:val="nil"/>
              <w:right w:val="nil"/>
            </w:tcBorders>
            <w:shd w:val="clear" w:color="000000" w:fill="F2F2F2"/>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2022</w:t>
            </w:r>
          </w:p>
        </w:tc>
      </w:tr>
      <w:tr w:rsidR="00AD2E9D" w:rsidRPr="00AD2E9D" w:rsidTr="0033314F">
        <w:trPr>
          <w:trHeight w:val="675"/>
          <w:tblHeader/>
        </w:trPr>
        <w:tc>
          <w:tcPr>
            <w:tcW w:w="2835" w:type="dxa"/>
            <w:vMerge/>
            <w:tcBorders>
              <w:top w:val="single" w:sz="4" w:space="0" w:color="595959"/>
              <w:left w:val="nil"/>
              <w:bottom w:val="single" w:sz="4" w:space="0" w:color="595959"/>
              <w:right w:val="nil"/>
            </w:tcBorders>
            <w:vAlign w:val="center"/>
            <w:hideMark/>
          </w:tcPr>
          <w:p w:rsidR="00AD2E9D" w:rsidRPr="00AD2E9D" w:rsidRDefault="00AD2E9D" w:rsidP="00AD2E9D">
            <w:pPr>
              <w:spacing w:after="0"/>
              <w:jc w:val="left"/>
              <w:rPr>
                <w:rFonts w:eastAsia="Times New Roman" w:cs="Times New Roman"/>
                <w:b/>
                <w:bCs/>
                <w:sz w:val="18"/>
                <w:szCs w:val="18"/>
              </w:rPr>
            </w:pPr>
          </w:p>
        </w:tc>
        <w:tc>
          <w:tcPr>
            <w:tcW w:w="920"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Ревиз. оценка</w:t>
            </w:r>
          </w:p>
        </w:tc>
        <w:tc>
          <w:tcPr>
            <w:tcW w:w="923" w:type="dxa"/>
            <w:tcBorders>
              <w:top w:val="nil"/>
              <w:left w:val="nil"/>
              <w:bottom w:val="single" w:sz="4" w:space="0" w:color="auto"/>
              <w:right w:val="nil"/>
            </w:tcBorders>
            <w:shd w:val="clear" w:color="000000" w:fill="FFFFFF"/>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Проeкт</w:t>
            </w:r>
          </w:p>
        </w:tc>
        <w:tc>
          <w:tcPr>
            <w:tcW w:w="908" w:type="dxa"/>
            <w:tcBorders>
              <w:top w:val="nil"/>
              <w:left w:val="nil"/>
              <w:bottom w:val="single" w:sz="4" w:space="0" w:color="auto"/>
              <w:right w:val="nil"/>
            </w:tcBorders>
            <w:shd w:val="clear" w:color="000000" w:fill="FFFFFF"/>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Прогноза</w:t>
            </w:r>
          </w:p>
        </w:tc>
        <w:tc>
          <w:tcPr>
            <w:tcW w:w="908" w:type="dxa"/>
            <w:tcBorders>
              <w:top w:val="nil"/>
              <w:left w:val="nil"/>
              <w:bottom w:val="single" w:sz="4" w:space="0" w:color="auto"/>
              <w:right w:val="nil"/>
            </w:tcBorders>
            <w:shd w:val="clear" w:color="000000" w:fill="FFFFFF"/>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Прогноза</w:t>
            </w:r>
          </w:p>
        </w:tc>
        <w:tc>
          <w:tcPr>
            <w:tcW w:w="840" w:type="dxa"/>
            <w:tcBorders>
              <w:top w:val="nil"/>
              <w:left w:val="nil"/>
              <w:bottom w:val="single" w:sz="4" w:space="0" w:color="auto"/>
              <w:right w:val="nil"/>
            </w:tcBorders>
            <w:shd w:val="clear" w:color="000000" w:fill="F2F2F2"/>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Ревиз. Оценка</w:t>
            </w:r>
          </w:p>
        </w:tc>
        <w:tc>
          <w:tcPr>
            <w:tcW w:w="820" w:type="dxa"/>
            <w:tcBorders>
              <w:top w:val="nil"/>
              <w:left w:val="nil"/>
              <w:bottom w:val="single" w:sz="4" w:space="0" w:color="auto"/>
              <w:right w:val="nil"/>
            </w:tcBorders>
            <w:shd w:val="clear" w:color="000000" w:fill="F2F2F2"/>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Проeкт</w:t>
            </w:r>
          </w:p>
        </w:tc>
        <w:tc>
          <w:tcPr>
            <w:tcW w:w="908" w:type="dxa"/>
            <w:tcBorders>
              <w:top w:val="nil"/>
              <w:left w:val="nil"/>
              <w:bottom w:val="single" w:sz="4" w:space="0" w:color="auto"/>
              <w:right w:val="nil"/>
            </w:tcBorders>
            <w:shd w:val="clear" w:color="000000" w:fill="F2F2F2"/>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Прогноза</w:t>
            </w:r>
          </w:p>
        </w:tc>
        <w:tc>
          <w:tcPr>
            <w:tcW w:w="908" w:type="dxa"/>
            <w:tcBorders>
              <w:top w:val="nil"/>
              <w:left w:val="nil"/>
              <w:bottom w:val="single" w:sz="4" w:space="0" w:color="auto"/>
              <w:right w:val="nil"/>
            </w:tcBorders>
            <w:shd w:val="clear" w:color="000000" w:fill="F2F2F2"/>
            <w:noWrap/>
            <w:vAlign w:val="center"/>
            <w:hideMark/>
          </w:tcPr>
          <w:p w:rsidR="00AD2E9D" w:rsidRPr="00AD2E9D" w:rsidRDefault="00AD2E9D" w:rsidP="00AD2E9D">
            <w:pPr>
              <w:spacing w:after="0"/>
              <w:jc w:val="center"/>
              <w:rPr>
                <w:rFonts w:eastAsia="Times New Roman" w:cs="Times New Roman"/>
                <w:b/>
                <w:bCs/>
                <w:sz w:val="18"/>
                <w:szCs w:val="18"/>
              </w:rPr>
            </w:pPr>
            <w:r w:rsidRPr="00AD2E9D">
              <w:rPr>
                <w:rFonts w:eastAsia="Times New Roman" w:cs="Times New Roman"/>
                <w:b/>
                <w:bCs/>
                <w:sz w:val="18"/>
                <w:szCs w:val="18"/>
              </w:rPr>
              <w:t>Прогноза</w:t>
            </w:r>
          </w:p>
        </w:tc>
      </w:tr>
      <w:tr w:rsidR="00AD2E9D" w:rsidRPr="00AD2E9D" w:rsidTr="0033314F">
        <w:trPr>
          <w:trHeight w:val="7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8"/>
                <w:szCs w:val="8"/>
              </w:rPr>
            </w:pPr>
            <w:r w:rsidRPr="00AD2E9D">
              <w:rPr>
                <w:rFonts w:eastAsia="Times New Roman" w:cs="Times New Roman"/>
                <w:b/>
                <w:bCs/>
                <w:color w:val="000000"/>
                <w:sz w:val="8"/>
                <w:szCs w:val="8"/>
              </w:rPr>
              <w:t> </w:t>
            </w:r>
          </w:p>
        </w:tc>
        <w:tc>
          <w:tcPr>
            <w:tcW w:w="920" w:type="dxa"/>
            <w:tcBorders>
              <w:top w:val="single" w:sz="4" w:space="0" w:color="auto"/>
              <w:left w:val="nil"/>
              <w:bottom w:val="nil"/>
              <w:right w:val="nil"/>
            </w:tcBorders>
            <w:shd w:val="clear" w:color="000000" w:fill="FFFFFF"/>
            <w:noWrap/>
            <w:vAlign w:val="center"/>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23" w:type="dxa"/>
            <w:tcBorders>
              <w:top w:val="single" w:sz="4" w:space="0" w:color="auto"/>
              <w:left w:val="nil"/>
              <w:bottom w:val="nil"/>
              <w:right w:val="nil"/>
            </w:tcBorders>
            <w:shd w:val="clear" w:color="000000" w:fill="FFFFFF"/>
            <w:noWrap/>
            <w:vAlign w:val="center"/>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single" w:sz="4" w:space="0" w:color="auto"/>
              <w:left w:val="nil"/>
              <w:bottom w:val="nil"/>
              <w:right w:val="nil"/>
            </w:tcBorders>
            <w:shd w:val="clear" w:color="000000" w:fill="FFFFFF"/>
            <w:noWrap/>
            <w:vAlign w:val="center"/>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single" w:sz="4" w:space="0" w:color="auto"/>
              <w:left w:val="nil"/>
              <w:bottom w:val="nil"/>
              <w:right w:val="nil"/>
            </w:tcBorders>
            <w:shd w:val="clear" w:color="000000" w:fill="FFFFFF"/>
            <w:noWrap/>
            <w:vAlign w:val="center"/>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840" w:type="dxa"/>
            <w:tcBorders>
              <w:top w:val="single" w:sz="4" w:space="0" w:color="auto"/>
              <w:left w:val="nil"/>
              <w:bottom w:val="nil"/>
              <w:right w:val="nil"/>
            </w:tcBorders>
            <w:shd w:val="clear" w:color="000000" w:fill="F2F2F2"/>
            <w:noWrap/>
            <w:vAlign w:val="center"/>
            <w:hideMark/>
          </w:tcPr>
          <w:p w:rsidR="00AD2E9D" w:rsidRPr="00AD2E9D" w:rsidRDefault="00AD2E9D" w:rsidP="00AD2E9D">
            <w:pPr>
              <w:spacing w:after="0"/>
              <w:jc w:val="right"/>
              <w:rPr>
                <w:rFonts w:eastAsia="Times New Roman" w:cs="Times New Roman"/>
                <w:b/>
                <w:bCs/>
                <w:color w:val="000000"/>
                <w:sz w:val="8"/>
                <w:szCs w:val="8"/>
              </w:rPr>
            </w:pPr>
            <w:r w:rsidRPr="00AD2E9D">
              <w:rPr>
                <w:rFonts w:eastAsia="Times New Roman" w:cs="Times New Roman"/>
                <w:b/>
                <w:bCs/>
                <w:color w:val="000000"/>
                <w:sz w:val="8"/>
                <w:szCs w:val="8"/>
              </w:rPr>
              <w:t> </w:t>
            </w:r>
          </w:p>
        </w:tc>
        <w:tc>
          <w:tcPr>
            <w:tcW w:w="820" w:type="dxa"/>
            <w:tcBorders>
              <w:top w:val="single" w:sz="4" w:space="0" w:color="auto"/>
              <w:left w:val="nil"/>
              <w:bottom w:val="nil"/>
              <w:right w:val="nil"/>
            </w:tcBorders>
            <w:shd w:val="clear" w:color="000000" w:fill="F2F2F2"/>
            <w:noWrap/>
            <w:vAlign w:val="center"/>
            <w:hideMark/>
          </w:tcPr>
          <w:p w:rsidR="00AD2E9D" w:rsidRPr="00AD2E9D" w:rsidRDefault="00AD2E9D" w:rsidP="00AD2E9D">
            <w:pPr>
              <w:spacing w:after="0"/>
              <w:jc w:val="right"/>
              <w:rPr>
                <w:rFonts w:eastAsia="Times New Roman" w:cs="Times New Roman"/>
                <w:b/>
                <w:bCs/>
                <w:color w:val="000000"/>
                <w:sz w:val="8"/>
                <w:szCs w:val="8"/>
              </w:rPr>
            </w:pPr>
            <w:r w:rsidRPr="00AD2E9D">
              <w:rPr>
                <w:rFonts w:eastAsia="Times New Roman" w:cs="Times New Roman"/>
                <w:b/>
                <w:bCs/>
                <w:color w:val="000000"/>
                <w:sz w:val="8"/>
                <w:szCs w:val="8"/>
              </w:rPr>
              <w:t> </w:t>
            </w:r>
          </w:p>
        </w:tc>
        <w:tc>
          <w:tcPr>
            <w:tcW w:w="908" w:type="dxa"/>
            <w:tcBorders>
              <w:top w:val="single" w:sz="4" w:space="0" w:color="auto"/>
              <w:left w:val="nil"/>
              <w:bottom w:val="nil"/>
              <w:right w:val="nil"/>
            </w:tcBorders>
            <w:shd w:val="clear" w:color="000000" w:fill="F2F2F2"/>
            <w:noWrap/>
            <w:vAlign w:val="center"/>
            <w:hideMark/>
          </w:tcPr>
          <w:p w:rsidR="00AD2E9D" w:rsidRPr="00AD2E9D" w:rsidRDefault="00AD2E9D" w:rsidP="00AD2E9D">
            <w:pPr>
              <w:spacing w:after="0"/>
              <w:jc w:val="right"/>
              <w:rPr>
                <w:rFonts w:eastAsia="Times New Roman" w:cs="Times New Roman"/>
                <w:b/>
                <w:bCs/>
                <w:color w:val="000000"/>
                <w:sz w:val="8"/>
                <w:szCs w:val="8"/>
              </w:rPr>
            </w:pPr>
            <w:r w:rsidRPr="00AD2E9D">
              <w:rPr>
                <w:rFonts w:eastAsia="Times New Roman" w:cs="Times New Roman"/>
                <w:b/>
                <w:bCs/>
                <w:color w:val="000000"/>
                <w:sz w:val="8"/>
                <w:szCs w:val="8"/>
              </w:rPr>
              <w:t> </w:t>
            </w:r>
          </w:p>
        </w:tc>
        <w:tc>
          <w:tcPr>
            <w:tcW w:w="908" w:type="dxa"/>
            <w:tcBorders>
              <w:top w:val="single" w:sz="4" w:space="0" w:color="auto"/>
              <w:left w:val="nil"/>
              <w:bottom w:val="nil"/>
              <w:right w:val="nil"/>
            </w:tcBorders>
            <w:shd w:val="clear" w:color="000000" w:fill="F2F2F2"/>
            <w:noWrap/>
            <w:vAlign w:val="center"/>
            <w:hideMark/>
          </w:tcPr>
          <w:p w:rsidR="00AD2E9D" w:rsidRPr="00AD2E9D" w:rsidRDefault="00AD2E9D" w:rsidP="00AD2E9D">
            <w:pPr>
              <w:spacing w:after="0"/>
              <w:jc w:val="right"/>
              <w:rPr>
                <w:rFonts w:eastAsia="Times New Roman" w:cs="Times New Roman"/>
                <w:b/>
                <w:bCs/>
                <w:color w:val="000000"/>
                <w:sz w:val="8"/>
                <w:szCs w:val="8"/>
              </w:rPr>
            </w:pPr>
            <w:r w:rsidRPr="00AD2E9D">
              <w:rPr>
                <w:rFonts w:eastAsia="Times New Roman" w:cs="Times New Roman"/>
                <w:b/>
                <w:bCs/>
                <w:color w:val="000000"/>
                <w:sz w:val="8"/>
                <w:szCs w:val="8"/>
              </w:rPr>
              <w:t> </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 xml:space="preserve">Общи държавни служби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2 885,1</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3 025,7</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3 093,8</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3 291,7</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2,4%</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2,4%</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2,3%</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2,3%</w:t>
            </w:r>
          </w:p>
        </w:tc>
      </w:tr>
      <w:tr w:rsidR="00AD2E9D" w:rsidRPr="00AD2E9D" w:rsidTr="0033314F">
        <w:trPr>
          <w:trHeight w:val="240"/>
        </w:trPr>
        <w:tc>
          <w:tcPr>
            <w:tcW w:w="2835" w:type="dxa"/>
            <w:tcBorders>
              <w:top w:val="nil"/>
              <w:left w:val="nil"/>
              <w:bottom w:val="nil"/>
              <w:right w:val="nil"/>
            </w:tcBorders>
            <w:shd w:val="clear" w:color="000000" w:fill="FFFFFF"/>
            <w:noWrap/>
            <w:vAlign w:val="bottom"/>
            <w:hideMark/>
          </w:tcPr>
          <w:p w:rsidR="00AD2E9D" w:rsidRPr="00AD2E9D" w:rsidRDefault="00AD2E9D" w:rsidP="00AD2E9D">
            <w:pPr>
              <w:spacing w:after="0"/>
              <w:jc w:val="left"/>
              <w:rPr>
                <w:rFonts w:eastAsia="Times New Roman" w:cs="Times New Roman"/>
                <w:sz w:val="18"/>
                <w:szCs w:val="18"/>
              </w:rPr>
            </w:pPr>
            <w:r w:rsidRPr="00AD2E9D">
              <w:rPr>
                <w:rFonts w:eastAsia="Times New Roman" w:cs="Times New Roman"/>
                <w:sz w:val="18"/>
                <w:szCs w:val="18"/>
              </w:rPr>
              <w:t xml:space="preserve"> - изпълнителни и законодателни органи</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2 153,0</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2 261,3</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2 388,7</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2 638,1</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общи служби</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203,3</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192,9</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178,9</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200,8</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0,2%</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0,2%</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r>
      <w:tr w:rsidR="00AD2E9D" w:rsidRPr="00AD2E9D" w:rsidTr="0033314F">
        <w:trPr>
          <w:trHeight w:val="240"/>
        </w:trPr>
        <w:tc>
          <w:tcPr>
            <w:tcW w:w="2835"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наука</w:t>
            </w:r>
          </w:p>
        </w:tc>
        <w:tc>
          <w:tcPr>
            <w:tcW w:w="920"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528,8</w:t>
            </w:r>
          </w:p>
        </w:tc>
        <w:tc>
          <w:tcPr>
            <w:tcW w:w="923"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571,5</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526,1</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452,9</w:t>
            </w:r>
          </w:p>
        </w:tc>
        <w:tc>
          <w:tcPr>
            <w:tcW w:w="84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0,4%</w:t>
            </w:r>
          </w:p>
        </w:tc>
        <w:tc>
          <w:tcPr>
            <w:tcW w:w="82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0,5%</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0,4%</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0,3%</w:t>
            </w:r>
          </w:p>
        </w:tc>
      </w:tr>
      <w:tr w:rsidR="00AD2E9D" w:rsidRPr="00AD2E9D" w:rsidTr="0033314F">
        <w:trPr>
          <w:trHeight w:val="9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right"/>
              <w:rPr>
                <w:rFonts w:eastAsia="Times New Roman" w:cs="Times New Roman"/>
                <w:b/>
                <w:bCs/>
                <w:i/>
                <w:iCs/>
                <w:color w:val="000000"/>
                <w:sz w:val="18"/>
                <w:szCs w:val="18"/>
              </w:rPr>
            </w:pPr>
            <w:r w:rsidRPr="00AD2E9D">
              <w:rPr>
                <w:rFonts w:eastAsia="Times New Roman" w:cs="Times New Roman"/>
                <w:b/>
                <w:bCs/>
                <w:i/>
                <w:iCs/>
                <w:color w:val="000000"/>
                <w:sz w:val="18"/>
                <w:szCs w:val="18"/>
              </w:rPr>
              <w:t>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18"/>
                <w:szCs w:val="18"/>
              </w:rPr>
            </w:pPr>
            <w:r w:rsidRPr="00AD2E9D">
              <w:rPr>
                <w:rFonts w:eastAsia="Times New Roman" w:cs="Times New Roman"/>
                <w:b/>
                <w:bCs/>
                <w:color w:val="FF0000"/>
                <w:sz w:val="18"/>
                <w:szCs w:val="18"/>
              </w:rPr>
              <w:t> </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18"/>
                <w:szCs w:val="18"/>
              </w:rPr>
            </w:pPr>
            <w:r w:rsidRPr="00AD2E9D">
              <w:rPr>
                <w:rFonts w:eastAsia="Times New Roman" w:cs="Times New Roman"/>
                <w:b/>
                <w:bCs/>
                <w:color w:val="FF0000"/>
                <w:sz w:val="18"/>
                <w:szCs w:val="1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18"/>
                <w:szCs w:val="18"/>
              </w:rPr>
            </w:pPr>
            <w:r w:rsidRPr="00AD2E9D">
              <w:rPr>
                <w:rFonts w:eastAsia="Times New Roman" w:cs="Times New Roman"/>
                <w:b/>
                <w:bCs/>
                <w:color w:val="FF0000"/>
                <w:sz w:val="18"/>
                <w:szCs w:val="1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18"/>
                <w:szCs w:val="18"/>
              </w:rPr>
            </w:pPr>
            <w:r w:rsidRPr="00AD2E9D">
              <w:rPr>
                <w:rFonts w:eastAsia="Times New Roman" w:cs="Times New Roman"/>
                <w:b/>
                <w:bCs/>
                <w:color w:val="FF0000"/>
                <w:sz w:val="18"/>
                <w:szCs w:val="18"/>
              </w:rPr>
              <w:t> </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18"/>
                <w:szCs w:val="18"/>
              </w:rPr>
            </w:pPr>
            <w:r w:rsidRPr="00AD2E9D">
              <w:rPr>
                <w:rFonts w:eastAsia="Times New Roman" w:cs="Times New Roman"/>
                <w:b/>
                <w:bCs/>
                <w:i/>
                <w:iCs/>
                <w:color w:val="000000"/>
                <w:sz w:val="18"/>
                <w:szCs w:val="18"/>
              </w:rPr>
              <w:t> </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18"/>
                <w:szCs w:val="18"/>
              </w:rPr>
            </w:pPr>
            <w:r w:rsidRPr="00AD2E9D">
              <w:rPr>
                <w:rFonts w:eastAsia="Times New Roman" w:cs="Times New Roman"/>
                <w:b/>
                <w:bCs/>
                <w:i/>
                <w:iCs/>
                <w:color w:val="000000"/>
                <w:sz w:val="18"/>
                <w:szCs w:val="1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18"/>
                <w:szCs w:val="18"/>
              </w:rPr>
            </w:pPr>
            <w:r w:rsidRPr="00AD2E9D">
              <w:rPr>
                <w:rFonts w:eastAsia="Times New Roman" w:cs="Times New Roman"/>
                <w:b/>
                <w:bCs/>
                <w:i/>
                <w:iCs/>
                <w:color w:val="000000"/>
                <w:sz w:val="18"/>
                <w:szCs w:val="1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18"/>
                <w:szCs w:val="18"/>
              </w:rPr>
            </w:pPr>
            <w:r w:rsidRPr="00AD2E9D">
              <w:rPr>
                <w:rFonts w:eastAsia="Times New Roman" w:cs="Times New Roman"/>
                <w:b/>
                <w:bCs/>
                <w:i/>
                <w:iCs/>
                <w:color w:val="000000"/>
                <w:sz w:val="18"/>
                <w:szCs w:val="18"/>
              </w:rPr>
              <w:t> </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Отбрана и сигурност</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6 785,3</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5 456,0</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5 183,9</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5 302,2</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5,7%</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4,3%</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3,8%</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3,7%</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отбрана</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3 532,8</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1 891,9</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1 803,8</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2 047,4</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3,0%</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1,5%</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1,3%</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1,4%</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полиция, вътрешен ред и сигурност</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2 127,2</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2 330,4</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2 141,5</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2 015,4</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1,6%</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1,4%</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съдебна власт</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790,4</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868,6</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866,8</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868,1</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0,7%</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0,7%</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0,6%</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0,6%</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администрация на затворите</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171,3</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192,9</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188,7</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195,9</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0,2%</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r>
      <w:tr w:rsidR="00AD2E9D" w:rsidRPr="00AD2E9D" w:rsidTr="0033314F">
        <w:trPr>
          <w:trHeight w:val="525"/>
        </w:trPr>
        <w:tc>
          <w:tcPr>
            <w:tcW w:w="2835"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защита на населението, управление и дейности при кризи, стихийни бедствия и аварии</w:t>
            </w:r>
          </w:p>
        </w:tc>
        <w:tc>
          <w:tcPr>
            <w:tcW w:w="920"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163,6</w:t>
            </w:r>
          </w:p>
        </w:tc>
        <w:tc>
          <w:tcPr>
            <w:tcW w:w="923"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172,2</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183,0</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175,5</w:t>
            </w:r>
          </w:p>
        </w:tc>
        <w:tc>
          <w:tcPr>
            <w:tcW w:w="84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82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r>
      <w:tr w:rsidR="00AD2E9D" w:rsidRPr="00AD2E9D" w:rsidTr="0033314F">
        <w:trPr>
          <w:trHeight w:val="7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r>
      <w:tr w:rsidR="00AD2E9D" w:rsidRPr="00AD2E9D" w:rsidTr="0033314F">
        <w:trPr>
          <w:trHeight w:val="240"/>
        </w:trPr>
        <w:tc>
          <w:tcPr>
            <w:tcW w:w="2835"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 xml:space="preserve">Образование </w:t>
            </w:r>
          </w:p>
        </w:tc>
        <w:tc>
          <w:tcPr>
            <w:tcW w:w="920"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4 203,4</w:t>
            </w:r>
          </w:p>
        </w:tc>
        <w:tc>
          <w:tcPr>
            <w:tcW w:w="923"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4 813,5</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5 261,6</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5 238,3</w:t>
            </w:r>
          </w:p>
        </w:tc>
        <w:tc>
          <w:tcPr>
            <w:tcW w:w="84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3,5%</w:t>
            </w:r>
          </w:p>
        </w:tc>
        <w:tc>
          <w:tcPr>
            <w:tcW w:w="82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3,8%</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3,9%</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3,7%</w:t>
            </w:r>
          </w:p>
        </w:tc>
      </w:tr>
      <w:tr w:rsidR="00AD2E9D" w:rsidRPr="00AD2E9D" w:rsidTr="0033314F">
        <w:trPr>
          <w:trHeight w:val="7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r>
      <w:tr w:rsidR="00AD2E9D" w:rsidRPr="00AD2E9D" w:rsidTr="0033314F">
        <w:trPr>
          <w:trHeight w:val="240"/>
        </w:trPr>
        <w:tc>
          <w:tcPr>
            <w:tcW w:w="2835"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Здравеопазване</w:t>
            </w:r>
          </w:p>
        </w:tc>
        <w:tc>
          <w:tcPr>
            <w:tcW w:w="920"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5 256,7</w:t>
            </w:r>
          </w:p>
        </w:tc>
        <w:tc>
          <w:tcPr>
            <w:tcW w:w="923"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5 755,2</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6 095,0</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6 377,0</w:t>
            </w:r>
          </w:p>
        </w:tc>
        <w:tc>
          <w:tcPr>
            <w:tcW w:w="84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4,4%</w:t>
            </w:r>
          </w:p>
        </w:tc>
        <w:tc>
          <w:tcPr>
            <w:tcW w:w="82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4,5%</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4,5%</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4,4%</w:t>
            </w:r>
          </w:p>
        </w:tc>
      </w:tr>
      <w:tr w:rsidR="00AD2E9D" w:rsidRPr="00AD2E9D" w:rsidTr="0033314F">
        <w:trPr>
          <w:trHeight w:val="7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r>
      <w:tr w:rsidR="00AD2E9D" w:rsidRPr="00AD2E9D" w:rsidTr="0033314F">
        <w:trPr>
          <w:trHeight w:val="28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 xml:space="preserve">Социално осигуряване, подпомагане и грижи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13 945,3</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14 847,7</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15 590,9</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16 291,5</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11,8%</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11,7%</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11,6%</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11,4%</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пенсии</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10 035,3</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10 625,3</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11 278,3</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11 851,6</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8,5%</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8,4%</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8,4%</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8,3%</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социални помощи и обезщетения</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2 816,8</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3 012,9</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3 141,6</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3 327,9</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2,4%</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2,4%</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2,3%</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2,3%</w:t>
            </w:r>
          </w:p>
        </w:tc>
      </w:tr>
      <w:tr w:rsidR="00AD2E9D" w:rsidRPr="00AD2E9D" w:rsidTr="0033314F">
        <w:trPr>
          <w:trHeight w:val="480"/>
        </w:trPr>
        <w:tc>
          <w:tcPr>
            <w:tcW w:w="2835"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програми, дейности и служби по социалното осигуряване, подпомагане и заетостта</w:t>
            </w:r>
          </w:p>
        </w:tc>
        <w:tc>
          <w:tcPr>
            <w:tcW w:w="920"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1 093,2</w:t>
            </w:r>
          </w:p>
        </w:tc>
        <w:tc>
          <w:tcPr>
            <w:tcW w:w="923"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1 209,6</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1 171,0</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1 112,1</w:t>
            </w:r>
          </w:p>
        </w:tc>
        <w:tc>
          <w:tcPr>
            <w:tcW w:w="84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0,9%</w:t>
            </w:r>
          </w:p>
        </w:tc>
        <w:tc>
          <w:tcPr>
            <w:tcW w:w="82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1,0%</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0,9%</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0,8%</w:t>
            </w:r>
          </w:p>
        </w:tc>
      </w:tr>
      <w:tr w:rsidR="00AD2E9D" w:rsidRPr="00AD2E9D" w:rsidTr="0033314F">
        <w:trPr>
          <w:trHeight w:val="7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r>
      <w:tr w:rsidR="00AD2E9D" w:rsidRPr="00AD2E9D" w:rsidTr="0033314F">
        <w:trPr>
          <w:trHeight w:val="5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Жилищно строителство, благоустройство, комунално стопанство и опазване на околната среда</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2 446,2</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2 359,1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2 601,8</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2 652,6</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2,1%</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1,9%</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1,9%</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1,9%</w:t>
            </w:r>
          </w:p>
        </w:tc>
      </w:tr>
      <w:tr w:rsidR="00AD2E9D" w:rsidRPr="00AD2E9D" w:rsidTr="0033314F">
        <w:trPr>
          <w:trHeight w:val="48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жилищно строителство, благоустройство, комунално стопанство</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1 178,8</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1 170,6</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1 231,6</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1 134,0</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1,0%</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0,9%</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0,9%</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0,8%</w:t>
            </w:r>
          </w:p>
        </w:tc>
      </w:tr>
      <w:tr w:rsidR="00AD2E9D" w:rsidRPr="00AD2E9D" w:rsidTr="0033314F">
        <w:trPr>
          <w:trHeight w:val="240"/>
        </w:trPr>
        <w:tc>
          <w:tcPr>
            <w:tcW w:w="2835"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опазване на околната среда</w:t>
            </w:r>
          </w:p>
        </w:tc>
        <w:tc>
          <w:tcPr>
            <w:tcW w:w="920"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1 267,4</w:t>
            </w:r>
          </w:p>
        </w:tc>
        <w:tc>
          <w:tcPr>
            <w:tcW w:w="923"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1 188,5</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1 370,3</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1 518,7</w:t>
            </w:r>
          </w:p>
        </w:tc>
        <w:tc>
          <w:tcPr>
            <w:tcW w:w="84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1,1%</w:t>
            </w:r>
          </w:p>
        </w:tc>
        <w:tc>
          <w:tcPr>
            <w:tcW w:w="82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0,9%</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1,0%</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1,1%</w:t>
            </w:r>
          </w:p>
        </w:tc>
      </w:tr>
      <w:tr w:rsidR="00AD2E9D" w:rsidRPr="00AD2E9D" w:rsidTr="0033314F">
        <w:trPr>
          <w:trHeight w:val="7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r>
      <w:tr w:rsidR="00AD2E9D" w:rsidRPr="00AD2E9D" w:rsidTr="0033314F">
        <w:trPr>
          <w:trHeight w:val="30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Култура, спорт, почивни дейности и религиозно дело</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713,9</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783,1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803,1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802,7</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0,6%</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0,6%</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0,6%</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0,6%</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почивни дейности</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14,7</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18,1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16,7</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16,7</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физическа култура и спорт</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135,0</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130,0</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133,1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133,2</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0,1%</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култура</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543,0</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591,3</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609,7</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609,2</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0,5%</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0,5%</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0,5%</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0,4%</w:t>
            </w:r>
          </w:p>
        </w:tc>
      </w:tr>
      <w:tr w:rsidR="00AD2E9D" w:rsidRPr="00AD2E9D" w:rsidTr="0033314F">
        <w:trPr>
          <w:trHeight w:val="240"/>
        </w:trPr>
        <w:tc>
          <w:tcPr>
            <w:tcW w:w="2835"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религиозно дело</w:t>
            </w:r>
          </w:p>
        </w:tc>
        <w:tc>
          <w:tcPr>
            <w:tcW w:w="920"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21,2</w:t>
            </w:r>
          </w:p>
        </w:tc>
        <w:tc>
          <w:tcPr>
            <w:tcW w:w="923"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43,6</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43,6</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43,6</w:t>
            </w:r>
          </w:p>
        </w:tc>
        <w:tc>
          <w:tcPr>
            <w:tcW w:w="84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82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r>
      <w:tr w:rsidR="00AD2E9D" w:rsidRPr="00AD2E9D" w:rsidTr="0033314F">
        <w:trPr>
          <w:trHeight w:val="7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FF0000"/>
                <w:sz w:val="8"/>
                <w:szCs w:val="8"/>
              </w:rPr>
            </w:pPr>
            <w:r w:rsidRPr="00AD2E9D">
              <w:rPr>
                <w:rFonts w:eastAsia="Times New Roman" w:cs="Times New Roman"/>
                <w:b/>
                <w:bCs/>
                <w:color w:val="FF0000"/>
                <w:sz w:val="8"/>
                <w:szCs w:val="8"/>
              </w:rPr>
              <w:t> </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Икономически дейности и услуги</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8 102,2</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7 733,8</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7 535,1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7 771,6</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6,8%</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6,1%</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5,6%</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5,4%</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минно дело, горива и енергия</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2 305,7</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1 901,0</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1 883,7</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1 881,3</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1,9%</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1,5%</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1,4%</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1,3%</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селско стопанство, горско стопанство, лов и риболов</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1 798,6</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1 654,8</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1 661,8</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1 548,1</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1,5%</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1,3%</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1,2%</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1,1%</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транспорт и съобщения</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3 365,6</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3 505,1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3 399,2</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3 837,0</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2,8%</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2,8%</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2,5%</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2,7%</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промишленост и строителство</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2,1</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2,1</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2,1</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r>
      <w:tr w:rsidR="00AD2E9D" w:rsidRPr="00AD2E9D" w:rsidTr="0033314F">
        <w:trPr>
          <w:trHeight w:val="240"/>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туризъм</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24,8</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39,9</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40,2</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40,2</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0,0%</w:t>
            </w:r>
          </w:p>
        </w:tc>
      </w:tr>
      <w:tr w:rsidR="00AD2E9D" w:rsidRPr="00AD2E9D" w:rsidTr="0033314F">
        <w:trPr>
          <w:trHeight w:val="240"/>
        </w:trPr>
        <w:tc>
          <w:tcPr>
            <w:tcW w:w="2835" w:type="dxa"/>
            <w:tcBorders>
              <w:top w:val="nil"/>
              <w:left w:val="nil"/>
              <w:bottom w:val="single" w:sz="4" w:space="0" w:color="auto"/>
              <w:right w:val="nil"/>
            </w:tcBorders>
            <w:shd w:val="clear" w:color="000000" w:fill="FFFFFF"/>
            <w:vAlign w:val="center"/>
            <w:hideMark/>
          </w:tcPr>
          <w:p w:rsidR="00AD2E9D" w:rsidRPr="00AD2E9D" w:rsidRDefault="00AD2E9D" w:rsidP="00AD2E9D">
            <w:pPr>
              <w:spacing w:after="0"/>
              <w:jc w:val="left"/>
              <w:rPr>
                <w:rFonts w:eastAsia="Times New Roman" w:cs="Times New Roman"/>
                <w:color w:val="000000"/>
                <w:sz w:val="18"/>
                <w:szCs w:val="18"/>
              </w:rPr>
            </w:pPr>
            <w:r w:rsidRPr="00AD2E9D">
              <w:rPr>
                <w:rFonts w:eastAsia="Times New Roman" w:cs="Times New Roman"/>
                <w:color w:val="000000"/>
                <w:sz w:val="18"/>
                <w:szCs w:val="18"/>
              </w:rPr>
              <w:t xml:space="preserve"> - други дейности по икономиката</w:t>
            </w:r>
          </w:p>
        </w:tc>
        <w:tc>
          <w:tcPr>
            <w:tcW w:w="920"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605,3</w:t>
            </w:r>
          </w:p>
        </w:tc>
        <w:tc>
          <w:tcPr>
            <w:tcW w:w="923"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631,0</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548,0</w:t>
            </w:r>
          </w:p>
        </w:tc>
        <w:tc>
          <w:tcPr>
            <w:tcW w:w="908" w:type="dxa"/>
            <w:tcBorders>
              <w:top w:val="nil"/>
              <w:left w:val="nil"/>
              <w:bottom w:val="single" w:sz="4" w:space="0" w:color="auto"/>
              <w:right w:val="nil"/>
            </w:tcBorders>
            <w:shd w:val="clear" w:color="000000" w:fill="FFFFFF"/>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462,8</w:t>
            </w:r>
          </w:p>
        </w:tc>
        <w:tc>
          <w:tcPr>
            <w:tcW w:w="84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0,5%</w:t>
            </w:r>
          </w:p>
        </w:tc>
        <w:tc>
          <w:tcPr>
            <w:tcW w:w="820"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0,5%</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0,4%</w:t>
            </w:r>
          </w:p>
        </w:tc>
        <w:tc>
          <w:tcPr>
            <w:tcW w:w="908" w:type="dxa"/>
            <w:tcBorders>
              <w:top w:val="nil"/>
              <w:left w:val="nil"/>
              <w:bottom w:val="single" w:sz="4" w:space="0" w:color="auto"/>
              <w:right w:val="nil"/>
            </w:tcBorders>
            <w:shd w:val="clear" w:color="000000" w:fill="F2F2F2"/>
            <w:noWrap/>
            <w:vAlign w:val="bottom"/>
            <w:hideMark/>
          </w:tcPr>
          <w:p w:rsidR="00AD2E9D" w:rsidRPr="00AD2E9D" w:rsidRDefault="00AD2E9D" w:rsidP="00AD2E9D">
            <w:pPr>
              <w:spacing w:after="0"/>
              <w:jc w:val="right"/>
              <w:rPr>
                <w:rFonts w:eastAsia="Times New Roman" w:cs="Times New Roman"/>
                <w:color w:val="000000"/>
                <w:sz w:val="18"/>
                <w:szCs w:val="18"/>
              </w:rPr>
            </w:pPr>
            <w:r w:rsidRPr="00AD2E9D">
              <w:rPr>
                <w:rFonts w:eastAsia="Times New Roman" w:cs="Times New Roman"/>
                <w:color w:val="000000"/>
                <w:sz w:val="18"/>
                <w:szCs w:val="18"/>
              </w:rPr>
              <w:t>0,3%</w:t>
            </w:r>
          </w:p>
        </w:tc>
      </w:tr>
      <w:tr w:rsidR="00AD2E9D" w:rsidRPr="00AD2E9D" w:rsidTr="0033314F">
        <w:trPr>
          <w:trHeight w:val="75"/>
        </w:trPr>
        <w:tc>
          <w:tcPr>
            <w:tcW w:w="2835" w:type="dxa"/>
            <w:tcBorders>
              <w:top w:val="nil"/>
              <w:left w:val="nil"/>
              <w:bottom w:val="nil"/>
              <w:right w:val="nil"/>
            </w:tcBorders>
            <w:shd w:val="clear" w:color="000000" w:fill="FFFFFF"/>
            <w:vAlign w:val="center"/>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0"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23"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4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i/>
                <w:iCs/>
                <w:color w:val="000000"/>
                <w:sz w:val="8"/>
                <w:szCs w:val="8"/>
              </w:rPr>
            </w:pPr>
            <w:r w:rsidRPr="00AD2E9D">
              <w:rPr>
                <w:rFonts w:eastAsia="Times New Roman" w:cs="Times New Roman"/>
                <w:b/>
                <w:bCs/>
                <w:i/>
                <w:iCs/>
                <w:color w:val="000000"/>
                <w:sz w:val="8"/>
                <w:szCs w:val="8"/>
              </w:rPr>
              <w:t> </w:t>
            </w:r>
          </w:p>
        </w:tc>
      </w:tr>
      <w:tr w:rsidR="00AD2E9D" w:rsidRPr="00AD2E9D" w:rsidTr="0033314F">
        <w:trPr>
          <w:trHeight w:val="240"/>
        </w:trPr>
        <w:tc>
          <w:tcPr>
            <w:tcW w:w="2835" w:type="dxa"/>
            <w:tcBorders>
              <w:top w:val="nil"/>
              <w:left w:val="nil"/>
              <w:bottom w:val="single" w:sz="4" w:space="0" w:color="595959"/>
              <w:right w:val="nil"/>
            </w:tcBorders>
            <w:shd w:val="clear" w:color="000000" w:fill="FFFFFF"/>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Р-ди некласифицирани в другите функции</w:t>
            </w:r>
          </w:p>
        </w:tc>
        <w:tc>
          <w:tcPr>
            <w:tcW w:w="920" w:type="dxa"/>
            <w:tcBorders>
              <w:top w:val="nil"/>
              <w:left w:val="nil"/>
              <w:bottom w:val="single" w:sz="4" w:space="0" w:color="595959"/>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669,2</w:t>
            </w:r>
          </w:p>
        </w:tc>
        <w:tc>
          <w:tcPr>
            <w:tcW w:w="923" w:type="dxa"/>
            <w:tcBorders>
              <w:top w:val="nil"/>
              <w:left w:val="nil"/>
              <w:bottom w:val="single" w:sz="4" w:space="0" w:color="595959"/>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654,9</w:t>
            </w:r>
          </w:p>
        </w:tc>
        <w:tc>
          <w:tcPr>
            <w:tcW w:w="908" w:type="dxa"/>
            <w:tcBorders>
              <w:top w:val="nil"/>
              <w:left w:val="nil"/>
              <w:bottom w:val="single" w:sz="4" w:space="0" w:color="595959"/>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671,4</w:t>
            </w:r>
          </w:p>
        </w:tc>
        <w:tc>
          <w:tcPr>
            <w:tcW w:w="908" w:type="dxa"/>
            <w:tcBorders>
              <w:top w:val="nil"/>
              <w:left w:val="nil"/>
              <w:bottom w:val="single" w:sz="4" w:space="0" w:color="595959"/>
              <w:right w:val="nil"/>
            </w:tcBorders>
            <w:shd w:val="clear" w:color="000000" w:fill="FFFFFF"/>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747,6</w:t>
            </w:r>
          </w:p>
        </w:tc>
        <w:tc>
          <w:tcPr>
            <w:tcW w:w="840" w:type="dxa"/>
            <w:tcBorders>
              <w:top w:val="nil"/>
              <w:left w:val="nil"/>
              <w:bottom w:val="single" w:sz="4" w:space="0" w:color="595959"/>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0,6%</w:t>
            </w:r>
          </w:p>
        </w:tc>
        <w:tc>
          <w:tcPr>
            <w:tcW w:w="820" w:type="dxa"/>
            <w:tcBorders>
              <w:top w:val="nil"/>
              <w:left w:val="nil"/>
              <w:bottom w:val="single" w:sz="4" w:space="0" w:color="595959"/>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0,5%</w:t>
            </w:r>
          </w:p>
        </w:tc>
        <w:tc>
          <w:tcPr>
            <w:tcW w:w="908" w:type="dxa"/>
            <w:tcBorders>
              <w:top w:val="nil"/>
              <w:left w:val="nil"/>
              <w:bottom w:val="single" w:sz="4" w:space="0" w:color="595959"/>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0,5%</w:t>
            </w:r>
          </w:p>
        </w:tc>
        <w:tc>
          <w:tcPr>
            <w:tcW w:w="908" w:type="dxa"/>
            <w:tcBorders>
              <w:top w:val="nil"/>
              <w:left w:val="nil"/>
              <w:bottom w:val="single" w:sz="4" w:space="0" w:color="595959"/>
              <w:right w:val="nil"/>
            </w:tcBorders>
            <w:shd w:val="clear" w:color="000000" w:fill="F2F2F2"/>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0,5%</w:t>
            </w:r>
          </w:p>
        </w:tc>
      </w:tr>
      <w:tr w:rsidR="00AD2E9D" w:rsidRPr="00AD2E9D" w:rsidTr="0033314F">
        <w:trPr>
          <w:trHeight w:val="75"/>
        </w:trPr>
        <w:tc>
          <w:tcPr>
            <w:tcW w:w="2835" w:type="dxa"/>
            <w:tcBorders>
              <w:top w:val="nil"/>
              <w:left w:val="nil"/>
              <w:bottom w:val="nil"/>
              <w:right w:val="nil"/>
            </w:tcBorders>
            <w:shd w:val="clear" w:color="auto" w:fill="auto"/>
            <w:vAlign w:val="center"/>
            <w:hideMark/>
          </w:tcPr>
          <w:p w:rsidR="00AD2E9D" w:rsidRPr="00AD2E9D" w:rsidRDefault="00AD2E9D" w:rsidP="00AD2E9D">
            <w:pPr>
              <w:spacing w:after="0"/>
              <w:jc w:val="right"/>
              <w:rPr>
                <w:rFonts w:eastAsia="Times New Roman" w:cs="Times New Roman"/>
                <w:b/>
                <w:bCs/>
                <w:i/>
                <w:iCs/>
                <w:color w:val="000000"/>
                <w:sz w:val="8"/>
                <w:szCs w:val="8"/>
              </w:rPr>
            </w:pPr>
          </w:p>
        </w:tc>
        <w:tc>
          <w:tcPr>
            <w:tcW w:w="920" w:type="dxa"/>
            <w:tcBorders>
              <w:top w:val="nil"/>
              <w:left w:val="nil"/>
              <w:bottom w:val="nil"/>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color w:val="FF0000"/>
                <w:sz w:val="8"/>
                <w:szCs w:val="8"/>
              </w:rPr>
            </w:pPr>
          </w:p>
        </w:tc>
        <w:tc>
          <w:tcPr>
            <w:tcW w:w="923" w:type="dxa"/>
            <w:tcBorders>
              <w:top w:val="nil"/>
              <w:left w:val="nil"/>
              <w:bottom w:val="nil"/>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color w:val="FF0000"/>
                <w:sz w:val="8"/>
                <w:szCs w:val="8"/>
              </w:rPr>
            </w:pPr>
          </w:p>
        </w:tc>
        <w:tc>
          <w:tcPr>
            <w:tcW w:w="908" w:type="dxa"/>
            <w:tcBorders>
              <w:top w:val="nil"/>
              <w:left w:val="nil"/>
              <w:bottom w:val="nil"/>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color w:val="FF0000"/>
                <w:sz w:val="8"/>
                <w:szCs w:val="8"/>
              </w:rPr>
            </w:pPr>
          </w:p>
        </w:tc>
        <w:tc>
          <w:tcPr>
            <w:tcW w:w="908" w:type="dxa"/>
            <w:tcBorders>
              <w:top w:val="nil"/>
              <w:left w:val="nil"/>
              <w:bottom w:val="nil"/>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color w:val="FF0000"/>
                <w:sz w:val="8"/>
                <w:szCs w:val="8"/>
              </w:rPr>
            </w:pPr>
          </w:p>
        </w:tc>
        <w:tc>
          <w:tcPr>
            <w:tcW w:w="840" w:type="dxa"/>
            <w:tcBorders>
              <w:top w:val="nil"/>
              <w:left w:val="nil"/>
              <w:bottom w:val="nil"/>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i/>
                <w:iCs/>
                <w:color w:val="000000"/>
                <w:sz w:val="8"/>
                <w:szCs w:val="8"/>
              </w:rPr>
            </w:pPr>
          </w:p>
        </w:tc>
        <w:tc>
          <w:tcPr>
            <w:tcW w:w="820" w:type="dxa"/>
            <w:tcBorders>
              <w:top w:val="nil"/>
              <w:left w:val="nil"/>
              <w:bottom w:val="nil"/>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i/>
                <w:iCs/>
                <w:color w:val="000000"/>
                <w:sz w:val="8"/>
                <w:szCs w:val="8"/>
              </w:rPr>
            </w:pPr>
          </w:p>
        </w:tc>
        <w:tc>
          <w:tcPr>
            <w:tcW w:w="908" w:type="dxa"/>
            <w:tcBorders>
              <w:top w:val="nil"/>
              <w:left w:val="nil"/>
              <w:bottom w:val="nil"/>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i/>
                <w:iCs/>
                <w:color w:val="000000"/>
                <w:sz w:val="8"/>
                <w:szCs w:val="8"/>
              </w:rPr>
            </w:pPr>
          </w:p>
        </w:tc>
        <w:tc>
          <w:tcPr>
            <w:tcW w:w="908" w:type="dxa"/>
            <w:tcBorders>
              <w:top w:val="nil"/>
              <w:left w:val="nil"/>
              <w:bottom w:val="nil"/>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i/>
                <w:iCs/>
                <w:color w:val="000000"/>
                <w:sz w:val="8"/>
                <w:szCs w:val="8"/>
              </w:rPr>
            </w:pPr>
          </w:p>
        </w:tc>
      </w:tr>
      <w:tr w:rsidR="00AD2E9D" w:rsidRPr="00AD2E9D" w:rsidTr="0033314F">
        <w:trPr>
          <w:trHeight w:val="225"/>
        </w:trPr>
        <w:tc>
          <w:tcPr>
            <w:tcW w:w="2835" w:type="dxa"/>
            <w:tcBorders>
              <w:top w:val="nil"/>
              <w:left w:val="nil"/>
              <w:bottom w:val="single" w:sz="4" w:space="0" w:color="auto"/>
              <w:right w:val="nil"/>
            </w:tcBorders>
            <w:shd w:val="clear" w:color="auto" w:fill="auto"/>
            <w:vAlign w:val="center"/>
            <w:hideMark/>
          </w:tcPr>
          <w:p w:rsidR="00AD2E9D" w:rsidRPr="00AD2E9D" w:rsidRDefault="00AD2E9D" w:rsidP="00AD2E9D">
            <w:pPr>
              <w:spacing w:after="0"/>
              <w:jc w:val="left"/>
              <w:rPr>
                <w:rFonts w:eastAsia="Times New Roman" w:cs="Times New Roman"/>
                <w:b/>
                <w:bCs/>
                <w:color w:val="000000"/>
                <w:sz w:val="18"/>
                <w:szCs w:val="18"/>
              </w:rPr>
            </w:pPr>
            <w:r w:rsidRPr="00AD2E9D">
              <w:rPr>
                <w:rFonts w:eastAsia="Times New Roman" w:cs="Times New Roman"/>
                <w:b/>
                <w:bCs/>
                <w:color w:val="000000"/>
                <w:sz w:val="18"/>
                <w:szCs w:val="18"/>
              </w:rPr>
              <w:t>БВП</w:t>
            </w:r>
          </w:p>
        </w:tc>
        <w:tc>
          <w:tcPr>
            <w:tcW w:w="920" w:type="dxa"/>
            <w:tcBorders>
              <w:top w:val="nil"/>
              <w:left w:val="nil"/>
              <w:bottom w:val="single" w:sz="4" w:space="0" w:color="auto"/>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118 624,6</w:t>
            </w:r>
          </w:p>
        </w:tc>
        <w:tc>
          <w:tcPr>
            <w:tcW w:w="923" w:type="dxa"/>
            <w:tcBorders>
              <w:top w:val="nil"/>
              <w:left w:val="nil"/>
              <w:bottom w:val="single" w:sz="4" w:space="0" w:color="auto"/>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126 769,1</w:t>
            </w:r>
          </w:p>
        </w:tc>
        <w:tc>
          <w:tcPr>
            <w:tcW w:w="908" w:type="dxa"/>
            <w:tcBorders>
              <w:top w:val="nil"/>
              <w:left w:val="nil"/>
              <w:bottom w:val="single" w:sz="4" w:space="0" w:color="auto"/>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134 915,2</w:t>
            </w:r>
          </w:p>
        </w:tc>
        <w:tc>
          <w:tcPr>
            <w:tcW w:w="908" w:type="dxa"/>
            <w:tcBorders>
              <w:top w:val="nil"/>
              <w:left w:val="nil"/>
              <w:bottom w:val="single" w:sz="4" w:space="0" w:color="auto"/>
              <w:right w:val="nil"/>
            </w:tcBorders>
            <w:shd w:val="clear" w:color="auto" w:fill="auto"/>
            <w:noWrap/>
            <w:vAlign w:val="bottom"/>
            <w:hideMark/>
          </w:tcPr>
          <w:p w:rsidR="00AD2E9D" w:rsidRPr="00AD2E9D" w:rsidRDefault="00AD2E9D" w:rsidP="00AD2E9D">
            <w:pPr>
              <w:spacing w:after="0"/>
              <w:jc w:val="right"/>
              <w:rPr>
                <w:rFonts w:eastAsia="Times New Roman" w:cs="Times New Roman"/>
                <w:b/>
                <w:bCs/>
                <w:color w:val="000000"/>
                <w:sz w:val="18"/>
                <w:szCs w:val="18"/>
              </w:rPr>
            </w:pPr>
            <w:r w:rsidRPr="00AD2E9D">
              <w:rPr>
                <w:rFonts w:eastAsia="Times New Roman" w:cs="Times New Roman"/>
                <w:b/>
                <w:bCs/>
                <w:color w:val="000000"/>
                <w:sz w:val="18"/>
                <w:szCs w:val="18"/>
              </w:rPr>
              <w:t>143 355,4</w:t>
            </w:r>
          </w:p>
        </w:tc>
        <w:tc>
          <w:tcPr>
            <w:tcW w:w="840" w:type="dxa"/>
            <w:tcBorders>
              <w:top w:val="nil"/>
              <w:left w:val="nil"/>
              <w:bottom w:val="single" w:sz="4" w:space="0" w:color="auto"/>
              <w:right w:val="nil"/>
            </w:tcBorders>
            <w:shd w:val="clear" w:color="auto" w:fill="auto"/>
            <w:noWrap/>
            <w:vAlign w:val="bottom"/>
          </w:tcPr>
          <w:p w:rsidR="00AD2E9D" w:rsidRPr="00AD2E9D" w:rsidRDefault="00AD2E9D" w:rsidP="00AD2E9D">
            <w:pPr>
              <w:spacing w:after="0"/>
              <w:jc w:val="right"/>
              <w:rPr>
                <w:rFonts w:eastAsia="Times New Roman" w:cs="Times New Roman"/>
                <w:b/>
                <w:bCs/>
                <w:color w:val="FFFFFF"/>
                <w:sz w:val="18"/>
                <w:szCs w:val="18"/>
              </w:rPr>
            </w:pPr>
          </w:p>
        </w:tc>
        <w:tc>
          <w:tcPr>
            <w:tcW w:w="820" w:type="dxa"/>
            <w:tcBorders>
              <w:top w:val="nil"/>
              <w:left w:val="nil"/>
              <w:bottom w:val="single" w:sz="4" w:space="0" w:color="auto"/>
              <w:right w:val="nil"/>
            </w:tcBorders>
            <w:shd w:val="clear" w:color="auto" w:fill="auto"/>
            <w:noWrap/>
            <w:vAlign w:val="bottom"/>
          </w:tcPr>
          <w:p w:rsidR="00AD2E9D" w:rsidRPr="00AD2E9D" w:rsidRDefault="00AD2E9D" w:rsidP="00AD2E9D">
            <w:pPr>
              <w:spacing w:after="0"/>
              <w:jc w:val="right"/>
              <w:rPr>
                <w:rFonts w:eastAsia="Times New Roman" w:cs="Times New Roman"/>
                <w:b/>
                <w:bCs/>
                <w:color w:val="FFFFFF"/>
                <w:sz w:val="18"/>
                <w:szCs w:val="18"/>
              </w:rPr>
            </w:pPr>
          </w:p>
        </w:tc>
        <w:tc>
          <w:tcPr>
            <w:tcW w:w="908" w:type="dxa"/>
            <w:tcBorders>
              <w:top w:val="nil"/>
              <w:left w:val="nil"/>
              <w:bottom w:val="single" w:sz="4" w:space="0" w:color="auto"/>
              <w:right w:val="nil"/>
            </w:tcBorders>
            <w:shd w:val="clear" w:color="auto" w:fill="auto"/>
            <w:noWrap/>
            <w:vAlign w:val="bottom"/>
          </w:tcPr>
          <w:p w:rsidR="00AD2E9D" w:rsidRPr="00AD2E9D" w:rsidRDefault="00AD2E9D" w:rsidP="00AD2E9D">
            <w:pPr>
              <w:spacing w:after="0"/>
              <w:jc w:val="right"/>
              <w:rPr>
                <w:rFonts w:eastAsia="Times New Roman" w:cs="Times New Roman"/>
                <w:b/>
                <w:bCs/>
                <w:color w:val="FFFFFF"/>
                <w:sz w:val="18"/>
                <w:szCs w:val="18"/>
              </w:rPr>
            </w:pPr>
          </w:p>
        </w:tc>
        <w:tc>
          <w:tcPr>
            <w:tcW w:w="908" w:type="dxa"/>
            <w:tcBorders>
              <w:top w:val="nil"/>
              <w:left w:val="nil"/>
              <w:bottom w:val="single" w:sz="4" w:space="0" w:color="auto"/>
              <w:right w:val="nil"/>
            </w:tcBorders>
            <w:shd w:val="clear" w:color="auto" w:fill="auto"/>
            <w:noWrap/>
            <w:vAlign w:val="bottom"/>
          </w:tcPr>
          <w:p w:rsidR="00AD2E9D" w:rsidRPr="00AD2E9D" w:rsidRDefault="00AD2E9D" w:rsidP="00AD2E9D">
            <w:pPr>
              <w:spacing w:after="0"/>
              <w:jc w:val="right"/>
              <w:rPr>
                <w:rFonts w:eastAsia="Times New Roman" w:cs="Times New Roman"/>
                <w:b/>
                <w:bCs/>
                <w:color w:val="FFFFFF"/>
                <w:sz w:val="18"/>
                <w:szCs w:val="18"/>
              </w:rPr>
            </w:pPr>
          </w:p>
        </w:tc>
      </w:tr>
    </w:tbl>
    <w:p w:rsidR="00AD2E9D" w:rsidRDefault="00AD2E9D" w:rsidP="002920E5"/>
    <w:p w:rsidR="00083361" w:rsidRPr="00270E5E" w:rsidRDefault="00083361" w:rsidP="00517D0A">
      <w:pPr>
        <w:pStyle w:val="Heading3"/>
        <w:ind w:left="0"/>
      </w:pPr>
      <w:bookmarkStart w:id="468" w:name="_Toc465070468"/>
      <w:bookmarkStart w:id="469" w:name="_Toc465205518"/>
      <w:r w:rsidRPr="00270E5E">
        <w:t>Политика по доходите</w:t>
      </w:r>
      <w:bookmarkEnd w:id="468"/>
      <w:bookmarkEnd w:id="469"/>
    </w:p>
    <w:p w:rsidR="001A1F42" w:rsidRDefault="001A1F42" w:rsidP="001A1F42">
      <w:pPr>
        <w:spacing w:before="120" w:after="0"/>
      </w:pPr>
      <w:r>
        <w:t>Актуализираната средносрочна бюджетна прогноза за периода 20</w:t>
      </w:r>
      <w:r w:rsidR="00C1779E">
        <w:t>20-2022 г. предвижда увеличение</w:t>
      </w:r>
      <w:r>
        <w:t xml:space="preserve"> на размера на минималната работна заплата от 1 януари 2020 г. на 610 лв., от 1 януари 2021 г. на 650 лв., като размерът от 650 лв. ще се запази и през 2022 г.</w:t>
      </w:r>
    </w:p>
    <w:p w:rsidR="001A1F42" w:rsidRDefault="001A1F42" w:rsidP="001A1F42">
      <w:pPr>
        <w:spacing w:before="120" w:after="0"/>
      </w:pPr>
      <w:r>
        <w:t>За 2020 г. е разчетено увеличение с 10% на средствата за заплати и възнаграждения на персонала, нает по трудови и служебни правоотношения, включително и на средствата за осигурителни вноски, което ще има отражение върху заплащането на заетите в бюджетния сектор. С това се създава възможност на база на увеличения размер на разходите за персонал да се увеличат индивидуалните основни месечни заплати на заетите, въз основа на заеманата длъжност и оценките за постигнатите резултати.</w:t>
      </w:r>
    </w:p>
    <w:p w:rsidR="001A1F42" w:rsidRDefault="001A1F42" w:rsidP="001A1F42">
      <w:pPr>
        <w:spacing w:before="120" w:after="0"/>
      </w:pPr>
      <w:r>
        <w:t>За 2020 г. е разчетено увеличение на средствата за заплати и възнаграждения на персонала за изборните длъжности и за заетите в системата на съдебната власт, за които законодателно е регламентиран механизъм за формиране на възнагражденията.</w:t>
      </w:r>
    </w:p>
    <w:p w:rsidR="00AA0F80" w:rsidRDefault="001A1F42" w:rsidP="00D034AC">
      <w:pPr>
        <w:spacing w:before="120" w:after="0"/>
      </w:pPr>
      <w:r>
        <w:t xml:space="preserve">В сектор „Образование“ ще продължи реализацията на мерките, касаещи подобряване на социалния статус на педагогическите специалисти, като за тази цел ще бъдат предоставяни ежегодно допълнителни средства в размер на 360,0 млн. лв. за увеличение на възнагражденията на педагогическия персонал. Целта е през 2021 г. да бъде постигнато удвояване спрямо 2017 г. на средствата за възнаграждения </w:t>
      </w:r>
      <w:r w:rsidR="00AA0F80">
        <w:t>на педагогическите специалисти.</w:t>
      </w:r>
    </w:p>
    <w:p w:rsidR="00083361" w:rsidRPr="009D2915" w:rsidRDefault="00083361" w:rsidP="00517D0A">
      <w:pPr>
        <w:pStyle w:val="Heading3"/>
        <w:ind w:left="0"/>
      </w:pPr>
      <w:bookmarkStart w:id="470" w:name="_Toc465070469"/>
      <w:bookmarkStart w:id="471" w:name="_Toc465205519"/>
      <w:r w:rsidRPr="009D2915">
        <w:t>Пенсионна политика</w:t>
      </w:r>
      <w:bookmarkEnd w:id="470"/>
      <w:bookmarkEnd w:id="471"/>
    </w:p>
    <w:p w:rsidR="00563BA6" w:rsidRPr="004C4005" w:rsidRDefault="00563BA6" w:rsidP="00563BA6">
      <w:pPr>
        <w:pStyle w:val="BodyTextIndent"/>
        <w:shd w:val="clear" w:color="auto" w:fill="FFFFFF"/>
        <w:ind w:left="0"/>
        <w:rPr>
          <w:szCs w:val="24"/>
        </w:rPr>
      </w:pPr>
      <w:r w:rsidRPr="004C4005">
        <w:rPr>
          <w:szCs w:val="24"/>
        </w:rPr>
        <w:t>За периода 2020-2022 г. при определянето на разходите за пенсии</w:t>
      </w:r>
      <w:r w:rsidRPr="004C4005">
        <w:rPr>
          <w:b/>
          <w:szCs w:val="24"/>
        </w:rPr>
        <w:t xml:space="preserve"> </w:t>
      </w:r>
      <w:r w:rsidRPr="004C4005">
        <w:rPr>
          <w:szCs w:val="24"/>
        </w:rPr>
        <w:t xml:space="preserve">са взети предвид законодателните промени, приети със Закона за изменение и допълнение на Кодекса за социално осигуряване (ДВ бр. 61 от 11 август 2015 г.) и Законът за бюджета на ДОО за 2019 г., в т.ч.: </w:t>
      </w:r>
    </w:p>
    <w:p w:rsidR="00563BA6" w:rsidRPr="0082145B" w:rsidRDefault="00563BA6" w:rsidP="003403BF">
      <w:pPr>
        <w:numPr>
          <w:ilvl w:val="0"/>
          <w:numId w:val="27"/>
        </w:numPr>
        <w:shd w:val="clear" w:color="auto" w:fill="FFFFFF"/>
        <w:tabs>
          <w:tab w:val="left" w:pos="709"/>
        </w:tabs>
        <w:spacing w:after="120"/>
        <w:ind w:left="709" w:hanging="567"/>
        <w:rPr>
          <w:szCs w:val="24"/>
        </w:rPr>
      </w:pPr>
      <w:r w:rsidRPr="004C4005">
        <w:rPr>
          <w:b/>
          <w:szCs w:val="24"/>
        </w:rPr>
        <w:t xml:space="preserve">чл. 68, ал. 1-2 от КСО – </w:t>
      </w:r>
      <w:r w:rsidRPr="004C4005">
        <w:rPr>
          <w:szCs w:val="24"/>
        </w:rPr>
        <w:t>в периода 2020-2022 г. от 1 януари на всяка календарна година продължава увеличаването на</w:t>
      </w:r>
      <w:r w:rsidRPr="004C4005">
        <w:rPr>
          <w:b/>
          <w:szCs w:val="24"/>
        </w:rPr>
        <w:t xml:space="preserve"> </w:t>
      </w:r>
      <w:r w:rsidRPr="004C4005">
        <w:rPr>
          <w:szCs w:val="24"/>
        </w:rPr>
        <w:t>възрастта за придобиване право на пенсия с по 2 месеца за жените и с по 1 месец за мъжете, както и на необходимия осигурителен стаж за придобиване право на пенсия с по 2 месеца и за двата пола. Необходимите условия за пенсиониране на лицата, работили при условията на трета категория труд, в периода 2019-2022 г. са посочени в следващата таблица:</w:t>
      </w:r>
    </w:p>
    <w:p w:rsidR="007B128A" w:rsidRPr="007B128A" w:rsidRDefault="007B128A" w:rsidP="00D034AC">
      <w:pPr>
        <w:spacing w:before="120" w:after="0"/>
      </w:pPr>
    </w:p>
    <w:p w:rsidR="001F434B" w:rsidRDefault="00C4708D" w:rsidP="00974FBC">
      <w:pPr>
        <w:pStyle w:val="Caption"/>
        <w:rPr>
          <w:szCs w:val="24"/>
          <w:lang w:val="ru-RU"/>
        </w:rPr>
      </w:pPr>
      <w:bookmarkStart w:id="472" w:name="_Toc464644989"/>
      <w:bookmarkStart w:id="473" w:name="_Toc464646366"/>
      <w:bookmarkStart w:id="474" w:name="_Toc464737645"/>
      <w:bookmarkStart w:id="475" w:name="_Toc23337528"/>
      <w:r>
        <w:t xml:space="preserve">Табл. </w:t>
      </w:r>
      <w:fldSimple w:instr=" STYLEREF 1 \s ">
        <w:r w:rsidR="0034195B">
          <w:rPr>
            <w:noProof/>
          </w:rPr>
          <w:t>III</w:t>
        </w:r>
      </w:fldSimple>
      <w:r>
        <w:noBreakHyphen/>
      </w:r>
      <w:fldSimple w:instr=" SEQ Табл. \* ARABIC \s 1 ">
        <w:r w:rsidR="0034195B">
          <w:rPr>
            <w:noProof/>
          </w:rPr>
          <w:t>2</w:t>
        </w:r>
      </w:fldSimple>
      <w:r>
        <w:t>:</w:t>
      </w:r>
      <w:r>
        <w:tab/>
      </w:r>
      <w:r w:rsidRPr="00B721C3">
        <w:rPr>
          <w:szCs w:val="24"/>
        </w:rPr>
        <w:t>Условия за пенсиониране по чл. 68</w:t>
      </w:r>
      <w:r>
        <w:rPr>
          <w:szCs w:val="24"/>
        </w:rPr>
        <w:t>, ал. 1-2</w:t>
      </w:r>
      <w:r w:rsidRPr="00B721C3">
        <w:rPr>
          <w:szCs w:val="24"/>
        </w:rPr>
        <w:t xml:space="preserve"> на КСО </w:t>
      </w:r>
      <w:r w:rsidRPr="00065D2A">
        <w:rPr>
          <w:szCs w:val="24"/>
          <w:lang w:val="ru-RU"/>
        </w:rPr>
        <w:t>(</w:t>
      </w:r>
      <w:r w:rsidR="00065D2A" w:rsidRPr="00065D2A">
        <w:rPr>
          <w:szCs w:val="24"/>
        </w:rPr>
        <w:t>2019</w:t>
      </w:r>
      <w:r w:rsidRPr="00065D2A">
        <w:rPr>
          <w:szCs w:val="24"/>
        </w:rPr>
        <w:t>-202</w:t>
      </w:r>
      <w:r w:rsidR="00065D2A" w:rsidRPr="00065D2A">
        <w:rPr>
          <w:szCs w:val="24"/>
        </w:rPr>
        <w:t>2</w:t>
      </w:r>
      <w:r w:rsidRPr="00065D2A">
        <w:rPr>
          <w:szCs w:val="24"/>
        </w:rPr>
        <w:t> г.</w:t>
      </w:r>
      <w:r w:rsidRPr="00065D2A">
        <w:rPr>
          <w:szCs w:val="24"/>
          <w:lang w:val="ru-RU"/>
        </w:rPr>
        <w:t>)</w:t>
      </w:r>
      <w:bookmarkEnd w:id="472"/>
      <w:bookmarkEnd w:id="473"/>
      <w:bookmarkEnd w:id="474"/>
      <w:bookmarkEnd w:id="475"/>
    </w:p>
    <w:tbl>
      <w:tblPr>
        <w:tblW w:w="5000" w:type="pct"/>
        <w:jc w:val="center"/>
        <w:tblCellMar>
          <w:left w:w="70" w:type="dxa"/>
          <w:right w:w="70" w:type="dxa"/>
        </w:tblCellMar>
        <w:tblLook w:val="00A0" w:firstRow="1" w:lastRow="0" w:firstColumn="1" w:lastColumn="0" w:noHBand="0" w:noVBand="0"/>
      </w:tblPr>
      <w:tblGrid>
        <w:gridCol w:w="1367"/>
        <w:gridCol w:w="2021"/>
        <w:gridCol w:w="1830"/>
        <w:gridCol w:w="2023"/>
        <w:gridCol w:w="1829"/>
      </w:tblGrid>
      <w:tr w:rsidR="001F434B" w:rsidRPr="00065D2A" w:rsidTr="00034C85">
        <w:trPr>
          <w:trHeight w:val="315"/>
          <w:tblHeader/>
          <w:jc w:val="center"/>
        </w:trPr>
        <w:tc>
          <w:tcPr>
            <w:tcW w:w="754" w:type="pct"/>
            <w:vMerge w:val="restart"/>
            <w:tcBorders>
              <w:top w:val="single" w:sz="4" w:space="0" w:color="auto"/>
              <w:left w:val="nil"/>
              <w:bottom w:val="single" w:sz="4" w:space="0" w:color="963634"/>
              <w:right w:val="nil"/>
            </w:tcBorders>
            <w:vAlign w:val="center"/>
          </w:tcPr>
          <w:p w:rsidR="001F434B" w:rsidRPr="00065D2A" w:rsidRDefault="001F434B" w:rsidP="007218A8">
            <w:pPr>
              <w:spacing w:before="40" w:after="40"/>
              <w:jc w:val="left"/>
              <w:rPr>
                <w:rFonts w:eastAsia="Times New Roman"/>
                <w:b/>
                <w:bCs/>
                <w:sz w:val="20"/>
                <w:szCs w:val="20"/>
              </w:rPr>
            </w:pPr>
            <w:r w:rsidRPr="00065D2A">
              <w:rPr>
                <w:rFonts w:eastAsia="Times New Roman"/>
                <w:b/>
                <w:bCs/>
                <w:sz w:val="20"/>
                <w:szCs w:val="20"/>
              </w:rPr>
              <w:t>Година</w:t>
            </w:r>
          </w:p>
        </w:tc>
        <w:tc>
          <w:tcPr>
            <w:tcW w:w="2123" w:type="pct"/>
            <w:gridSpan w:val="2"/>
            <w:tcBorders>
              <w:top w:val="single" w:sz="4" w:space="0" w:color="auto"/>
              <w:left w:val="nil"/>
              <w:bottom w:val="single" w:sz="4" w:space="0" w:color="auto"/>
              <w:right w:val="nil"/>
            </w:tcBorders>
            <w:vAlign w:val="center"/>
          </w:tcPr>
          <w:p w:rsidR="001F434B" w:rsidRPr="00065D2A" w:rsidRDefault="001F434B" w:rsidP="007218A8">
            <w:pPr>
              <w:spacing w:before="40" w:after="40"/>
              <w:jc w:val="center"/>
              <w:rPr>
                <w:rFonts w:eastAsia="Times New Roman"/>
                <w:b/>
                <w:bCs/>
                <w:sz w:val="20"/>
                <w:szCs w:val="20"/>
              </w:rPr>
            </w:pPr>
            <w:r w:rsidRPr="00065D2A">
              <w:rPr>
                <w:rFonts w:eastAsia="Times New Roman"/>
                <w:b/>
                <w:bCs/>
                <w:sz w:val="20"/>
                <w:szCs w:val="20"/>
              </w:rPr>
              <w:t>ЖЕНИ</w:t>
            </w:r>
          </w:p>
        </w:tc>
        <w:tc>
          <w:tcPr>
            <w:tcW w:w="2123" w:type="pct"/>
            <w:gridSpan w:val="2"/>
            <w:tcBorders>
              <w:top w:val="single" w:sz="4" w:space="0" w:color="auto"/>
              <w:left w:val="nil"/>
              <w:bottom w:val="single" w:sz="4" w:space="0" w:color="auto"/>
              <w:right w:val="nil"/>
            </w:tcBorders>
            <w:vAlign w:val="center"/>
          </w:tcPr>
          <w:p w:rsidR="001F434B" w:rsidRPr="00065D2A" w:rsidRDefault="001F434B" w:rsidP="007218A8">
            <w:pPr>
              <w:spacing w:before="40" w:after="40"/>
              <w:jc w:val="center"/>
              <w:rPr>
                <w:rFonts w:eastAsia="Times New Roman"/>
                <w:b/>
                <w:bCs/>
                <w:sz w:val="20"/>
                <w:szCs w:val="20"/>
              </w:rPr>
            </w:pPr>
            <w:r w:rsidRPr="00065D2A">
              <w:rPr>
                <w:rFonts w:eastAsia="Times New Roman"/>
                <w:b/>
                <w:bCs/>
                <w:sz w:val="20"/>
                <w:szCs w:val="20"/>
              </w:rPr>
              <w:t>МЪЖЕ</w:t>
            </w:r>
          </w:p>
        </w:tc>
      </w:tr>
      <w:tr w:rsidR="001F434B" w:rsidRPr="00065D2A" w:rsidTr="00034C85">
        <w:trPr>
          <w:trHeight w:val="315"/>
          <w:tblHeader/>
          <w:jc w:val="center"/>
        </w:trPr>
        <w:tc>
          <w:tcPr>
            <w:tcW w:w="754" w:type="pct"/>
            <w:vMerge/>
            <w:tcBorders>
              <w:top w:val="single" w:sz="4" w:space="0" w:color="auto"/>
              <w:left w:val="nil"/>
              <w:bottom w:val="single" w:sz="4" w:space="0" w:color="auto"/>
              <w:right w:val="nil"/>
            </w:tcBorders>
            <w:vAlign w:val="center"/>
          </w:tcPr>
          <w:p w:rsidR="001F434B" w:rsidRPr="00065D2A" w:rsidRDefault="001F434B" w:rsidP="007218A8">
            <w:pPr>
              <w:spacing w:before="40" w:after="40"/>
              <w:jc w:val="center"/>
              <w:rPr>
                <w:rFonts w:eastAsia="Times New Roman"/>
                <w:b/>
                <w:bCs/>
                <w:sz w:val="20"/>
                <w:szCs w:val="20"/>
              </w:rPr>
            </w:pPr>
          </w:p>
        </w:tc>
        <w:tc>
          <w:tcPr>
            <w:tcW w:w="1114" w:type="pct"/>
            <w:tcBorders>
              <w:top w:val="nil"/>
              <w:left w:val="nil"/>
              <w:bottom w:val="single" w:sz="4" w:space="0" w:color="auto"/>
              <w:right w:val="nil"/>
            </w:tcBorders>
            <w:vAlign w:val="center"/>
          </w:tcPr>
          <w:p w:rsidR="001F434B" w:rsidRPr="00065D2A" w:rsidRDefault="001F434B" w:rsidP="007218A8">
            <w:pPr>
              <w:spacing w:before="40" w:after="40"/>
              <w:jc w:val="center"/>
              <w:rPr>
                <w:rFonts w:eastAsia="Times New Roman"/>
                <w:b/>
                <w:bCs/>
                <w:sz w:val="20"/>
                <w:szCs w:val="20"/>
              </w:rPr>
            </w:pPr>
            <w:r w:rsidRPr="00065D2A">
              <w:rPr>
                <w:rFonts w:eastAsia="Times New Roman"/>
                <w:b/>
                <w:bCs/>
                <w:sz w:val="20"/>
                <w:szCs w:val="20"/>
              </w:rPr>
              <w:t>възраст</w:t>
            </w:r>
          </w:p>
        </w:tc>
        <w:tc>
          <w:tcPr>
            <w:tcW w:w="1009" w:type="pct"/>
            <w:tcBorders>
              <w:top w:val="nil"/>
              <w:left w:val="nil"/>
              <w:bottom w:val="single" w:sz="4" w:space="0" w:color="auto"/>
              <w:right w:val="nil"/>
            </w:tcBorders>
            <w:vAlign w:val="center"/>
          </w:tcPr>
          <w:p w:rsidR="001F434B" w:rsidRPr="00065D2A" w:rsidRDefault="001F434B" w:rsidP="007218A8">
            <w:pPr>
              <w:spacing w:before="40" w:after="40"/>
              <w:jc w:val="center"/>
              <w:rPr>
                <w:rFonts w:eastAsia="Times New Roman"/>
                <w:b/>
                <w:bCs/>
                <w:sz w:val="20"/>
                <w:szCs w:val="20"/>
              </w:rPr>
            </w:pPr>
            <w:r w:rsidRPr="00065D2A">
              <w:rPr>
                <w:rFonts w:eastAsia="Times New Roman"/>
                <w:b/>
                <w:bCs/>
                <w:sz w:val="20"/>
                <w:szCs w:val="20"/>
              </w:rPr>
              <w:t>стаж</w:t>
            </w:r>
          </w:p>
        </w:tc>
        <w:tc>
          <w:tcPr>
            <w:tcW w:w="1115" w:type="pct"/>
            <w:tcBorders>
              <w:top w:val="nil"/>
              <w:left w:val="nil"/>
              <w:bottom w:val="single" w:sz="4" w:space="0" w:color="auto"/>
              <w:right w:val="nil"/>
            </w:tcBorders>
            <w:vAlign w:val="center"/>
          </w:tcPr>
          <w:p w:rsidR="001F434B" w:rsidRPr="00065D2A" w:rsidRDefault="001F434B" w:rsidP="007218A8">
            <w:pPr>
              <w:spacing w:before="40" w:after="40"/>
              <w:jc w:val="center"/>
              <w:rPr>
                <w:rFonts w:eastAsia="Times New Roman"/>
                <w:b/>
                <w:bCs/>
                <w:sz w:val="20"/>
                <w:szCs w:val="20"/>
              </w:rPr>
            </w:pPr>
            <w:r w:rsidRPr="00065D2A">
              <w:rPr>
                <w:rFonts w:eastAsia="Times New Roman"/>
                <w:b/>
                <w:bCs/>
                <w:sz w:val="20"/>
                <w:szCs w:val="20"/>
              </w:rPr>
              <w:t>възраст</w:t>
            </w:r>
          </w:p>
        </w:tc>
        <w:tc>
          <w:tcPr>
            <w:tcW w:w="1008" w:type="pct"/>
            <w:tcBorders>
              <w:top w:val="nil"/>
              <w:left w:val="nil"/>
              <w:bottom w:val="single" w:sz="4" w:space="0" w:color="auto"/>
              <w:right w:val="nil"/>
            </w:tcBorders>
            <w:vAlign w:val="center"/>
          </w:tcPr>
          <w:p w:rsidR="001F434B" w:rsidRPr="00065D2A" w:rsidRDefault="001F434B" w:rsidP="007218A8">
            <w:pPr>
              <w:spacing w:before="40" w:after="40"/>
              <w:jc w:val="center"/>
              <w:rPr>
                <w:rFonts w:eastAsia="Times New Roman"/>
                <w:b/>
                <w:bCs/>
                <w:sz w:val="20"/>
                <w:szCs w:val="20"/>
              </w:rPr>
            </w:pPr>
            <w:r w:rsidRPr="00065D2A">
              <w:rPr>
                <w:rFonts w:eastAsia="Times New Roman"/>
                <w:b/>
                <w:bCs/>
                <w:sz w:val="20"/>
                <w:szCs w:val="20"/>
              </w:rPr>
              <w:t>стаж</w:t>
            </w:r>
          </w:p>
        </w:tc>
      </w:tr>
      <w:tr w:rsidR="00563BA6" w:rsidRPr="00065D2A" w:rsidTr="00034C85">
        <w:trPr>
          <w:trHeight w:val="315"/>
          <w:tblHeader/>
          <w:jc w:val="center"/>
        </w:trPr>
        <w:tc>
          <w:tcPr>
            <w:tcW w:w="754" w:type="pct"/>
            <w:tcBorders>
              <w:top w:val="single" w:sz="4" w:space="0" w:color="auto"/>
              <w:left w:val="nil"/>
              <w:bottom w:val="nil"/>
              <w:right w:val="nil"/>
            </w:tcBorders>
            <w:vAlign w:val="center"/>
          </w:tcPr>
          <w:p w:rsidR="00563BA6" w:rsidRPr="00065D2A" w:rsidRDefault="00563BA6" w:rsidP="007218A8">
            <w:pPr>
              <w:spacing w:before="40" w:after="40"/>
              <w:jc w:val="left"/>
              <w:rPr>
                <w:rFonts w:eastAsia="Times New Roman"/>
                <w:b/>
                <w:bCs/>
                <w:sz w:val="20"/>
                <w:szCs w:val="20"/>
              </w:rPr>
            </w:pPr>
            <w:r w:rsidRPr="00065D2A">
              <w:rPr>
                <w:rFonts w:eastAsia="Times New Roman"/>
                <w:b/>
                <w:bCs/>
                <w:sz w:val="20"/>
                <w:szCs w:val="20"/>
              </w:rPr>
              <w:t>2019</w:t>
            </w:r>
          </w:p>
        </w:tc>
        <w:tc>
          <w:tcPr>
            <w:tcW w:w="1114" w:type="pct"/>
            <w:tcBorders>
              <w:top w:val="single" w:sz="4" w:space="0" w:color="auto"/>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61 г. и 4 м.</w:t>
            </w:r>
          </w:p>
        </w:tc>
        <w:tc>
          <w:tcPr>
            <w:tcW w:w="1009" w:type="pct"/>
            <w:tcBorders>
              <w:top w:val="single" w:sz="4" w:space="0" w:color="auto"/>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35 г. и 8 м.</w:t>
            </w:r>
          </w:p>
        </w:tc>
        <w:tc>
          <w:tcPr>
            <w:tcW w:w="1115" w:type="pct"/>
            <w:tcBorders>
              <w:top w:val="single" w:sz="4" w:space="0" w:color="auto"/>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64 г. и 2 м.</w:t>
            </w:r>
          </w:p>
        </w:tc>
        <w:tc>
          <w:tcPr>
            <w:tcW w:w="1008" w:type="pct"/>
            <w:tcBorders>
              <w:top w:val="single" w:sz="4" w:space="0" w:color="auto"/>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38 г. и 8 м.</w:t>
            </w:r>
          </w:p>
        </w:tc>
      </w:tr>
      <w:tr w:rsidR="00563BA6" w:rsidRPr="00065D2A" w:rsidTr="00034C85">
        <w:trPr>
          <w:trHeight w:val="315"/>
          <w:tblHeader/>
          <w:jc w:val="center"/>
        </w:trPr>
        <w:tc>
          <w:tcPr>
            <w:tcW w:w="754" w:type="pct"/>
            <w:tcBorders>
              <w:top w:val="nil"/>
              <w:left w:val="nil"/>
              <w:bottom w:val="nil"/>
              <w:right w:val="nil"/>
            </w:tcBorders>
            <w:vAlign w:val="center"/>
          </w:tcPr>
          <w:p w:rsidR="00563BA6" w:rsidRPr="00065D2A" w:rsidRDefault="00563BA6" w:rsidP="007218A8">
            <w:pPr>
              <w:spacing w:before="40" w:after="40"/>
              <w:jc w:val="left"/>
              <w:rPr>
                <w:rFonts w:eastAsia="Times New Roman"/>
                <w:b/>
                <w:bCs/>
                <w:sz w:val="20"/>
                <w:szCs w:val="20"/>
              </w:rPr>
            </w:pPr>
            <w:r w:rsidRPr="00065D2A">
              <w:rPr>
                <w:rFonts w:eastAsia="Times New Roman"/>
                <w:b/>
                <w:bCs/>
                <w:sz w:val="20"/>
                <w:szCs w:val="20"/>
              </w:rPr>
              <w:t>2020</w:t>
            </w:r>
          </w:p>
        </w:tc>
        <w:tc>
          <w:tcPr>
            <w:tcW w:w="1114" w:type="pct"/>
            <w:tcBorders>
              <w:top w:val="nil"/>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61 г. и 6 м.</w:t>
            </w:r>
          </w:p>
        </w:tc>
        <w:tc>
          <w:tcPr>
            <w:tcW w:w="1009" w:type="pct"/>
            <w:tcBorders>
              <w:top w:val="nil"/>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35 г. и 10 м.</w:t>
            </w:r>
          </w:p>
        </w:tc>
        <w:tc>
          <w:tcPr>
            <w:tcW w:w="1115" w:type="pct"/>
            <w:tcBorders>
              <w:top w:val="nil"/>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64 г. и 3 м.</w:t>
            </w:r>
          </w:p>
        </w:tc>
        <w:tc>
          <w:tcPr>
            <w:tcW w:w="1008" w:type="pct"/>
            <w:tcBorders>
              <w:top w:val="nil"/>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38 г. и 10 м.</w:t>
            </w:r>
          </w:p>
        </w:tc>
      </w:tr>
      <w:tr w:rsidR="00563BA6" w:rsidRPr="00065D2A" w:rsidTr="00034C85">
        <w:trPr>
          <w:trHeight w:val="315"/>
          <w:tblHeader/>
          <w:jc w:val="center"/>
        </w:trPr>
        <w:tc>
          <w:tcPr>
            <w:tcW w:w="754" w:type="pct"/>
            <w:tcBorders>
              <w:top w:val="nil"/>
              <w:left w:val="nil"/>
              <w:bottom w:val="nil"/>
              <w:right w:val="nil"/>
            </w:tcBorders>
            <w:vAlign w:val="center"/>
          </w:tcPr>
          <w:p w:rsidR="00563BA6" w:rsidRPr="00065D2A" w:rsidRDefault="00563BA6" w:rsidP="007218A8">
            <w:pPr>
              <w:spacing w:before="40" w:after="40"/>
              <w:jc w:val="left"/>
              <w:rPr>
                <w:rFonts w:eastAsia="Times New Roman"/>
                <w:b/>
                <w:bCs/>
                <w:sz w:val="20"/>
                <w:szCs w:val="20"/>
              </w:rPr>
            </w:pPr>
            <w:r w:rsidRPr="00065D2A">
              <w:rPr>
                <w:rFonts w:eastAsia="Times New Roman"/>
                <w:b/>
                <w:bCs/>
                <w:sz w:val="20"/>
                <w:szCs w:val="20"/>
              </w:rPr>
              <w:t>2021</w:t>
            </w:r>
          </w:p>
        </w:tc>
        <w:tc>
          <w:tcPr>
            <w:tcW w:w="1114" w:type="pct"/>
            <w:tcBorders>
              <w:top w:val="nil"/>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61 г. и 8 м.</w:t>
            </w:r>
          </w:p>
        </w:tc>
        <w:tc>
          <w:tcPr>
            <w:tcW w:w="1009" w:type="pct"/>
            <w:tcBorders>
              <w:top w:val="nil"/>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36 г.</w:t>
            </w:r>
          </w:p>
        </w:tc>
        <w:tc>
          <w:tcPr>
            <w:tcW w:w="1115" w:type="pct"/>
            <w:tcBorders>
              <w:top w:val="nil"/>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64 г. и 4 м.</w:t>
            </w:r>
          </w:p>
        </w:tc>
        <w:tc>
          <w:tcPr>
            <w:tcW w:w="1008" w:type="pct"/>
            <w:tcBorders>
              <w:top w:val="nil"/>
              <w:left w:val="nil"/>
              <w:bottom w:val="nil"/>
              <w:right w:val="nil"/>
            </w:tcBorders>
            <w:vAlign w:val="center"/>
          </w:tcPr>
          <w:p w:rsidR="00563BA6" w:rsidRPr="004C4005" w:rsidRDefault="00563BA6" w:rsidP="0082145B">
            <w:pPr>
              <w:shd w:val="clear" w:color="auto" w:fill="FFFFFF"/>
              <w:jc w:val="center"/>
              <w:rPr>
                <w:szCs w:val="24"/>
              </w:rPr>
            </w:pPr>
            <w:r w:rsidRPr="004C4005">
              <w:rPr>
                <w:szCs w:val="24"/>
              </w:rPr>
              <w:t>39 г.</w:t>
            </w:r>
          </w:p>
        </w:tc>
      </w:tr>
      <w:tr w:rsidR="00563BA6" w:rsidRPr="002C1F98" w:rsidTr="00034C85">
        <w:trPr>
          <w:trHeight w:val="315"/>
          <w:tblHeader/>
          <w:jc w:val="center"/>
        </w:trPr>
        <w:tc>
          <w:tcPr>
            <w:tcW w:w="754" w:type="pct"/>
            <w:tcBorders>
              <w:top w:val="nil"/>
              <w:left w:val="nil"/>
              <w:bottom w:val="single" w:sz="4" w:space="0" w:color="auto"/>
              <w:right w:val="nil"/>
            </w:tcBorders>
            <w:vAlign w:val="center"/>
          </w:tcPr>
          <w:p w:rsidR="00563BA6" w:rsidRPr="00065D2A" w:rsidRDefault="00563BA6" w:rsidP="007218A8">
            <w:pPr>
              <w:spacing w:before="40" w:after="40"/>
              <w:jc w:val="left"/>
              <w:rPr>
                <w:rFonts w:eastAsia="Times New Roman"/>
                <w:b/>
                <w:bCs/>
                <w:sz w:val="20"/>
                <w:szCs w:val="20"/>
              </w:rPr>
            </w:pPr>
            <w:r w:rsidRPr="00065D2A">
              <w:rPr>
                <w:rFonts w:eastAsia="Times New Roman"/>
                <w:b/>
                <w:bCs/>
                <w:sz w:val="20"/>
                <w:szCs w:val="20"/>
              </w:rPr>
              <w:t>2022</w:t>
            </w:r>
          </w:p>
        </w:tc>
        <w:tc>
          <w:tcPr>
            <w:tcW w:w="1114" w:type="pct"/>
            <w:tcBorders>
              <w:top w:val="nil"/>
              <w:left w:val="nil"/>
              <w:bottom w:val="single" w:sz="4" w:space="0" w:color="auto"/>
              <w:right w:val="nil"/>
            </w:tcBorders>
            <w:vAlign w:val="center"/>
          </w:tcPr>
          <w:p w:rsidR="00563BA6" w:rsidRPr="004C4005" w:rsidRDefault="00563BA6" w:rsidP="0082145B">
            <w:pPr>
              <w:shd w:val="clear" w:color="auto" w:fill="FFFFFF"/>
              <w:jc w:val="center"/>
              <w:rPr>
                <w:szCs w:val="24"/>
              </w:rPr>
            </w:pPr>
            <w:r w:rsidRPr="004C4005">
              <w:rPr>
                <w:szCs w:val="24"/>
              </w:rPr>
              <w:t>61 г. и 10 м.</w:t>
            </w:r>
          </w:p>
        </w:tc>
        <w:tc>
          <w:tcPr>
            <w:tcW w:w="1009" w:type="pct"/>
            <w:tcBorders>
              <w:top w:val="nil"/>
              <w:left w:val="nil"/>
              <w:bottom w:val="single" w:sz="4" w:space="0" w:color="auto"/>
              <w:right w:val="nil"/>
            </w:tcBorders>
            <w:vAlign w:val="center"/>
          </w:tcPr>
          <w:p w:rsidR="00563BA6" w:rsidRPr="004C4005" w:rsidRDefault="00563BA6" w:rsidP="0082145B">
            <w:pPr>
              <w:shd w:val="clear" w:color="auto" w:fill="FFFFFF"/>
              <w:jc w:val="center"/>
              <w:rPr>
                <w:szCs w:val="24"/>
              </w:rPr>
            </w:pPr>
            <w:r w:rsidRPr="004C4005">
              <w:rPr>
                <w:szCs w:val="24"/>
              </w:rPr>
              <w:t>36 г. и 2 м.</w:t>
            </w:r>
          </w:p>
        </w:tc>
        <w:tc>
          <w:tcPr>
            <w:tcW w:w="1115" w:type="pct"/>
            <w:tcBorders>
              <w:top w:val="nil"/>
              <w:left w:val="nil"/>
              <w:bottom w:val="single" w:sz="4" w:space="0" w:color="auto"/>
              <w:right w:val="nil"/>
            </w:tcBorders>
            <w:vAlign w:val="center"/>
          </w:tcPr>
          <w:p w:rsidR="00563BA6" w:rsidRPr="004C4005" w:rsidRDefault="00563BA6" w:rsidP="0082145B">
            <w:pPr>
              <w:shd w:val="clear" w:color="auto" w:fill="FFFFFF"/>
              <w:jc w:val="center"/>
              <w:rPr>
                <w:szCs w:val="24"/>
              </w:rPr>
            </w:pPr>
            <w:r w:rsidRPr="004C4005">
              <w:rPr>
                <w:szCs w:val="24"/>
              </w:rPr>
              <w:t>64 г. и 5 м.</w:t>
            </w:r>
          </w:p>
        </w:tc>
        <w:tc>
          <w:tcPr>
            <w:tcW w:w="1008" w:type="pct"/>
            <w:tcBorders>
              <w:top w:val="nil"/>
              <w:left w:val="nil"/>
              <w:bottom w:val="single" w:sz="4" w:space="0" w:color="auto"/>
              <w:right w:val="nil"/>
            </w:tcBorders>
            <w:vAlign w:val="center"/>
          </w:tcPr>
          <w:p w:rsidR="00563BA6" w:rsidRPr="004C4005" w:rsidRDefault="00563BA6" w:rsidP="0082145B">
            <w:pPr>
              <w:shd w:val="clear" w:color="auto" w:fill="FFFFFF"/>
              <w:jc w:val="center"/>
              <w:rPr>
                <w:szCs w:val="24"/>
              </w:rPr>
            </w:pPr>
            <w:r w:rsidRPr="004C4005">
              <w:rPr>
                <w:szCs w:val="24"/>
              </w:rPr>
              <w:t>39 г. и 2 м.</w:t>
            </w:r>
          </w:p>
        </w:tc>
      </w:tr>
    </w:tbl>
    <w:p w:rsidR="007B128A" w:rsidRDefault="007B128A" w:rsidP="007B128A">
      <w:pPr>
        <w:shd w:val="clear" w:color="auto" w:fill="FFFFFF"/>
        <w:tabs>
          <w:tab w:val="left" w:pos="567"/>
        </w:tabs>
        <w:spacing w:after="120"/>
        <w:ind w:left="426"/>
        <w:rPr>
          <w:szCs w:val="24"/>
        </w:rPr>
      </w:pPr>
    </w:p>
    <w:p w:rsidR="00563BA6" w:rsidRPr="004C4005" w:rsidRDefault="00563BA6" w:rsidP="003403BF">
      <w:pPr>
        <w:numPr>
          <w:ilvl w:val="0"/>
          <w:numId w:val="27"/>
        </w:numPr>
        <w:shd w:val="clear" w:color="auto" w:fill="FFFFFF"/>
        <w:tabs>
          <w:tab w:val="left" w:pos="142"/>
        </w:tabs>
        <w:spacing w:after="120"/>
        <w:ind w:left="567" w:hanging="425"/>
        <w:rPr>
          <w:szCs w:val="24"/>
        </w:rPr>
      </w:pPr>
      <w:r w:rsidRPr="004C4005">
        <w:rPr>
          <w:b/>
          <w:szCs w:val="24"/>
        </w:rPr>
        <w:t>чл.</w:t>
      </w:r>
      <w:r w:rsidRPr="004C4005">
        <w:rPr>
          <w:szCs w:val="24"/>
        </w:rPr>
        <w:t xml:space="preserve"> </w:t>
      </w:r>
      <w:r w:rsidRPr="004C4005">
        <w:rPr>
          <w:b/>
          <w:szCs w:val="24"/>
        </w:rPr>
        <w:t>68, ал. 3 от КСО</w:t>
      </w:r>
      <w:r w:rsidRPr="004C4005">
        <w:rPr>
          <w:szCs w:val="24"/>
        </w:rPr>
        <w:t xml:space="preserve"> – продължава увеличаването на възрастта за пенсиониране при непълен стаж с по 2 месеца до достигане на 66 години и 10 месеца през 2022 г.;</w:t>
      </w:r>
    </w:p>
    <w:p w:rsidR="00563BA6" w:rsidRPr="004C4005" w:rsidRDefault="00563BA6" w:rsidP="003403BF">
      <w:pPr>
        <w:numPr>
          <w:ilvl w:val="0"/>
          <w:numId w:val="27"/>
        </w:numPr>
        <w:shd w:val="clear" w:color="auto" w:fill="FFFFFF"/>
        <w:tabs>
          <w:tab w:val="left" w:pos="142"/>
        </w:tabs>
        <w:spacing w:after="120"/>
        <w:ind w:left="567" w:hanging="425"/>
        <w:rPr>
          <w:szCs w:val="24"/>
        </w:rPr>
      </w:pPr>
      <w:r w:rsidRPr="004C4005">
        <w:rPr>
          <w:b/>
          <w:szCs w:val="24"/>
        </w:rPr>
        <w:t>чл.</w:t>
      </w:r>
      <w:r w:rsidRPr="004C4005">
        <w:rPr>
          <w:szCs w:val="24"/>
        </w:rPr>
        <w:t xml:space="preserve"> </w:t>
      </w:r>
      <w:r w:rsidRPr="004C4005">
        <w:rPr>
          <w:b/>
          <w:szCs w:val="24"/>
        </w:rPr>
        <w:t>69, ал. 1, 2, 3, 5, 5а и 6 от КСО</w:t>
      </w:r>
      <w:r>
        <w:rPr>
          <w:szCs w:val="24"/>
        </w:rPr>
        <w:t xml:space="preserve"> – минималната </w:t>
      </w:r>
      <w:r w:rsidRPr="004C4005">
        <w:rPr>
          <w:szCs w:val="24"/>
        </w:rPr>
        <w:t>възраст за пенсиониране на работещите в сектор „Сигурност” продължава да се увеличава с по 2 месеца до достигане на 53 години и 10 месеца през 2022 г.;</w:t>
      </w:r>
    </w:p>
    <w:p w:rsidR="00563BA6" w:rsidRPr="004C4005" w:rsidRDefault="00563BA6" w:rsidP="003403BF">
      <w:pPr>
        <w:numPr>
          <w:ilvl w:val="0"/>
          <w:numId w:val="27"/>
        </w:numPr>
        <w:shd w:val="clear" w:color="auto" w:fill="FFFFFF"/>
        <w:tabs>
          <w:tab w:val="left" w:pos="142"/>
        </w:tabs>
        <w:spacing w:after="120"/>
        <w:ind w:left="567" w:hanging="425"/>
        <w:rPr>
          <w:szCs w:val="24"/>
        </w:rPr>
      </w:pPr>
      <w:r w:rsidRPr="004C4005">
        <w:rPr>
          <w:b/>
          <w:szCs w:val="24"/>
        </w:rPr>
        <w:t>чл. 69б</w:t>
      </w:r>
      <w:r w:rsidRPr="004C4005">
        <w:rPr>
          <w:szCs w:val="24"/>
        </w:rPr>
        <w:t xml:space="preserve"> </w:t>
      </w:r>
      <w:r w:rsidRPr="004C4005">
        <w:rPr>
          <w:b/>
          <w:szCs w:val="24"/>
        </w:rPr>
        <w:t>от КСО</w:t>
      </w:r>
      <w:r w:rsidRPr="004C4005">
        <w:rPr>
          <w:szCs w:val="24"/>
        </w:rPr>
        <w:t xml:space="preserve"> – минималната възраст за пенсиониране на лицата, работили при условията на първа и втора категория труд, които не отговарят на условията за пенсиониране от професионален пенсионен фонд по чл. 168 от КСО или са променили осигуряването си по чл. 4в от КСО, продължава да се увеличава с по 4 месеца за жените и с по 2 месеца за мъжете до достигане през 2022 г. на 50 години за жените и 53 години и 10 месеца за мъжете от първа категория и на 55 години за жените и 58 години и 10 месеца за мъжете от втора категория труд;</w:t>
      </w:r>
    </w:p>
    <w:p w:rsidR="00563BA6" w:rsidRPr="004C4005" w:rsidRDefault="00563BA6" w:rsidP="003403BF">
      <w:pPr>
        <w:numPr>
          <w:ilvl w:val="0"/>
          <w:numId w:val="27"/>
        </w:numPr>
        <w:shd w:val="clear" w:color="auto" w:fill="FFFFFF"/>
        <w:tabs>
          <w:tab w:val="left" w:pos="142"/>
        </w:tabs>
        <w:spacing w:after="120"/>
        <w:ind w:left="567" w:hanging="425"/>
        <w:rPr>
          <w:szCs w:val="24"/>
        </w:rPr>
      </w:pPr>
      <w:r w:rsidRPr="004C4005">
        <w:rPr>
          <w:szCs w:val="24"/>
        </w:rPr>
        <w:t>В периода 2020-2022 г. стойността на процента (тежестта) по чл. 70, ал. 1 от КСО за всяка една година осигурителен стаж в пенсионната формула се запазва на достигнатото през 2019 г. ниво от 1,2 на сто;</w:t>
      </w:r>
    </w:p>
    <w:p w:rsidR="00563BA6" w:rsidRPr="004C4005" w:rsidRDefault="00563BA6" w:rsidP="003403BF">
      <w:pPr>
        <w:numPr>
          <w:ilvl w:val="0"/>
          <w:numId w:val="27"/>
        </w:numPr>
        <w:shd w:val="clear" w:color="auto" w:fill="FFFFFF"/>
        <w:tabs>
          <w:tab w:val="left" w:pos="142"/>
        </w:tabs>
        <w:spacing w:after="120"/>
        <w:ind w:left="567" w:hanging="425"/>
        <w:rPr>
          <w:szCs w:val="24"/>
        </w:rPr>
      </w:pPr>
      <w:r w:rsidRPr="004C4005">
        <w:rPr>
          <w:szCs w:val="24"/>
        </w:rPr>
        <w:t>В периода 2020-2022 г. е предвидено пенсиите за трудова дейност, отпуснати до 31 декември на предходната година, да се осъвременяват от 1 юли на съответната година по т.нар. „швейцарско правило“ (чл. 100 от КСО) с процент, определен като сбора от 50 на сто от нарастването на осигурителния доход и 50 на сто от индекса на потребителските цени през предходната календарна година. Процентите по чл. 100 от КСО, с които е предвидено да се осъвременяват пенсиите за трудова дейност, са съответно:</w:t>
      </w:r>
    </w:p>
    <w:p w:rsidR="00563BA6" w:rsidRPr="004C4005" w:rsidRDefault="00563BA6" w:rsidP="00AA0F80">
      <w:pPr>
        <w:pStyle w:val="ListParagraph"/>
        <w:numPr>
          <w:ilvl w:val="0"/>
          <w:numId w:val="44"/>
        </w:numPr>
        <w:shd w:val="clear" w:color="auto" w:fill="FFFFFF"/>
        <w:spacing w:before="120" w:after="0"/>
        <w:rPr>
          <w:szCs w:val="24"/>
        </w:rPr>
      </w:pPr>
      <w:r w:rsidRPr="004C4005">
        <w:rPr>
          <w:szCs w:val="24"/>
        </w:rPr>
        <w:t>6,</w:t>
      </w:r>
      <w:r>
        <w:rPr>
          <w:szCs w:val="24"/>
        </w:rPr>
        <w:t>7</w:t>
      </w:r>
      <w:r w:rsidRPr="004C4005">
        <w:rPr>
          <w:szCs w:val="24"/>
        </w:rPr>
        <w:t>% за 2020 г.;</w:t>
      </w:r>
    </w:p>
    <w:p w:rsidR="00563BA6" w:rsidRPr="004C4005" w:rsidRDefault="00563BA6" w:rsidP="00AA0F80">
      <w:pPr>
        <w:pStyle w:val="ListParagraph"/>
        <w:numPr>
          <w:ilvl w:val="0"/>
          <w:numId w:val="44"/>
        </w:numPr>
        <w:shd w:val="clear" w:color="auto" w:fill="FFFFFF"/>
        <w:spacing w:before="120" w:after="0"/>
        <w:rPr>
          <w:szCs w:val="24"/>
        </w:rPr>
      </w:pPr>
      <w:r w:rsidRPr="004C4005">
        <w:rPr>
          <w:szCs w:val="24"/>
        </w:rPr>
        <w:t>5,0% за 2021 г.;</w:t>
      </w:r>
    </w:p>
    <w:p w:rsidR="00563BA6" w:rsidRPr="004C4005" w:rsidRDefault="00563BA6" w:rsidP="00AA0F80">
      <w:pPr>
        <w:pStyle w:val="ListParagraph"/>
        <w:numPr>
          <w:ilvl w:val="0"/>
          <w:numId w:val="44"/>
        </w:numPr>
        <w:shd w:val="clear" w:color="auto" w:fill="FFFFFF"/>
        <w:spacing w:before="120" w:after="0"/>
        <w:ind w:left="1434" w:hanging="357"/>
        <w:rPr>
          <w:szCs w:val="24"/>
        </w:rPr>
      </w:pPr>
      <w:r w:rsidRPr="004C4005">
        <w:rPr>
          <w:szCs w:val="24"/>
        </w:rPr>
        <w:t>4,6% за 2022 г.</w:t>
      </w:r>
    </w:p>
    <w:p w:rsidR="00563BA6" w:rsidRPr="004C4005" w:rsidRDefault="00563BA6" w:rsidP="00563BA6">
      <w:pPr>
        <w:pStyle w:val="BodyTextIndent"/>
        <w:shd w:val="clear" w:color="auto" w:fill="FFFFFF"/>
        <w:spacing w:before="120" w:after="0"/>
        <w:ind w:left="0"/>
        <w:rPr>
          <w:szCs w:val="24"/>
        </w:rPr>
      </w:pPr>
      <w:r w:rsidRPr="004C4005">
        <w:rPr>
          <w:szCs w:val="24"/>
        </w:rPr>
        <w:t xml:space="preserve">В периода 2020-2022 г. е предвидено размерите на </w:t>
      </w:r>
      <w:r w:rsidRPr="004C4005">
        <w:rPr>
          <w:i/>
          <w:szCs w:val="24"/>
        </w:rPr>
        <w:t xml:space="preserve">минималната пенсия за осигурителен стаж и възраст </w:t>
      </w:r>
      <w:r w:rsidRPr="004C4005">
        <w:rPr>
          <w:szCs w:val="24"/>
        </w:rPr>
        <w:t xml:space="preserve">и на </w:t>
      </w:r>
      <w:r w:rsidRPr="004C4005">
        <w:rPr>
          <w:i/>
          <w:szCs w:val="24"/>
        </w:rPr>
        <w:t>социалната пенсия за старост</w:t>
      </w:r>
      <w:r w:rsidRPr="004C4005">
        <w:rPr>
          <w:szCs w:val="24"/>
        </w:rPr>
        <w:t>, както и на свързаните с тях пенсии и добавки, да се увеличават от 1 юли на съответната година с процентите по чл. 100 от КСО, а именно: 6,</w:t>
      </w:r>
      <w:r>
        <w:rPr>
          <w:szCs w:val="24"/>
        </w:rPr>
        <w:t>7</w:t>
      </w:r>
      <w:r w:rsidRPr="004C4005">
        <w:rPr>
          <w:szCs w:val="24"/>
        </w:rPr>
        <w:t>% за 2020 г., 5,0% за 2021 г. и 4,6% за 2022 г.</w:t>
      </w:r>
    </w:p>
    <w:p w:rsidR="00563BA6" w:rsidRPr="004C4005" w:rsidRDefault="00563BA6" w:rsidP="00563BA6">
      <w:pPr>
        <w:pStyle w:val="BodyTextIndent"/>
        <w:shd w:val="clear" w:color="auto" w:fill="FFFFFF"/>
        <w:spacing w:before="120" w:after="0"/>
        <w:ind w:left="0"/>
        <w:rPr>
          <w:szCs w:val="24"/>
        </w:rPr>
      </w:pPr>
      <w:r w:rsidRPr="004C4005">
        <w:rPr>
          <w:i/>
          <w:szCs w:val="24"/>
        </w:rPr>
        <w:t>Максималният размер на получаваните една или повече пенсии</w:t>
      </w:r>
      <w:r w:rsidRPr="004C4005">
        <w:rPr>
          <w:szCs w:val="24"/>
        </w:rPr>
        <w:t xml:space="preserve"> за периода 2020-2022 г. се запазва в размер на 1 200 лв. (40% от размера на максималния осигурителен доход за съответната година), като се прилага за всички пенсии, без оглед на началната дата на отпускането им.</w:t>
      </w:r>
    </w:p>
    <w:p w:rsidR="00563BA6" w:rsidRPr="00034C85" w:rsidRDefault="00563BA6" w:rsidP="00563BA6">
      <w:pPr>
        <w:pStyle w:val="BodyTextIndent"/>
        <w:shd w:val="clear" w:color="auto" w:fill="FFFFFF"/>
        <w:spacing w:before="120" w:after="0"/>
        <w:ind w:left="0"/>
        <w:rPr>
          <w:szCs w:val="24"/>
        </w:rPr>
      </w:pPr>
      <w:r w:rsidRPr="004C4005">
        <w:rPr>
          <w:szCs w:val="24"/>
        </w:rPr>
        <w:t xml:space="preserve">През 2020 г. разходите за пенсии по бюджета на ДОО </w:t>
      </w:r>
      <w:r w:rsidRPr="00034C85">
        <w:rPr>
          <w:szCs w:val="24"/>
        </w:rPr>
        <w:t xml:space="preserve">нарастват с 588,4 млн. лв. спрямо закона за 2019 г., което е в резултат както от посочените по-горе допускания, така и от влязлата в сила от 1 януари 2019 г. с новоприетия Закон за хората с увреждания, трансформация на изплащаните от Националния осигурителен институт социални пенсии за инвалидност, в размер на 25 на сто към друг вид пенсия, в месечна финансова подкрепа, която ще се изплаща от Агенцията за социално подпомагане. </w:t>
      </w:r>
    </w:p>
    <w:p w:rsidR="00563BA6" w:rsidRPr="00034C85" w:rsidRDefault="00563BA6" w:rsidP="0082145B">
      <w:pPr>
        <w:pStyle w:val="BodyTextIndent"/>
        <w:shd w:val="clear" w:color="auto" w:fill="FFFFFF"/>
        <w:spacing w:before="120" w:after="0"/>
        <w:ind w:left="0"/>
        <w:rPr>
          <w:szCs w:val="24"/>
        </w:rPr>
      </w:pPr>
      <w:r w:rsidRPr="00034C85">
        <w:rPr>
          <w:szCs w:val="24"/>
        </w:rPr>
        <w:t>През 2021 и 2022 г. ръстовете в разходите за пенсии по бюджета на ДОО спрямо предходната година са съответно 646,1 млн. лв. и 566,1 млн. лв.</w:t>
      </w:r>
    </w:p>
    <w:p w:rsidR="00083361" w:rsidRDefault="00083361" w:rsidP="00517D0A">
      <w:pPr>
        <w:pStyle w:val="Heading3"/>
        <w:ind w:left="0"/>
      </w:pPr>
      <w:bookmarkStart w:id="476" w:name="_Toc465070470"/>
      <w:bookmarkStart w:id="477" w:name="_Toc465205520"/>
      <w:r w:rsidRPr="009D2915">
        <w:t>Социална политика</w:t>
      </w:r>
      <w:bookmarkEnd w:id="476"/>
      <w:bookmarkEnd w:id="477"/>
    </w:p>
    <w:p w:rsidR="00CE5D19" w:rsidRPr="0074030B" w:rsidRDefault="00CE5D19" w:rsidP="00CE5D19">
      <w:pPr>
        <w:shd w:val="clear" w:color="auto" w:fill="FFFFFF"/>
        <w:spacing w:before="120" w:after="0"/>
        <w:rPr>
          <w:rFonts w:eastAsia="Batang" w:cs="Times New Roman"/>
        </w:rPr>
      </w:pPr>
      <w:r w:rsidRPr="0074030B">
        <w:rPr>
          <w:rFonts w:eastAsia="Batang" w:cs="Times New Roman"/>
        </w:rPr>
        <w:t xml:space="preserve">По отношение на политиката, свързана със социалните помощи и обезщетения, изплащани от </w:t>
      </w:r>
      <w:r w:rsidRPr="0074030B">
        <w:rPr>
          <w:rFonts w:eastAsia="Batang" w:cs="Times New Roman"/>
          <w:szCs w:val="24"/>
        </w:rPr>
        <w:t>бюджета</w:t>
      </w:r>
      <w:r w:rsidRPr="0074030B">
        <w:rPr>
          <w:rFonts w:eastAsia="Batang" w:cs="Times New Roman"/>
        </w:rPr>
        <w:t xml:space="preserve"> на ДОО, актуализираната средносрочна бюджетна прогноза за периода 2020-2022 г. е разработена при запазени параметри на действащото законодателство в КСО, а именно: </w:t>
      </w:r>
    </w:p>
    <w:p w:rsidR="00CE5D19" w:rsidRPr="0074030B" w:rsidRDefault="00CE5D19" w:rsidP="003403BF">
      <w:pPr>
        <w:numPr>
          <w:ilvl w:val="0"/>
          <w:numId w:val="27"/>
        </w:numPr>
        <w:shd w:val="clear" w:color="auto" w:fill="FFFFFF"/>
        <w:tabs>
          <w:tab w:val="left" w:pos="567"/>
        </w:tabs>
        <w:spacing w:before="120" w:after="0"/>
        <w:ind w:left="567" w:hanging="425"/>
        <w:rPr>
          <w:rFonts w:eastAsia="Times New Roman" w:cs="Times New Roman"/>
        </w:rPr>
      </w:pPr>
      <w:r w:rsidRPr="0074030B">
        <w:rPr>
          <w:rFonts w:eastAsia="Times New Roman" w:cs="Times New Roman"/>
          <w:szCs w:val="24"/>
        </w:rPr>
        <w:t>Запазва се</w:t>
      </w:r>
      <w:r w:rsidRPr="0074030B">
        <w:rPr>
          <w:rFonts w:eastAsia="Times New Roman" w:cs="Times New Roman"/>
        </w:rPr>
        <w:t xml:space="preserve"> периодът на изплащане на паричното обезщетение за бременност и раждане – 410 дни и размерът на обезщетението за отглеждане на дете до 2- годишна възраст – 380 лв.;</w:t>
      </w:r>
    </w:p>
    <w:p w:rsidR="00CE5D19" w:rsidRPr="0074030B" w:rsidRDefault="00CE5D19" w:rsidP="003403BF">
      <w:pPr>
        <w:numPr>
          <w:ilvl w:val="0"/>
          <w:numId w:val="27"/>
        </w:numPr>
        <w:shd w:val="clear" w:color="auto" w:fill="FFFFFF"/>
        <w:tabs>
          <w:tab w:val="left" w:pos="567"/>
        </w:tabs>
        <w:spacing w:before="120" w:after="0"/>
        <w:ind w:left="567" w:hanging="425"/>
        <w:rPr>
          <w:rFonts w:eastAsia="Times New Roman" w:cs="Times New Roman"/>
        </w:rPr>
      </w:pPr>
      <w:r w:rsidRPr="0074030B">
        <w:rPr>
          <w:rFonts w:eastAsia="Times New Roman" w:cs="Times New Roman"/>
        </w:rPr>
        <w:t>Запазва се минималният дневен размер на паричното обезщетение за безработица на 9 лв. и максималният дневен размер на 74,29 лв.;</w:t>
      </w:r>
    </w:p>
    <w:p w:rsidR="00CE5D19" w:rsidRPr="0074030B" w:rsidRDefault="00CE5D19" w:rsidP="003403BF">
      <w:pPr>
        <w:numPr>
          <w:ilvl w:val="0"/>
          <w:numId w:val="27"/>
        </w:numPr>
        <w:shd w:val="clear" w:color="auto" w:fill="FFFFFF"/>
        <w:tabs>
          <w:tab w:val="left" w:pos="567"/>
        </w:tabs>
        <w:spacing w:before="120" w:after="0"/>
        <w:ind w:left="567" w:hanging="425"/>
        <w:rPr>
          <w:rFonts w:eastAsia="Times New Roman" w:cs="Times New Roman"/>
          <w:szCs w:val="24"/>
        </w:rPr>
      </w:pPr>
      <w:r w:rsidRPr="0074030B">
        <w:rPr>
          <w:rFonts w:eastAsia="Times New Roman" w:cs="Times New Roman"/>
          <w:szCs w:val="24"/>
        </w:rPr>
        <w:t>Запазва се режимът на изплащане на паричните обезщетения за временна неработоспособност съгласно чл. 40, ал. 5 от КСО – първите три работни дни се изплащат от осигурителя в размер 70 на сто от среднодневното брутно възнаграждение за месеца, в който е настъпила временната неработоспособност, а от 4-тия ден на настъпване на неработоспособността се изплащат от ДОО;</w:t>
      </w:r>
    </w:p>
    <w:p w:rsidR="00EE49F0" w:rsidRDefault="00CE5D19" w:rsidP="003403BF">
      <w:pPr>
        <w:numPr>
          <w:ilvl w:val="0"/>
          <w:numId w:val="27"/>
        </w:numPr>
        <w:shd w:val="clear" w:color="auto" w:fill="FFFFFF"/>
        <w:tabs>
          <w:tab w:val="left" w:pos="567"/>
        </w:tabs>
        <w:spacing w:before="120" w:after="0"/>
        <w:ind w:left="567" w:hanging="425"/>
        <w:rPr>
          <w:rFonts w:eastAsia="Times New Roman" w:cs="Times New Roman"/>
          <w:szCs w:val="24"/>
        </w:rPr>
      </w:pPr>
      <w:r w:rsidRPr="0074030B">
        <w:rPr>
          <w:rFonts w:eastAsia="Times New Roman" w:cs="Times New Roman"/>
          <w:szCs w:val="24"/>
        </w:rPr>
        <w:t>Запазва се периодът, от който се изчисляват краткосрочните обезщетения при временна неработоспособност – 18 календарни месеца, при бременност и раждане и при безработица – 24 месеца;</w:t>
      </w:r>
    </w:p>
    <w:p w:rsidR="00CE5D19" w:rsidRPr="00EE49F0" w:rsidRDefault="00EE49F0" w:rsidP="00EE49F0">
      <w:pPr>
        <w:numPr>
          <w:ilvl w:val="0"/>
          <w:numId w:val="27"/>
        </w:numPr>
        <w:shd w:val="clear" w:color="auto" w:fill="FFFFFF"/>
        <w:tabs>
          <w:tab w:val="left" w:pos="567"/>
        </w:tabs>
        <w:spacing w:before="120" w:after="0"/>
        <w:ind w:left="567" w:hanging="425"/>
        <w:rPr>
          <w:rFonts w:eastAsia="Times New Roman" w:cs="Times New Roman"/>
          <w:szCs w:val="24"/>
        </w:rPr>
      </w:pPr>
      <w:r w:rsidRPr="00EE49F0">
        <w:rPr>
          <w:rFonts w:eastAsia="Times New Roman" w:cs="Times New Roman"/>
          <w:szCs w:val="24"/>
        </w:rPr>
        <w:t>Увеличава се максималният размер на гарантираните вземания на работниците и служителите при несъстоятелност на работодателя от 1 400 лв. на 1</w:t>
      </w:r>
      <w:r w:rsidRPr="00EE49F0">
        <w:rPr>
          <w:rFonts w:eastAsia="Times New Roman" w:cs="Times New Roman"/>
          <w:szCs w:val="24"/>
          <w:lang w:val="en-US"/>
        </w:rPr>
        <w:t> </w:t>
      </w:r>
      <w:r w:rsidRPr="00EE49F0">
        <w:rPr>
          <w:rFonts w:eastAsia="Times New Roman" w:cs="Times New Roman"/>
          <w:szCs w:val="24"/>
        </w:rPr>
        <w:t>525 лв.;</w:t>
      </w:r>
    </w:p>
    <w:p w:rsidR="00CE5D19" w:rsidRPr="0074030B" w:rsidRDefault="00CE5D19" w:rsidP="003403BF">
      <w:pPr>
        <w:numPr>
          <w:ilvl w:val="0"/>
          <w:numId w:val="27"/>
        </w:numPr>
        <w:shd w:val="clear" w:color="auto" w:fill="FFFFFF"/>
        <w:tabs>
          <w:tab w:val="left" w:pos="567"/>
        </w:tabs>
        <w:spacing w:before="120" w:after="0"/>
        <w:ind w:left="567" w:hanging="425"/>
        <w:rPr>
          <w:rFonts w:eastAsia="Times New Roman" w:cs="Times New Roman"/>
        </w:rPr>
      </w:pPr>
      <w:r w:rsidRPr="0074030B">
        <w:rPr>
          <w:rFonts w:eastAsia="Times New Roman" w:cs="Times New Roman"/>
          <w:szCs w:val="24"/>
        </w:rPr>
        <w:t>Запазва се</w:t>
      </w:r>
      <w:r w:rsidRPr="0074030B">
        <w:rPr>
          <w:rFonts w:eastAsia="Times New Roman" w:cs="Times New Roman"/>
        </w:rPr>
        <w:t xml:space="preserve"> размерът на еднократната помощ при смърт на осигурено лице – </w:t>
      </w:r>
      <w:r>
        <w:rPr>
          <w:rFonts w:eastAsia="Times New Roman" w:cs="Times New Roman"/>
        </w:rPr>
        <w:br/>
      </w:r>
      <w:r w:rsidRPr="0074030B">
        <w:rPr>
          <w:rFonts w:eastAsia="Times New Roman" w:cs="Times New Roman"/>
        </w:rPr>
        <w:t>540 лв.</w:t>
      </w:r>
    </w:p>
    <w:p w:rsidR="00CE5D19" w:rsidRPr="0074030B" w:rsidRDefault="00CE5D19" w:rsidP="00CE5D19">
      <w:pPr>
        <w:shd w:val="clear" w:color="auto" w:fill="FFFFFF"/>
        <w:spacing w:before="120" w:after="0"/>
        <w:rPr>
          <w:rFonts w:eastAsia="Batang" w:cs="Times New Roman"/>
        </w:rPr>
      </w:pPr>
      <w:r w:rsidRPr="0074030B">
        <w:rPr>
          <w:rFonts w:eastAsia="Batang" w:cs="Times New Roman"/>
          <w:szCs w:val="24"/>
        </w:rPr>
        <w:t>При</w:t>
      </w:r>
      <w:r w:rsidRPr="0074030B">
        <w:rPr>
          <w:rFonts w:eastAsia="Batang" w:cs="Times New Roman"/>
        </w:rPr>
        <w:t xml:space="preserve"> разработването на прогнозата за разходите за обезщетения и помощи за периода 2020-2022 г. са взети предвид повишението на размера на минималната работна заплата, броят на осигурените лица и осигурителният им доход.</w:t>
      </w:r>
    </w:p>
    <w:p w:rsidR="00CE5D19" w:rsidRPr="00034C85" w:rsidRDefault="00CE5D19" w:rsidP="00CE5D19">
      <w:pPr>
        <w:shd w:val="clear" w:color="auto" w:fill="FFFFFF"/>
        <w:spacing w:before="120" w:after="0"/>
        <w:rPr>
          <w:rFonts w:eastAsia="Batang" w:cs="Times New Roman"/>
        </w:rPr>
      </w:pPr>
      <w:r w:rsidRPr="0074030B">
        <w:rPr>
          <w:rFonts w:eastAsia="Batang" w:cs="Times New Roman"/>
        </w:rPr>
        <w:t xml:space="preserve">В </w:t>
      </w:r>
      <w:r w:rsidRPr="0074030B">
        <w:rPr>
          <w:rFonts w:eastAsia="Batang" w:cs="Times New Roman"/>
          <w:szCs w:val="24"/>
        </w:rPr>
        <w:t>резултат</w:t>
      </w:r>
      <w:r w:rsidRPr="0074030B">
        <w:rPr>
          <w:rFonts w:eastAsia="Batang" w:cs="Times New Roman"/>
        </w:rPr>
        <w:t xml:space="preserve"> на тези допускания разходите за обезщетения и помощи по бюджета на</w:t>
      </w:r>
      <w:r w:rsidR="008C235F">
        <w:rPr>
          <w:rFonts w:eastAsia="Batang" w:cs="Times New Roman"/>
        </w:rPr>
        <w:t xml:space="preserve"> ДОО през 2020 г. </w:t>
      </w:r>
      <w:r w:rsidR="008C235F" w:rsidRPr="00034C85">
        <w:rPr>
          <w:rFonts w:eastAsia="Batang" w:cs="Times New Roman"/>
        </w:rPr>
        <w:t>нарастват с 99,5</w:t>
      </w:r>
      <w:r w:rsidRPr="00034C85">
        <w:rPr>
          <w:rFonts w:eastAsia="Batang" w:cs="Times New Roman"/>
        </w:rPr>
        <w:t xml:space="preserve"> млн. лв. спрямо закона за 2019 г.</w:t>
      </w:r>
    </w:p>
    <w:p w:rsidR="00FE7F78" w:rsidRPr="00034C85" w:rsidRDefault="00FE7F78" w:rsidP="00F94B0B">
      <w:pPr>
        <w:spacing w:before="120" w:after="0"/>
        <w:rPr>
          <w:rFonts w:eastAsia="Batang"/>
          <w:highlight w:val="yellow"/>
        </w:rPr>
      </w:pPr>
    </w:p>
    <w:p w:rsidR="000141DB" w:rsidRPr="00A154E5" w:rsidRDefault="000141DB" w:rsidP="000141DB">
      <w:pPr>
        <w:shd w:val="clear" w:color="auto" w:fill="FFFFFF"/>
        <w:spacing w:before="120" w:after="0"/>
        <w:rPr>
          <w:rFonts w:eastAsia="Batang" w:cs="Times New Roman"/>
          <w:szCs w:val="24"/>
        </w:rPr>
      </w:pPr>
      <w:r w:rsidRPr="00034C85">
        <w:rPr>
          <w:rFonts w:eastAsia="Batang" w:cs="Times New Roman"/>
          <w:szCs w:val="24"/>
        </w:rPr>
        <w:t xml:space="preserve">В проектобюджета за 2020 г. за </w:t>
      </w:r>
      <w:r w:rsidRPr="00034C85">
        <w:rPr>
          <w:rFonts w:eastAsia="Batang" w:cs="Times New Roman"/>
          <w:b/>
          <w:i/>
          <w:szCs w:val="24"/>
        </w:rPr>
        <w:t>делегираните от държавата социални дейности в общините</w:t>
      </w:r>
      <w:r w:rsidRPr="00034C85">
        <w:rPr>
          <w:rFonts w:eastAsia="Batang" w:cs="Times New Roman"/>
          <w:szCs w:val="24"/>
        </w:rPr>
        <w:t xml:space="preserve"> са предвидени средства за текущи разходи в размер на 290,9 млн. лв., което е с 30,0 млн. лв. повече спрямо ЗДБРБ за 2019 г.  Разчетени са средства </w:t>
      </w:r>
      <w:r w:rsidRPr="00A154E5">
        <w:rPr>
          <w:rFonts w:eastAsia="Batang" w:cs="Times New Roman"/>
          <w:szCs w:val="24"/>
        </w:rPr>
        <w:t>за увеличение на разходите за персонал с 10 на сто.</w:t>
      </w:r>
    </w:p>
    <w:p w:rsidR="000141DB" w:rsidRPr="00A154E5" w:rsidRDefault="000141DB" w:rsidP="000141DB">
      <w:pPr>
        <w:shd w:val="clear" w:color="auto" w:fill="FFFFFF"/>
        <w:spacing w:before="120" w:after="0"/>
        <w:rPr>
          <w:rFonts w:eastAsia="Batang" w:cs="Times New Roman"/>
          <w:szCs w:val="24"/>
        </w:rPr>
      </w:pPr>
      <w:r w:rsidRPr="00A154E5">
        <w:rPr>
          <w:rFonts w:eastAsia="Batang" w:cs="Times New Roman"/>
          <w:szCs w:val="24"/>
        </w:rPr>
        <w:t>Стандартите са увеличени диференцирано, както следва:</w:t>
      </w:r>
    </w:p>
    <w:p w:rsidR="000141DB" w:rsidRPr="00A154E5" w:rsidRDefault="000141DB" w:rsidP="000141DB">
      <w:pPr>
        <w:pStyle w:val="ListParagraph"/>
        <w:numPr>
          <w:ilvl w:val="0"/>
          <w:numId w:val="38"/>
        </w:numPr>
        <w:spacing w:before="120" w:after="0"/>
      </w:pPr>
      <w:r w:rsidRPr="00A154E5">
        <w:t>за специализираните институции за предоставяне на социални услуги с 10%;</w:t>
      </w:r>
    </w:p>
    <w:p w:rsidR="000141DB" w:rsidRPr="00A154E5" w:rsidRDefault="000141DB" w:rsidP="000141DB">
      <w:pPr>
        <w:pStyle w:val="ListParagraph"/>
        <w:numPr>
          <w:ilvl w:val="0"/>
          <w:numId w:val="38"/>
        </w:numPr>
        <w:spacing w:before="120" w:after="0"/>
        <w:rPr>
          <w:rFonts w:eastAsia="Batang" w:cs="Times New Roman"/>
          <w:szCs w:val="24"/>
        </w:rPr>
      </w:pPr>
      <w:r w:rsidRPr="00A154E5">
        <w:t>за социалните услуги предоставяни в общността средното увеличение на стандартите е 14</w:t>
      </w:r>
      <w:r w:rsidR="00016BFE">
        <w:t xml:space="preserve">%. </w:t>
      </w:r>
      <w:r w:rsidRPr="00A154E5">
        <w:t>С най-голямо увеличение са стандартите за центровете за настаняване от семеен тип на деца/младежи с увреждания с потребност от постоянни медицински грижи - 20%. Стандартите за защитените жилища на лица с увреждания и за центровете за настаняване от семеен тип на деца/</w:t>
      </w:r>
      <w:r w:rsidR="00E0379B">
        <w:t>младежи с увреждания са увеличени</w:t>
      </w:r>
      <w:r w:rsidRPr="00A154E5">
        <w:t xml:space="preserve"> с 15%, а тези за дневните центрове за деца и/или пълнолет</w:t>
      </w:r>
      <w:r w:rsidR="00E0379B">
        <w:t>ни деца с увреждания са увеличени</w:t>
      </w:r>
      <w:r w:rsidRPr="00A154E5">
        <w:t xml:space="preserve"> с 10%.</w:t>
      </w:r>
      <w:r w:rsidR="00E0379B">
        <w:rPr>
          <w:rFonts w:eastAsia="Batang" w:cs="Times New Roman"/>
          <w:szCs w:val="24"/>
        </w:rPr>
        <w:t xml:space="preserve"> Увеличение</w:t>
      </w:r>
      <w:r w:rsidRPr="00A154E5">
        <w:rPr>
          <w:rFonts w:eastAsia="Batang" w:cs="Times New Roman"/>
          <w:szCs w:val="24"/>
        </w:rPr>
        <w:t xml:space="preserve"> с 8% имат стандартите за центровете за временно настаняване и за обществена подкрепа, за наблюдавано и преходно жилище, дневни центрове за стари хора и центрове за социална рехабилитация и интеграция, звено „Майка и бебе“, центровете за работа с деца на улицата и приютите.</w:t>
      </w:r>
    </w:p>
    <w:p w:rsidR="000141DB" w:rsidRPr="00A154E5" w:rsidRDefault="000141DB" w:rsidP="000141DB">
      <w:pPr>
        <w:shd w:val="clear" w:color="auto" w:fill="FFFFFF"/>
        <w:spacing w:before="120" w:after="0"/>
        <w:rPr>
          <w:rFonts w:eastAsia="Batang" w:cs="Times New Roman"/>
          <w:szCs w:val="24"/>
        </w:rPr>
      </w:pPr>
      <w:r w:rsidRPr="00A154E5">
        <w:rPr>
          <w:rFonts w:eastAsia="Batang" w:cs="Times New Roman"/>
          <w:szCs w:val="24"/>
        </w:rPr>
        <w:t>В проекта за 2020 г. месечната помощ на ученик е в размер на 35 лв., като запазва нивото си от 2019 г.</w:t>
      </w:r>
    </w:p>
    <w:p w:rsidR="000141DB" w:rsidRPr="00A154E5" w:rsidRDefault="000141DB" w:rsidP="000141DB">
      <w:pPr>
        <w:shd w:val="clear" w:color="auto" w:fill="FFFFFF"/>
        <w:spacing w:before="120" w:after="0"/>
        <w:rPr>
          <w:rFonts w:eastAsia="Batang" w:cs="Times New Roman"/>
          <w:szCs w:val="24"/>
        </w:rPr>
      </w:pPr>
      <w:r w:rsidRPr="00A154E5">
        <w:rPr>
          <w:rFonts w:eastAsia="Batang" w:cs="Times New Roman"/>
          <w:szCs w:val="24"/>
        </w:rPr>
        <w:t>Капацитет</w:t>
      </w:r>
      <w:r w:rsidR="00016BFE">
        <w:rPr>
          <w:rFonts w:eastAsia="Batang" w:cs="Times New Roman"/>
          <w:szCs w:val="24"/>
        </w:rPr>
        <w:t>ът</w:t>
      </w:r>
      <w:r w:rsidRPr="00A154E5">
        <w:rPr>
          <w:rFonts w:eastAsia="Batang" w:cs="Times New Roman"/>
          <w:szCs w:val="24"/>
        </w:rPr>
        <w:t xml:space="preserve"> на социалните институции е увеличен общо с 380 броя места, което е в резултат на намаление на местата в специализираните институции с 333 броя и увеличение със 713 броя на местата в социалните услуги, предоставяни в общността в резултат на извършени компенсирани промени през 2019 г.</w:t>
      </w:r>
    </w:p>
    <w:p w:rsidR="000141DB" w:rsidRPr="00A154E5" w:rsidRDefault="000141DB" w:rsidP="000141DB">
      <w:pPr>
        <w:shd w:val="clear" w:color="auto" w:fill="FFFFFF"/>
        <w:spacing w:before="120" w:after="0"/>
        <w:rPr>
          <w:rFonts w:eastAsia="Batang" w:cs="Times New Roman"/>
          <w:szCs w:val="24"/>
        </w:rPr>
      </w:pPr>
      <w:r w:rsidRPr="00A154E5">
        <w:rPr>
          <w:rFonts w:eastAsia="Batang" w:cs="Times New Roman"/>
          <w:szCs w:val="24"/>
        </w:rPr>
        <w:t xml:space="preserve">В прогнозата за 2021 г. за текущи разходи за делегираните от </w:t>
      </w:r>
      <w:r w:rsidRPr="00034C85">
        <w:rPr>
          <w:rFonts w:eastAsia="Batang" w:cs="Times New Roman"/>
          <w:szCs w:val="24"/>
        </w:rPr>
        <w:t xml:space="preserve">държавата социални дейности са предвидени средства по бюджетите на общините в общ размер на 304,3 млн. лв., като е планирано увеличение с 13,4 млн. лв. спрямо проектобюджета за 2020 </w:t>
      </w:r>
      <w:r w:rsidRPr="00A154E5">
        <w:rPr>
          <w:rFonts w:eastAsia="Batang" w:cs="Times New Roman"/>
          <w:szCs w:val="24"/>
        </w:rPr>
        <w:t>г. Предвижда се запазване на размера на средствата за 2022 г. на нивото от 2021 г.</w:t>
      </w:r>
    </w:p>
    <w:p w:rsidR="00EB148E" w:rsidRDefault="00EB148E" w:rsidP="00EB148E">
      <w:pPr>
        <w:spacing w:before="120" w:after="0"/>
      </w:pPr>
    </w:p>
    <w:p w:rsidR="00C345C4" w:rsidRPr="009D2915" w:rsidRDefault="00FE7F78" w:rsidP="00FE7F78">
      <w:pPr>
        <w:pStyle w:val="Heading4"/>
        <w:rPr>
          <w:rFonts w:eastAsia="Times New Roman"/>
        </w:rPr>
      </w:pPr>
      <w:r w:rsidRPr="00FE7F78">
        <w:rPr>
          <w:rFonts w:eastAsia="Times New Roman"/>
        </w:rPr>
        <w:t>Политика в областта на пазара на труда, свободното движение на работници и трудовата миграция</w:t>
      </w:r>
    </w:p>
    <w:p w:rsidR="00FE7F78" w:rsidRDefault="00FE7F78" w:rsidP="009F7A94">
      <w:pPr>
        <w:spacing w:after="120"/>
        <w:rPr>
          <w:rFonts w:eastAsia="Batang"/>
          <w:highlight w:val="yellow"/>
        </w:rPr>
      </w:pPr>
    </w:p>
    <w:p w:rsidR="008F2DFB" w:rsidRPr="0074030B" w:rsidRDefault="008F2DFB" w:rsidP="008F2DFB">
      <w:pPr>
        <w:spacing w:after="120"/>
        <w:rPr>
          <w:rFonts w:eastAsia="Batang" w:cs="Times New Roman"/>
        </w:rPr>
      </w:pPr>
      <w:r w:rsidRPr="0074030B">
        <w:rPr>
          <w:rFonts w:eastAsia="Batang" w:cs="Times New Roman"/>
        </w:rPr>
        <w:t>Сред основните приоритети на националната политика по заетостта, които се реализират чрез ежегодните Национални планове за действие по заетостта, на първо място е повишаване квалификацията на работна сила според потребностите на икономиката и увеличаване на заетостта на неравнопоставените групи на пазара на труда, приоритетно от най-слабо развитите райони. На второ място, но също от съществено значение е повишено</w:t>
      </w:r>
      <w:r w:rsidR="00016BFE">
        <w:rPr>
          <w:rFonts w:eastAsia="Batang" w:cs="Times New Roman"/>
        </w:rPr>
        <w:t>то</w:t>
      </w:r>
      <w:r w:rsidRPr="0074030B">
        <w:rPr>
          <w:rFonts w:eastAsia="Batang" w:cs="Times New Roman"/>
        </w:rPr>
        <w:t xml:space="preserve"> по количество предлагане на работна сила. Това предполага активиране на неактивните лица, намаляване на престоя без работа на безработните и поддържане на трудовите навици на най-уязвимите групи на пазара на труда. Специално за продължително безработните лица се изисква предоставяне на комплексни услуги за активиране, информиране, консултиране, обучение и заетост.</w:t>
      </w:r>
    </w:p>
    <w:p w:rsidR="008F2DFB" w:rsidRPr="008F2DFB" w:rsidRDefault="008F2DFB" w:rsidP="008F2DFB">
      <w:pPr>
        <w:spacing w:after="120"/>
        <w:rPr>
          <w:rFonts w:eastAsia="Batang" w:cs="Times New Roman"/>
        </w:rPr>
      </w:pPr>
      <w:r w:rsidRPr="0074030B">
        <w:rPr>
          <w:rFonts w:eastAsia="Batang" w:cs="Times New Roman"/>
        </w:rPr>
        <w:t>Прилагането на интегриран подход между отделните политики – икономическа, социална и политика по заетостта и свободното движение на работници е в основата на постигането на заложените цели. Разкриването на работни места е в пряка зависимост от провежданата икономическа, финансова и данъчна политика. Осигуряването на качествена работна сила е свързано с провежданата политика от Министерството на образованието и науката. Намаляване</w:t>
      </w:r>
      <w:r>
        <w:rPr>
          <w:rFonts w:eastAsia="Batang" w:cs="Times New Roman"/>
        </w:rPr>
        <w:t>то</w:t>
      </w:r>
      <w:r w:rsidRPr="0074030B">
        <w:rPr>
          <w:rFonts w:eastAsia="Batang" w:cs="Times New Roman"/>
        </w:rPr>
        <w:t xml:space="preserve"> на регионалните различия в страната по отношение на заетостта и безработицата е в тясна връзка с изпълняваните политики от Министерството на регионалното развитие и благоустройството, както и с политиката за развитие на селските региони.</w:t>
      </w:r>
    </w:p>
    <w:p w:rsidR="00E93829" w:rsidRDefault="00E93829" w:rsidP="009F7A94">
      <w:pPr>
        <w:spacing w:after="120"/>
        <w:rPr>
          <w:rFonts w:eastAsia="Batang"/>
          <w:highlight w:val="yellow"/>
        </w:rPr>
      </w:pPr>
    </w:p>
    <w:p w:rsidR="00FE7F78" w:rsidRDefault="00435222" w:rsidP="00DA5112">
      <w:pPr>
        <w:spacing w:after="120"/>
        <w:jc w:val="left"/>
        <w:rPr>
          <w:rFonts w:cs="Times New Roman"/>
          <w:b/>
          <w:sz w:val="20"/>
          <w:szCs w:val="20"/>
        </w:rPr>
      </w:pPr>
      <w:r w:rsidRPr="004627C6">
        <w:rPr>
          <w:rFonts w:cs="Times New Roman"/>
          <w:b/>
          <w:sz w:val="20"/>
          <w:szCs w:val="20"/>
        </w:rPr>
        <w:t>КЛЮЧОВИ ИНДИКАТОРИ ЗА ИЗПЪЛНЕНИЕ И ЦЕЛЕВИ СТОЙНОСТИ</w:t>
      </w:r>
    </w:p>
    <w:tbl>
      <w:tblPr>
        <w:tblW w:w="0" w:type="auto"/>
        <w:jc w:val="center"/>
        <w:tblBorders>
          <w:top w:val="single" w:sz="8" w:space="0" w:color="000000"/>
          <w:bottom w:val="single" w:sz="8" w:space="0" w:color="000000"/>
        </w:tblBorders>
        <w:tblCellMar>
          <w:left w:w="10" w:type="dxa"/>
          <w:right w:w="10" w:type="dxa"/>
        </w:tblCellMar>
        <w:tblLook w:val="0000" w:firstRow="0" w:lastRow="0" w:firstColumn="0" w:lastColumn="0" w:noHBand="0" w:noVBand="0"/>
      </w:tblPr>
      <w:tblGrid>
        <w:gridCol w:w="3909"/>
        <w:gridCol w:w="1072"/>
        <w:gridCol w:w="1111"/>
        <w:gridCol w:w="842"/>
        <w:gridCol w:w="1068"/>
        <w:gridCol w:w="1068"/>
      </w:tblGrid>
      <w:tr w:rsidR="008F2DFB" w:rsidRPr="0074030B" w:rsidTr="00552695">
        <w:trPr>
          <w:trHeight w:val="50"/>
          <w:tblHeader/>
          <w:jc w:val="center"/>
        </w:trPr>
        <w:tc>
          <w:tcPr>
            <w:tcW w:w="0" w:type="auto"/>
            <w:shd w:val="clear" w:color="auto" w:fill="auto"/>
            <w:tcMar>
              <w:top w:w="0" w:type="dxa"/>
              <w:left w:w="70" w:type="dxa"/>
              <w:bottom w:w="0" w:type="dxa"/>
              <w:right w:w="70" w:type="dxa"/>
            </w:tcMar>
            <w:vAlign w:val="bottom"/>
          </w:tcPr>
          <w:p w:rsidR="008F2DFB" w:rsidRPr="0074030B" w:rsidRDefault="008F2DFB" w:rsidP="0082145B">
            <w:pPr>
              <w:suppressAutoHyphens/>
              <w:autoSpaceDN w:val="0"/>
              <w:spacing w:before="120"/>
              <w:ind w:left="189" w:firstLine="189"/>
              <w:jc w:val="center"/>
              <w:textAlignment w:val="baseline"/>
              <w:rPr>
                <w:rFonts w:eastAsia="Batang" w:cs="Times New Roman"/>
                <w:b/>
                <w:bCs/>
                <w:i/>
                <w:color w:val="000000"/>
                <w:sz w:val="18"/>
                <w:szCs w:val="18"/>
                <w:lang w:eastAsia="ko-KR"/>
              </w:rPr>
            </w:pPr>
            <w:r w:rsidRPr="0074030B">
              <w:rPr>
                <w:rFonts w:eastAsia="Batang" w:cs="Times New Roman"/>
                <w:b/>
                <w:bCs/>
                <w:i/>
                <w:color w:val="000000"/>
                <w:sz w:val="18"/>
                <w:szCs w:val="18"/>
                <w:lang w:eastAsia="ko-KR"/>
              </w:rPr>
              <w:t>Политика в областта на пазара на труда, свободното движение на работници и трудовата миграция</w:t>
            </w:r>
          </w:p>
        </w:tc>
        <w:tc>
          <w:tcPr>
            <w:tcW w:w="0" w:type="auto"/>
            <w:vMerge w:val="restart"/>
            <w:shd w:val="clear" w:color="auto" w:fill="F2F2F2"/>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Batang" w:cs="Times New Roman"/>
                <w:b/>
                <w:bCs/>
                <w:color w:val="000000"/>
                <w:sz w:val="18"/>
                <w:szCs w:val="18"/>
                <w:lang w:eastAsia="ko-KR"/>
              </w:rPr>
            </w:pPr>
          </w:p>
          <w:p w:rsidR="008F2DFB" w:rsidRPr="0074030B" w:rsidRDefault="008F2DFB" w:rsidP="0082145B">
            <w:pPr>
              <w:suppressAutoHyphens/>
              <w:autoSpaceDN w:val="0"/>
              <w:jc w:val="center"/>
              <w:textAlignment w:val="baseline"/>
              <w:rPr>
                <w:rFonts w:eastAsia="Batang" w:cs="Times New Roman"/>
                <w:b/>
                <w:bCs/>
                <w:color w:val="000000"/>
                <w:sz w:val="18"/>
                <w:szCs w:val="18"/>
                <w:lang w:eastAsia="ko-KR"/>
              </w:rPr>
            </w:pPr>
            <w:r w:rsidRPr="0074030B">
              <w:rPr>
                <w:rFonts w:eastAsia="Batang" w:cs="Times New Roman"/>
                <w:b/>
                <w:color w:val="000000"/>
                <w:sz w:val="18"/>
                <w:szCs w:val="18"/>
                <w:lang w:eastAsia="ko-KR"/>
              </w:rPr>
              <w:t>Мерна единица</w:t>
            </w:r>
          </w:p>
        </w:tc>
        <w:tc>
          <w:tcPr>
            <w:tcW w:w="0" w:type="auto"/>
            <w:gridSpan w:val="4"/>
            <w:tcBorders>
              <w:top w:val="single" w:sz="8" w:space="0" w:color="000000"/>
              <w:bottom w:val="single" w:sz="8" w:space="0" w:color="000000"/>
            </w:tcBorders>
            <w:shd w:val="clear" w:color="auto" w:fill="auto"/>
            <w:vAlign w:val="center"/>
          </w:tcPr>
          <w:p w:rsidR="008F2DFB" w:rsidRPr="0074030B" w:rsidRDefault="008F2DFB" w:rsidP="0082145B">
            <w:pPr>
              <w:suppressAutoHyphens/>
              <w:autoSpaceDN w:val="0"/>
              <w:spacing w:before="120"/>
              <w:jc w:val="center"/>
              <w:textAlignment w:val="baseline"/>
              <w:rPr>
                <w:rFonts w:eastAsia="Batang" w:cs="Times New Roman"/>
                <w:b/>
                <w:color w:val="000000"/>
                <w:sz w:val="18"/>
                <w:szCs w:val="18"/>
                <w:lang w:eastAsia="ko-KR"/>
              </w:rPr>
            </w:pPr>
            <w:r w:rsidRPr="0074030B">
              <w:rPr>
                <w:rFonts w:eastAsia="Batang" w:cs="Times New Roman"/>
                <w:b/>
                <w:color w:val="000000"/>
                <w:sz w:val="18"/>
                <w:szCs w:val="18"/>
                <w:lang w:eastAsia="ko-KR"/>
              </w:rPr>
              <w:t>Целева стойност</w:t>
            </w:r>
          </w:p>
        </w:tc>
      </w:tr>
      <w:tr w:rsidR="008F2DFB" w:rsidRPr="0074030B" w:rsidTr="00DD7057">
        <w:trPr>
          <w:trHeight w:val="50"/>
          <w:tblHeader/>
          <w:jc w:val="center"/>
        </w:trPr>
        <w:tc>
          <w:tcPr>
            <w:tcW w:w="0" w:type="auto"/>
            <w:tcBorders>
              <w:bottom w:val="single" w:sz="4" w:space="0" w:color="auto"/>
            </w:tcBorders>
            <w:shd w:val="clear" w:color="auto" w:fill="auto"/>
            <w:tcMar>
              <w:top w:w="0" w:type="dxa"/>
              <w:left w:w="70" w:type="dxa"/>
              <w:bottom w:w="0" w:type="dxa"/>
              <w:right w:w="70" w:type="dxa"/>
            </w:tcMar>
            <w:vAlign w:val="bottom"/>
          </w:tcPr>
          <w:p w:rsidR="008F2DFB" w:rsidRPr="0074030B" w:rsidRDefault="008F2DFB" w:rsidP="0082145B">
            <w:pPr>
              <w:suppressAutoHyphens/>
              <w:autoSpaceDN w:val="0"/>
              <w:spacing w:line="480" w:lineRule="auto"/>
              <w:jc w:val="center"/>
              <w:textAlignment w:val="baseline"/>
              <w:rPr>
                <w:rFonts w:eastAsia="Batang" w:cs="Times New Roman"/>
                <w:b/>
                <w:color w:val="000000"/>
                <w:sz w:val="18"/>
                <w:szCs w:val="18"/>
                <w:lang w:eastAsia="ko-KR"/>
              </w:rPr>
            </w:pPr>
            <w:r w:rsidRPr="0074030B">
              <w:rPr>
                <w:rFonts w:eastAsia="Batang" w:cs="Times New Roman"/>
                <w:b/>
                <w:color w:val="000000"/>
                <w:sz w:val="18"/>
                <w:szCs w:val="18"/>
                <w:lang w:eastAsia="ko-KR"/>
              </w:rPr>
              <w:t>Наименование на индикатора</w:t>
            </w:r>
          </w:p>
        </w:tc>
        <w:tc>
          <w:tcPr>
            <w:tcW w:w="0" w:type="auto"/>
            <w:vMerge/>
            <w:tcBorders>
              <w:bottom w:val="single" w:sz="4" w:space="0" w:color="auto"/>
            </w:tcBorders>
            <w:shd w:val="clear" w:color="auto" w:fill="F2F2F2"/>
            <w:tcMar>
              <w:top w:w="0" w:type="dxa"/>
              <w:left w:w="70" w:type="dxa"/>
              <w:bottom w:w="0" w:type="dxa"/>
              <w:right w:w="70" w:type="dxa"/>
            </w:tcMar>
          </w:tcPr>
          <w:p w:rsidR="008F2DFB" w:rsidRPr="0074030B" w:rsidRDefault="008F2DFB" w:rsidP="0082145B">
            <w:pPr>
              <w:suppressAutoHyphens/>
              <w:autoSpaceDN w:val="0"/>
              <w:jc w:val="center"/>
              <w:textAlignment w:val="baseline"/>
              <w:rPr>
                <w:rFonts w:eastAsia="Batang" w:cs="Times New Roman"/>
                <w:b/>
                <w:color w:val="000000"/>
                <w:sz w:val="18"/>
                <w:szCs w:val="18"/>
                <w:lang w:eastAsia="ko-KR"/>
              </w:rPr>
            </w:pPr>
          </w:p>
        </w:tc>
        <w:tc>
          <w:tcPr>
            <w:tcW w:w="0" w:type="auto"/>
            <w:tcBorders>
              <w:top w:val="single" w:sz="8" w:space="0" w:color="000000"/>
              <w:bottom w:val="single" w:sz="4" w:space="0" w:color="auto"/>
            </w:tcBorders>
            <w:shd w:val="clear" w:color="auto" w:fill="auto"/>
            <w:tcMar>
              <w:top w:w="0" w:type="dxa"/>
              <w:left w:w="70" w:type="dxa"/>
              <w:bottom w:w="0" w:type="dxa"/>
              <w:right w:w="70" w:type="dxa"/>
            </w:tcMar>
            <w:vAlign w:val="bottom"/>
          </w:tcPr>
          <w:p w:rsidR="008F2DFB" w:rsidRPr="0074030B" w:rsidRDefault="008F2DFB" w:rsidP="0082145B">
            <w:pPr>
              <w:suppressAutoHyphens/>
              <w:autoSpaceDN w:val="0"/>
              <w:jc w:val="center"/>
              <w:textAlignment w:val="baseline"/>
              <w:rPr>
                <w:rFonts w:eastAsia="Batang" w:cs="Times New Roman"/>
                <w:b/>
                <w:i/>
                <w:iCs/>
                <w:color w:val="000000"/>
                <w:sz w:val="18"/>
                <w:szCs w:val="18"/>
                <w:lang w:eastAsia="ko-KR"/>
              </w:rPr>
            </w:pPr>
            <w:r w:rsidRPr="0074030B">
              <w:rPr>
                <w:rFonts w:eastAsia="Batang" w:cs="Times New Roman"/>
                <w:b/>
                <w:i/>
                <w:iCs/>
                <w:color w:val="000000"/>
                <w:sz w:val="18"/>
                <w:szCs w:val="18"/>
                <w:lang w:eastAsia="ko-KR"/>
              </w:rPr>
              <w:t>Програма 2019 г.</w:t>
            </w:r>
          </w:p>
        </w:tc>
        <w:tc>
          <w:tcPr>
            <w:tcW w:w="0" w:type="auto"/>
            <w:tcBorders>
              <w:top w:val="single" w:sz="8" w:space="0" w:color="000000"/>
              <w:bottom w:val="single" w:sz="4" w:space="0" w:color="auto"/>
            </w:tcBorders>
            <w:shd w:val="clear" w:color="auto" w:fill="auto"/>
            <w:vAlign w:val="bottom"/>
          </w:tcPr>
          <w:p w:rsidR="008F2DFB" w:rsidRPr="0074030B" w:rsidRDefault="008F2DFB" w:rsidP="0082145B">
            <w:pPr>
              <w:suppressAutoHyphens/>
              <w:autoSpaceDN w:val="0"/>
              <w:jc w:val="center"/>
              <w:textAlignment w:val="baseline"/>
              <w:rPr>
                <w:rFonts w:eastAsia="Batang" w:cs="Times New Roman"/>
                <w:b/>
                <w:i/>
                <w:iCs/>
                <w:color w:val="000000"/>
                <w:sz w:val="18"/>
                <w:szCs w:val="18"/>
                <w:lang w:eastAsia="ko-KR"/>
              </w:rPr>
            </w:pPr>
            <w:r w:rsidRPr="0074030B">
              <w:rPr>
                <w:rFonts w:eastAsia="Batang" w:cs="Times New Roman"/>
                <w:b/>
                <w:i/>
                <w:iCs/>
                <w:color w:val="000000"/>
                <w:sz w:val="18"/>
                <w:szCs w:val="18"/>
                <w:lang w:eastAsia="ko-KR"/>
              </w:rPr>
              <w:t>Проект 2020</w:t>
            </w:r>
            <w:r>
              <w:rPr>
                <w:rFonts w:eastAsia="Batang" w:cs="Times New Roman"/>
                <w:b/>
                <w:i/>
                <w:iCs/>
                <w:color w:val="000000"/>
                <w:sz w:val="18"/>
                <w:szCs w:val="18"/>
                <w:lang w:eastAsia="ko-KR"/>
              </w:rPr>
              <w:t xml:space="preserve"> </w:t>
            </w:r>
            <w:r w:rsidRPr="0074030B">
              <w:rPr>
                <w:rFonts w:eastAsia="Batang" w:cs="Times New Roman"/>
                <w:b/>
                <w:i/>
                <w:iCs/>
                <w:color w:val="000000"/>
                <w:sz w:val="18"/>
                <w:szCs w:val="18"/>
                <w:lang w:eastAsia="ko-KR"/>
              </w:rPr>
              <w:t>г.</w:t>
            </w:r>
          </w:p>
        </w:tc>
        <w:tc>
          <w:tcPr>
            <w:tcW w:w="0" w:type="auto"/>
            <w:tcBorders>
              <w:top w:val="single" w:sz="8" w:space="0" w:color="000000"/>
              <w:bottom w:val="single" w:sz="4" w:space="0" w:color="auto"/>
            </w:tcBorders>
            <w:shd w:val="clear" w:color="auto" w:fill="auto"/>
            <w:tcMar>
              <w:top w:w="0" w:type="dxa"/>
              <w:left w:w="70" w:type="dxa"/>
              <w:bottom w:w="0" w:type="dxa"/>
              <w:right w:w="70" w:type="dxa"/>
            </w:tcMar>
            <w:vAlign w:val="bottom"/>
          </w:tcPr>
          <w:p w:rsidR="008F2DFB" w:rsidRPr="0074030B" w:rsidRDefault="008F2DFB" w:rsidP="0082145B">
            <w:pPr>
              <w:suppressAutoHyphens/>
              <w:autoSpaceDN w:val="0"/>
              <w:jc w:val="center"/>
              <w:textAlignment w:val="baseline"/>
              <w:rPr>
                <w:rFonts w:eastAsia="Batang" w:cs="Times New Roman"/>
                <w:b/>
                <w:i/>
                <w:iCs/>
                <w:color w:val="000000"/>
                <w:sz w:val="18"/>
                <w:szCs w:val="18"/>
                <w:lang w:eastAsia="ko-KR"/>
              </w:rPr>
            </w:pPr>
            <w:r w:rsidRPr="0074030B">
              <w:rPr>
                <w:rFonts w:eastAsia="Batang" w:cs="Times New Roman"/>
                <w:b/>
                <w:i/>
                <w:iCs/>
                <w:color w:val="000000"/>
                <w:sz w:val="18"/>
                <w:szCs w:val="18"/>
                <w:lang w:eastAsia="ko-KR"/>
              </w:rPr>
              <w:t>Прогноза 2021</w:t>
            </w:r>
            <w:r>
              <w:rPr>
                <w:rFonts w:eastAsia="Batang" w:cs="Times New Roman"/>
                <w:b/>
                <w:i/>
                <w:iCs/>
                <w:color w:val="000000"/>
                <w:sz w:val="18"/>
                <w:szCs w:val="18"/>
                <w:lang w:eastAsia="ko-KR"/>
              </w:rPr>
              <w:t xml:space="preserve"> </w:t>
            </w:r>
            <w:r w:rsidRPr="0074030B">
              <w:rPr>
                <w:rFonts w:eastAsia="Batang" w:cs="Times New Roman"/>
                <w:b/>
                <w:i/>
                <w:iCs/>
                <w:color w:val="000000"/>
                <w:sz w:val="18"/>
                <w:szCs w:val="18"/>
                <w:lang w:eastAsia="ko-KR"/>
              </w:rPr>
              <w:t>г.</w:t>
            </w:r>
          </w:p>
        </w:tc>
        <w:tc>
          <w:tcPr>
            <w:tcW w:w="0" w:type="auto"/>
            <w:tcBorders>
              <w:top w:val="single" w:sz="8" w:space="0" w:color="000000"/>
              <w:bottom w:val="single" w:sz="4" w:space="0" w:color="auto"/>
            </w:tcBorders>
            <w:shd w:val="clear" w:color="auto" w:fill="auto"/>
            <w:tcMar>
              <w:top w:w="0" w:type="dxa"/>
              <w:left w:w="70" w:type="dxa"/>
              <w:bottom w:w="0" w:type="dxa"/>
              <w:right w:w="70" w:type="dxa"/>
            </w:tcMar>
            <w:vAlign w:val="bottom"/>
          </w:tcPr>
          <w:p w:rsidR="008F2DFB" w:rsidRPr="0074030B" w:rsidRDefault="008F2DFB" w:rsidP="0082145B">
            <w:pPr>
              <w:suppressAutoHyphens/>
              <w:autoSpaceDN w:val="0"/>
              <w:jc w:val="center"/>
              <w:textAlignment w:val="baseline"/>
              <w:rPr>
                <w:rFonts w:eastAsia="Batang" w:cs="Times New Roman"/>
                <w:b/>
                <w:i/>
                <w:iCs/>
                <w:color w:val="000000"/>
                <w:sz w:val="18"/>
                <w:szCs w:val="18"/>
                <w:lang w:eastAsia="ko-KR"/>
              </w:rPr>
            </w:pPr>
            <w:r w:rsidRPr="0074030B">
              <w:rPr>
                <w:rFonts w:eastAsia="Batang" w:cs="Times New Roman"/>
                <w:b/>
                <w:i/>
                <w:iCs/>
                <w:color w:val="000000"/>
                <w:sz w:val="18"/>
                <w:szCs w:val="18"/>
                <w:lang w:eastAsia="ko-KR"/>
              </w:rPr>
              <w:t>Прогноза 2022</w:t>
            </w:r>
            <w:r>
              <w:rPr>
                <w:rFonts w:eastAsia="Batang" w:cs="Times New Roman"/>
                <w:b/>
                <w:i/>
                <w:iCs/>
                <w:color w:val="000000"/>
                <w:sz w:val="18"/>
                <w:szCs w:val="18"/>
                <w:lang w:eastAsia="ko-KR"/>
              </w:rPr>
              <w:t xml:space="preserve"> </w:t>
            </w:r>
            <w:r w:rsidRPr="0074030B">
              <w:rPr>
                <w:rFonts w:eastAsia="Batang" w:cs="Times New Roman"/>
                <w:b/>
                <w:i/>
                <w:iCs/>
                <w:color w:val="000000"/>
                <w:sz w:val="18"/>
                <w:szCs w:val="18"/>
                <w:lang w:eastAsia="ko-KR"/>
              </w:rPr>
              <w:t>г.</w:t>
            </w:r>
          </w:p>
        </w:tc>
      </w:tr>
      <w:tr w:rsidR="008F2DFB" w:rsidRPr="0074030B" w:rsidTr="00DD7057">
        <w:trPr>
          <w:trHeight w:val="60"/>
          <w:jc w:val="center"/>
        </w:trPr>
        <w:tc>
          <w:tcPr>
            <w:tcW w:w="0" w:type="auto"/>
            <w:tcBorders>
              <w:top w:val="single" w:sz="4" w:space="0" w:color="auto"/>
              <w:bottom w:val="nil"/>
            </w:tcBorders>
            <w:shd w:val="clear" w:color="auto" w:fill="auto"/>
            <w:tcMar>
              <w:top w:w="0" w:type="dxa"/>
              <w:left w:w="70" w:type="dxa"/>
              <w:bottom w:w="0" w:type="dxa"/>
              <w:right w:w="70" w:type="dxa"/>
            </w:tcMar>
            <w:vAlign w:val="center"/>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1. Равнище на регистрираната безработица</w:t>
            </w:r>
          </w:p>
        </w:tc>
        <w:tc>
          <w:tcPr>
            <w:tcW w:w="0" w:type="auto"/>
            <w:tcBorders>
              <w:top w:val="single" w:sz="4" w:space="0" w:color="auto"/>
              <w:bottom w:val="nil"/>
            </w:tcBorders>
            <w:shd w:val="clear" w:color="auto" w:fill="F2F2F2"/>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Batang" w:cs="Times New Roman"/>
                <w:bCs/>
                <w:color w:val="000000"/>
                <w:sz w:val="18"/>
                <w:szCs w:val="18"/>
                <w:lang w:eastAsia="ko-KR"/>
              </w:rPr>
            </w:pPr>
            <w:r w:rsidRPr="0074030B">
              <w:rPr>
                <w:rFonts w:eastAsia="Times New Roman" w:cs="Times New Roman"/>
                <w:sz w:val="18"/>
                <w:szCs w:val="18"/>
              </w:rPr>
              <w:t>%</w:t>
            </w:r>
          </w:p>
        </w:tc>
        <w:tc>
          <w:tcPr>
            <w:tcW w:w="0" w:type="auto"/>
            <w:tcBorders>
              <w:top w:val="single" w:sz="4" w:space="0" w:color="auto"/>
              <w:bottom w:val="nil"/>
            </w:tcBorders>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6,0</w:t>
            </w:r>
          </w:p>
        </w:tc>
        <w:tc>
          <w:tcPr>
            <w:tcW w:w="0" w:type="auto"/>
            <w:tcBorders>
              <w:top w:val="single" w:sz="4" w:space="0" w:color="auto"/>
              <w:bottom w:val="nil"/>
            </w:tcBorders>
            <w:shd w:val="clear" w:color="auto" w:fill="auto"/>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5,6</w:t>
            </w:r>
          </w:p>
        </w:tc>
        <w:tc>
          <w:tcPr>
            <w:tcW w:w="0" w:type="auto"/>
            <w:tcBorders>
              <w:top w:val="single" w:sz="4" w:space="0" w:color="auto"/>
              <w:bottom w:val="nil"/>
            </w:tcBorders>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5,7</w:t>
            </w:r>
          </w:p>
        </w:tc>
        <w:tc>
          <w:tcPr>
            <w:tcW w:w="0" w:type="auto"/>
            <w:tcBorders>
              <w:top w:val="single" w:sz="4" w:space="0" w:color="auto"/>
              <w:bottom w:val="nil"/>
            </w:tcBorders>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6,2</w:t>
            </w:r>
          </w:p>
        </w:tc>
      </w:tr>
      <w:tr w:rsidR="008F2DFB" w:rsidRPr="0074030B" w:rsidTr="0082145B">
        <w:trPr>
          <w:trHeight w:val="271"/>
          <w:jc w:val="center"/>
        </w:trPr>
        <w:tc>
          <w:tcPr>
            <w:tcW w:w="0" w:type="auto"/>
            <w:tcBorders>
              <w:top w:val="nil"/>
            </w:tcBorders>
            <w:shd w:val="clear" w:color="auto" w:fill="auto"/>
            <w:tcMar>
              <w:top w:w="0" w:type="dxa"/>
              <w:left w:w="70" w:type="dxa"/>
              <w:bottom w:w="0" w:type="dxa"/>
              <w:right w:w="70" w:type="dxa"/>
            </w:tcMar>
            <w:vAlign w:val="center"/>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2. Регистрирани безработни лица</w:t>
            </w:r>
          </w:p>
        </w:tc>
        <w:tc>
          <w:tcPr>
            <w:tcW w:w="0" w:type="auto"/>
            <w:tcBorders>
              <w:top w:val="nil"/>
            </w:tcBorders>
            <w:shd w:val="clear" w:color="auto" w:fill="F2F2F2"/>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Batang" w:cs="Times New Roman"/>
                <w:bCs/>
                <w:color w:val="000000"/>
                <w:sz w:val="18"/>
                <w:szCs w:val="18"/>
                <w:lang w:eastAsia="ko-KR"/>
              </w:rPr>
            </w:pPr>
            <w:r w:rsidRPr="0074030B">
              <w:rPr>
                <w:rFonts w:eastAsia="Times New Roman" w:cs="Times New Roman"/>
                <w:sz w:val="18"/>
                <w:szCs w:val="18"/>
              </w:rPr>
              <w:t>ср.мес.бр.</w:t>
            </w:r>
          </w:p>
        </w:tc>
        <w:tc>
          <w:tcPr>
            <w:tcW w:w="0" w:type="auto"/>
            <w:tcBorders>
              <w:top w:val="nil"/>
            </w:tcBorders>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198 000</w:t>
            </w:r>
          </w:p>
        </w:tc>
        <w:tc>
          <w:tcPr>
            <w:tcW w:w="0" w:type="auto"/>
            <w:tcBorders>
              <w:top w:val="nil"/>
            </w:tcBorders>
            <w:shd w:val="clear" w:color="auto" w:fill="auto"/>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1</w:t>
            </w:r>
            <w:r w:rsidRPr="0074030B">
              <w:rPr>
                <w:rFonts w:eastAsia="Times New Roman" w:cs="Times New Roman"/>
                <w:bCs/>
                <w:sz w:val="18"/>
                <w:szCs w:val="18"/>
                <w:lang w:val="en-US"/>
              </w:rPr>
              <w:t>84</w:t>
            </w:r>
            <w:r w:rsidRPr="0074030B">
              <w:rPr>
                <w:rFonts w:eastAsia="Times New Roman" w:cs="Times New Roman"/>
                <w:bCs/>
                <w:sz w:val="18"/>
                <w:szCs w:val="18"/>
              </w:rPr>
              <w:t xml:space="preserve"> 000</w:t>
            </w:r>
          </w:p>
        </w:tc>
        <w:tc>
          <w:tcPr>
            <w:tcW w:w="0" w:type="auto"/>
            <w:tcBorders>
              <w:top w:val="nil"/>
            </w:tcBorders>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188 000</w:t>
            </w:r>
          </w:p>
        </w:tc>
        <w:tc>
          <w:tcPr>
            <w:tcW w:w="0" w:type="auto"/>
            <w:tcBorders>
              <w:top w:val="nil"/>
            </w:tcBorders>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190 000</w:t>
            </w:r>
          </w:p>
        </w:tc>
      </w:tr>
      <w:tr w:rsidR="008F2DFB" w:rsidRPr="0074030B" w:rsidTr="0082145B">
        <w:trPr>
          <w:trHeight w:val="271"/>
          <w:jc w:val="center"/>
        </w:trPr>
        <w:tc>
          <w:tcPr>
            <w:tcW w:w="0" w:type="auto"/>
            <w:shd w:val="clear" w:color="auto" w:fill="auto"/>
            <w:tcMar>
              <w:top w:w="0" w:type="dxa"/>
              <w:left w:w="70" w:type="dxa"/>
              <w:bottom w:w="0" w:type="dxa"/>
              <w:right w:w="70" w:type="dxa"/>
            </w:tcMar>
            <w:vAlign w:val="center"/>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 xml:space="preserve">3. Регистрирани  продължително безработни лица </w:t>
            </w:r>
          </w:p>
        </w:tc>
        <w:tc>
          <w:tcPr>
            <w:tcW w:w="0" w:type="auto"/>
            <w:shd w:val="clear" w:color="auto" w:fill="F2F2F2"/>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ср.мес.бр.</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64 000</w:t>
            </w:r>
          </w:p>
        </w:tc>
        <w:tc>
          <w:tcPr>
            <w:tcW w:w="0" w:type="auto"/>
            <w:shd w:val="clear" w:color="auto" w:fill="auto"/>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4</w:t>
            </w:r>
            <w:r w:rsidRPr="0074030B">
              <w:rPr>
                <w:rFonts w:eastAsia="Times New Roman" w:cs="Times New Roman"/>
                <w:bCs/>
                <w:sz w:val="18"/>
                <w:szCs w:val="18"/>
                <w:lang w:val="en-US"/>
              </w:rPr>
              <w:t>8</w:t>
            </w:r>
            <w:r w:rsidRPr="0074030B">
              <w:rPr>
                <w:rFonts w:eastAsia="Times New Roman" w:cs="Times New Roman"/>
                <w:bCs/>
                <w:sz w:val="18"/>
                <w:szCs w:val="18"/>
              </w:rPr>
              <w:t xml:space="preserve"> </w:t>
            </w:r>
            <w:r w:rsidRPr="0074030B">
              <w:rPr>
                <w:rFonts w:eastAsia="Times New Roman" w:cs="Times New Roman"/>
                <w:bCs/>
                <w:sz w:val="18"/>
                <w:szCs w:val="18"/>
                <w:lang w:val="en-US"/>
              </w:rPr>
              <w:t>5</w:t>
            </w:r>
            <w:r w:rsidRPr="0074030B">
              <w:rPr>
                <w:rFonts w:eastAsia="Times New Roman" w:cs="Times New Roman"/>
                <w:bCs/>
                <w:sz w:val="18"/>
                <w:szCs w:val="18"/>
              </w:rPr>
              <w:t>00</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4</w:t>
            </w:r>
            <w:r w:rsidRPr="0074030B">
              <w:rPr>
                <w:rFonts w:eastAsia="Times New Roman" w:cs="Times New Roman"/>
                <w:bCs/>
                <w:sz w:val="18"/>
                <w:szCs w:val="18"/>
                <w:lang w:val="en-US"/>
              </w:rPr>
              <w:t>8</w:t>
            </w:r>
            <w:r w:rsidRPr="0074030B">
              <w:rPr>
                <w:rFonts w:eastAsia="Times New Roman" w:cs="Times New Roman"/>
                <w:bCs/>
                <w:sz w:val="18"/>
                <w:szCs w:val="18"/>
              </w:rPr>
              <w:t xml:space="preserve"> 500</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4</w:t>
            </w:r>
            <w:r w:rsidRPr="0074030B">
              <w:rPr>
                <w:rFonts w:eastAsia="Times New Roman" w:cs="Times New Roman"/>
                <w:bCs/>
                <w:sz w:val="18"/>
                <w:szCs w:val="18"/>
                <w:lang w:val="en-US"/>
              </w:rPr>
              <w:t>8</w:t>
            </w:r>
            <w:r w:rsidRPr="0074030B">
              <w:rPr>
                <w:rFonts w:eastAsia="Times New Roman" w:cs="Times New Roman"/>
                <w:bCs/>
                <w:sz w:val="18"/>
                <w:szCs w:val="18"/>
              </w:rPr>
              <w:t xml:space="preserve"> 500</w:t>
            </w:r>
          </w:p>
        </w:tc>
      </w:tr>
      <w:tr w:rsidR="008F2DFB" w:rsidRPr="0074030B" w:rsidTr="0082145B">
        <w:trPr>
          <w:trHeight w:val="271"/>
          <w:jc w:val="center"/>
        </w:trPr>
        <w:tc>
          <w:tcPr>
            <w:tcW w:w="0" w:type="auto"/>
            <w:shd w:val="clear" w:color="auto" w:fill="auto"/>
            <w:tcMar>
              <w:top w:w="0" w:type="dxa"/>
              <w:left w:w="70" w:type="dxa"/>
              <w:bottom w:w="0" w:type="dxa"/>
              <w:right w:w="70" w:type="dxa"/>
            </w:tcMar>
            <w:vAlign w:val="center"/>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4. Регистрирани безработни младежи (15-29 г.)</w:t>
            </w:r>
          </w:p>
        </w:tc>
        <w:tc>
          <w:tcPr>
            <w:tcW w:w="0" w:type="auto"/>
            <w:shd w:val="clear" w:color="auto" w:fill="F2F2F2"/>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sz w:val="18"/>
                <w:szCs w:val="18"/>
              </w:rPr>
            </w:pPr>
            <w:r w:rsidRPr="0074030B">
              <w:rPr>
                <w:rFonts w:eastAsia="Times New Roman" w:cs="Times New Roman"/>
                <w:sz w:val="18"/>
                <w:szCs w:val="18"/>
              </w:rPr>
              <w:t>ср.мес.бр.</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27 000</w:t>
            </w:r>
          </w:p>
        </w:tc>
        <w:tc>
          <w:tcPr>
            <w:tcW w:w="0" w:type="auto"/>
            <w:shd w:val="clear" w:color="auto" w:fill="auto"/>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24 700</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23 850</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23 850</w:t>
            </w:r>
          </w:p>
        </w:tc>
      </w:tr>
      <w:tr w:rsidR="008F2DFB" w:rsidRPr="0074030B" w:rsidTr="0082145B">
        <w:trPr>
          <w:trHeight w:val="295"/>
          <w:jc w:val="center"/>
        </w:trPr>
        <w:tc>
          <w:tcPr>
            <w:tcW w:w="0" w:type="auto"/>
            <w:shd w:val="clear" w:color="auto" w:fill="auto"/>
            <w:tcMar>
              <w:top w:w="0" w:type="dxa"/>
              <w:left w:w="70" w:type="dxa"/>
              <w:bottom w:w="0" w:type="dxa"/>
              <w:right w:w="70" w:type="dxa"/>
            </w:tcMar>
            <w:vAlign w:val="center"/>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5. Брой наети на работа лица по програми и мерки</w:t>
            </w:r>
          </w:p>
        </w:tc>
        <w:tc>
          <w:tcPr>
            <w:tcW w:w="0" w:type="auto"/>
            <w:shd w:val="clear" w:color="auto" w:fill="F2F2F2"/>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Batang" w:cs="Times New Roman"/>
                <w:bCs/>
                <w:color w:val="000000"/>
                <w:sz w:val="18"/>
                <w:szCs w:val="18"/>
                <w:lang w:eastAsia="ko-KR"/>
              </w:rPr>
            </w:pPr>
            <w:r w:rsidRPr="0074030B">
              <w:rPr>
                <w:rFonts w:eastAsia="Times New Roman" w:cs="Times New Roman"/>
                <w:sz w:val="18"/>
                <w:szCs w:val="18"/>
              </w:rPr>
              <w:t>брой</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11 730</w:t>
            </w:r>
          </w:p>
        </w:tc>
        <w:tc>
          <w:tcPr>
            <w:tcW w:w="0" w:type="auto"/>
            <w:shd w:val="clear" w:color="auto" w:fill="auto"/>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11 610</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11 780</w:t>
            </w:r>
          </w:p>
        </w:tc>
        <w:tc>
          <w:tcPr>
            <w:tcW w:w="0" w:type="auto"/>
            <w:shd w:val="clear" w:color="auto" w:fill="auto"/>
            <w:tcMar>
              <w:top w:w="0" w:type="dxa"/>
              <w:left w:w="70" w:type="dxa"/>
              <w:bottom w:w="0" w:type="dxa"/>
              <w:right w:w="70" w:type="dxa"/>
            </w:tcMar>
            <w:vAlign w:val="center"/>
          </w:tcPr>
          <w:p w:rsidR="008F2DFB" w:rsidRPr="0074030B" w:rsidRDefault="008F2DFB" w:rsidP="0082145B">
            <w:pPr>
              <w:suppressAutoHyphens/>
              <w:autoSpaceDN w:val="0"/>
              <w:jc w:val="center"/>
              <w:textAlignment w:val="baseline"/>
              <w:rPr>
                <w:rFonts w:eastAsia="Times New Roman" w:cs="Times New Roman"/>
                <w:bCs/>
                <w:sz w:val="18"/>
                <w:szCs w:val="18"/>
              </w:rPr>
            </w:pPr>
            <w:r w:rsidRPr="0074030B">
              <w:rPr>
                <w:rFonts w:eastAsia="Times New Roman" w:cs="Times New Roman"/>
                <w:bCs/>
                <w:sz w:val="18"/>
                <w:szCs w:val="18"/>
              </w:rPr>
              <w:t>11 360</w:t>
            </w:r>
          </w:p>
        </w:tc>
      </w:tr>
    </w:tbl>
    <w:p w:rsidR="00FE7F78" w:rsidRDefault="008F2DFB" w:rsidP="007A00F7">
      <w:pPr>
        <w:spacing w:before="120"/>
        <w:rPr>
          <w:rFonts w:eastAsia="Batang" w:cs="Times New Roman"/>
          <w:sz w:val="18"/>
          <w:szCs w:val="18"/>
        </w:rPr>
      </w:pPr>
      <w:r w:rsidRPr="0074030B">
        <w:rPr>
          <w:rFonts w:eastAsia="Batang" w:cs="Times New Roman"/>
          <w:b/>
          <w:sz w:val="18"/>
          <w:szCs w:val="18"/>
        </w:rPr>
        <w:t>Забележка:</w:t>
      </w:r>
      <w:r w:rsidRPr="0074030B">
        <w:rPr>
          <w:rFonts w:eastAsia="Batang" w:cs="Times New Roman"/>
          <w:sz w:val="18"/>
          <w:szCs w:val="18"/>
        </w:rPr>
        <w:t xml:space="preserve"> Следва да се има предвид, че източник на информация за показателите по политиката по заетостта и професионалната квалификация е административната статистика на Агенцията по заетостта. Данните са осреднени на месечна база с цел да се елиминира влиянието на сезонните колебания върху елементите в динамичния ред. В съвкупността на регистрираните безработни лица се включват както безработни, така и икономически неактивни лица според дефинициите на Международната организация на труда и законодателството на Европейския съюз. Целевите стойност за периода 2019-2022 г. са определени на основата на исторически данни от регистъра на Агенцията по заетостта и от Наблюдението на работната сила (НРС), провеждано от Националния статистически институт. При изготвяне на прогнозата е взета предвид и динамиката в преходите между заетост, безработица и икономическа неактивност.</w:t>
      </w:r>
    </w:p>
    <w:p w:rsidR="006B3128" w:rsidRDefault="006B3128" w:rsidP="007A00F7">
      <w:pPr>
        <w:spacing w:before="120"/>
        <w:rPr>
          <w:rFonts w:eastAsia="Batang" w:cs="Times New Roman"/>
        </w:rPr>
      </w:pPr>
      <w:r w:rsidRPr="006B3128">
        <w:rPr>
          <w:rFonts w:eastAsia="Batang" w:cs="Times New Roman"/>
        </w:rPr>
        <w:t>За реализирането на тази политика чрез мерки за квалификация и програми на безработни са разчетени по държавния бюджет средства в размер по 73,0 млн. лв. за тригодишния период, като финансирането на тази политика се допълва и със средства по оперативните програми.</w:t>
      </w:r>
    </w:p>
    <w:p w:rsidR="00C345C4" w:rsidRPr="00360E74" w:rsidRDefault="00C345C4" w:rsidP="00C345C4">
      <w:pPr>
        <w:pStyle w:val="Heading4"/>
        <w:rPr>
          <w:rFonts w:eastAsia="Times New Roman"/>
        </w:rPr>
      </w:pPr>
      <w:r w:rsidRPr="00360E74">
        <w:rPr>
          <w:rFonts w:eastAsia="Times New Roman"/>
        </w:rPr>
        <w:t xml:space="preserve">Политика в областта на трудовите отношения </w:t>
      </w:r>
    </w:p>
    <w:p w:rsidR="00FE7F78" w:rsidRDefault="00FE7F78" w:rsidP="00F94B0B">
      <w:pPr>
        <w:spacing w:before="120" w:after="0"/>
        <w:rPr>
          <w:rFonts w:eastAsia="Batang"/>
          <w:highlight w:val="yellow"/>
        </w:rPr>
      </w:pPr>
    </w:p>
    <w:p w:rsidR="008F2DFB" w:rsidRPr="0074030B" w:rsidRDefault="008F2DFB" w:rsidP="008F2DFB">
      <w:pPr>
        <w:spacing w:after="120"/>
        <w:rPr>
          <w:rFonts w:eastAsia="Batang" w:cs="Times New Roman"/>
        </w:rPr>
      </w:pPr>
      <w:r w:rsidRPr="0074030B">
        <w:rPr>
          <w:rFonts w:eastAsia="Batang" w:cs="Times New Roman"/>
        </w:rPr>
        <w:t xml:space="preserve">Политиката в областта на трудовите отношения допринася за успешно функциониращ пазар на труда, основан на адекватна регулация на трудовите отношения, балансирана система за социална сигурност и ефективен социален диалог. Основните предизвикателства, които определят насоките за действие в областта на трудовите отношения са: новите тенденции в заетостта, включително надомна работа, работа от разстояние и работа чрез предприятия, които осигуряват временна заетост, както и повишаващата се заетост в микро-, малките и средни предприятия; промените на работното място и възникването на нови професионални рискове; тенденцията към увеличаване на работното време и интензивността на труда; демографските промени и застаряването на работещото население. Не на последно място стоят въпросите, свързани със законовите задължения на работодателите в областта на трудовите и осигурителните отношения и безопасните и здравословни условия на труд. </w:t>
      </w:r>
    </w:p>
    <w:p w:rsidR="00552695" w:rsidRDefault="008F2DFB" w:rsidP="00552695">
      <w:pPr>
        <w:spacing w:after="120"/>
        <w:rPr>
          <w:rFonts w:eastAsia="Batang" w:cs="Times New Roman"/>
        </w:rPr>
      </w:pPr>
      <w:r w:rsidRPr="0074030B">
        <w:rPr>
          <w:rFonts w:eastAsia="Batang" w:cs="Times New Roman"/>
        </w:rPr>
        <w:t>Разработването и провеждането на политиката в областта на трудовите отношения се осъществява в сътрудничество с признатите за представителни на национално равнище организации на работодателите и на работниците и служителите. За постигане целите на политиката допринасят всичк</w:t>
      </w:r>
      <w:r w:rsidR="00552695">
        <w:rPr>
          <w:rFonts w:eastAsia="Batang" w:cs="Times New Roman"/>
        </w:rPr>
        <w:t>и участници в процеса на труда.</w:t>
      </w:r>
    </w:p>
    <w:p w:rsidR="00C345C4" w:rsidRDefault="00C345C4" w:rsidP="00274572">
      <w:pPr>
        <w:spacing w:before="240" w:after="240"/>
        <w:jc w:val="left"/>
        <w:rPr>
          <w:rFonts w:cs="Times New Roman"/>
          <w:b/>
          <w:sz w:val="20"/>
          <w:szCs w:val="20"/>
        </w:rPr>
      </w:pPr>
      <w:r w:rsidRPr="005E267A">
        <w:rPr>
          <w:rFonts w:cs="Times New Roman"/>
          <w:b/>
          <w:sz w:val="20"/>
          <w:szCs w:val="20"/>
        </w:rPr>
        <w:t>КЛЮЧОВИ ИНДИКАТОРИ ЗА ИЗПЪЛНЕНИЕ И ЦЕЛЕВИ СТОЙНОСТИ</w:t>
      </w:r>
    </w:p>
    <w:tbl>
      <w:tblPr>
        <w:tblW w:w="5000" w:type="pct"/>
        <w:tblCellMar>
          <w:left w:w="70" w:type="dxa"/>
          <w:right w:w="70" w:type="dxa"/>
        </w:tblCellMar>
        <w:tblLook w:val="04A0" w:firstRow="1" w:lastRow="0" w:firstColumn="1" w:lastColumn="0" w:noHBand="0" w:noVBand="1"/>
      </w:tblPr>
      <w:tblGrid>
        <w:gridCol w:w="3848"/>
        <w:gridCol w:w="1212"/>
        <w:gridCol w:w="1121"/>
        <w:gridCol w:w="951"/>
        <w:gridCol w:w="969"/>
        <w:gridCol w:w="969"/>
      </w:tblGrid>
      <w:tr w:rsidR="008F2DFB" w:rsidRPr="0074030B" w:rsidTr="00552695">
        <w:trPr>
          <w:trHeight w:val="60"/>
          <w:tblHeader/>
        </w:trPr>
        <w:tc>
          <w:tcPr>
            <w:tcW w:w="2122" w:type="pct"/>
            <w:tcBorders>
              <w:top w:val="single" w:sz="4" w:space="0" w:color="auto"/>
              <w:left w:val="nil"/>
              <w:bottom w:val="nil"/>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Политика в областта на трудовите отношения</w:t>
            </w:r>
          </w:p>
        </w:tc>
        <w:tc>
          <w:tcPr>
            <w:tcW w:w="668" w:type="pct"/>
            <w:vMerge w:val="restart"/>
            <w:tcBorders>
              <w:top w:val="single" w:sz="4" w:space="0" w:color="auto"/>
              <w:left w:val="nil"/>
              <w:bottom w:val="single" w:sz="4" w:space="0" w:color="000000"/>
              <w:right w:val="nil"/>
            </w:tcBorders>
            <w:shd w:val="clear" w:color="auto" w:fill="F2F2F2"/>
            <w:vAlign w:val="center"/>
            <w:hideMark/>
          </w:tcPr>
          <w:p w:rsidR="008F2DFB" w:rsidRPr="002C7884" w:rsidRDefault="008F2DFB" w:rsidP="0082145B">
            <w:pPr>
              <w:spacing w:after="0"/>
              <w:jc w:val="center"/>
              <w:rPr>
                <w:rFonts w:eastAsia="Times New Roman" w:cs="Times New Roman"/>
                <w:b/>
                <w:bCs/>
                <w:iCs/>
                <w:color w:val="000000"/>
                <w:sz w:val="18"/>
                <w:szCs w:val="18"/>
              </w:rPr>
            </w:pPr>
            <w:r w:rsidRPr="002C7884">
              <w:rPr>
                <w:rFonts w:eastAsia="Times New Roman" w:cs="Times New Roman"/>
                <w:b/>
                <w:bCs/>
                <w:iCs/>
                <w:color w:val="000000"/>
                <w:sz w:val="18"/>
                <w:szCs w:val="18"/>
              </w:rPr>
              <w:t>Мерна единица</w:t>
            </w:r>
          </w:p>
        </w:tc>
        <w:tc>
          <w:tcPr>
            <w:tcW w:w="2211" w:type="pct"/>
            <w:gridSpan w:val="4"/>
            <w:tcBorders>
              <w:top w:val="single" w:sz="4" w:space="0" w:color="auto"/>
              <w:left w:val="nil"/>
              <w:bottom w:val="single" w:sz="4" w:space="0" w:color="auto"/>
              <w:right w:val="nil"/>
            </w:tcBorders>
            <w:shd w:val="clear" w:color="auto" w:fill="auto"/>
            <w:vAlign w:val="center"/>
            <w:hideMark/>
          </w:tcPr>
          <w:p w:rsidR="008F2DFB" w:rsidRPr="0082145B" w:rsidRDefault="008F2DFB" w:rsidP="0082145B">
            <w:pPr>
              <w:spacing w:after="0"/>
              <w:jc w:val="center"/>
              <w:rPr>
                <w:rFonts w:eastAsia="Times New Roman" w:cs="Times New Roman"/>
                <w:b/>
                <w:bCs/>
                <w:iCs/>
                <w:color w:val="000000"/>
                <w:sz w:val="18"/>
                <w:szCs w:val="18"/>
              </w:rPr>
            </w:pPr>
            <w:r w:rsidRPr="0082145B">
              <w:rPr>
                <w:rFonts w:eastAsia="Times New Roman" w:cs="Times New Roman"/>
                <w:b/>
                <w:bCs/>
                <w:iCs/>
                <w:color w:val="000000"/>
                <w:sz w:val="18"/>
                <w:szCs w:val="18"/>
              </w:rPr>
              <w:t>Целева стойност</w:t>
            </w:r>
          </w:p>
        </w:tc>
      </w:tr>
      <w:tr w:rsidR="008F2DFB" w:rsidRPr="0074030B" w:rsidTr="00552695">
        <w:trPr>
          <w:trHeight w:val="430"/>
          <w:tblHeader/>
        </w:trPr>
        <w:tc>
          <w:tcPr>
            <w:tcW w:w="2122"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Cs/>
                <w:color w:val="000000"/>
                <w:sz w:val="18"/>
                <w:szCs w:val="18"/>
              </w:rPr>
            </w:pPr>
            <w:r w:rsidRPr="0074030B">
              <w:rPr>
                <w:rFonts w:eastAsia="Times New Roman" w:cs="Times New Roman"/>
                <w:b/>
                <w:bCs/>
                <w:iCs/>
                <w:color w:val="000000"/>
                <w:sz w:val="18"/>
                <w:szCs w:val="18"/>
              </w:rPr>
              <w:t>Наименование на индикатора</w:t>
            </w:r>
          </w:p>
        </w:tc>
        <w:tc>
          <w:tcPr>
            <w:tcW w:w="668" w:type="pct"/>
            <w:vMerge/>
            <w:tcBorders>
              <w:top w:val="single" w:sz="4" w:space="0" w:color="auto"/>
              <w:left w:val="nil"/>
              <w:bottom w:val="single" w:sz="4" w:space="0" w:color="000000"/>
              <w:right w:val="nil"/>
            </w:tcBorders>
            <w:shd w:val="clear" w:color="auto" w:fill="F2F2F2"/>
            <w:vAlign w:val="center"/>
            <w:hideMark/>
          </w:tcPr>
          <w:p w:rsidR="008F2DFB" w:rsidRPr="0074030B" w:rsidRDefault="008F2DFB" w:rsidP="0082145B">
            <w:pPr>
              <w:spacing w:after="0"/>
              <w:rPr>
                <w:rFonts w:eastAsia="Times New Roman" w:cs="Times New Roman"/>
                <w:b/>
                <w:bCs/>
                <w:i/>
                <w:iCs/>
                <w:color w:val="000000"/>
                <w:sz w:val="18"/>
                <w:szCs w:val="18"/>
              </w:rPr>
            </w:pPr>
          </w:p>
        </w:tc>
        <w:tc>
          <w:tcPr>
            <w:tcW w:w="618"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Програма 2019 г.</w:t>
            </w:r>
          </w:p>
        </w:tc>
        <w:tc>
          <w:tcPr>
            <w:tcW w:w="524"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Проект 2020 г.</w:t>
            </w:r>
          </w:p>
        </w:tc>
        <w:tc>
          <w:tcPr>
            <w:tcW w:w="534"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Прогноза 2021 г.</w:t>
            </w:r>
          </w:p>
        </w:tc>
        <w:tc>
          <w:tcPr>
            <w:tcW w:w="535"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Прогноза 2022 г.</w:t>
            </w:r>
          </w:p>
        </w:tc>
      </w:tr>
      <w:tr w:rsidR="008F2DFB" w:rsidRPr="0074030B" w:rsidTr="008C3AC2">
        <w:trPr>
          <w:trHeight w:val="517"/>
        </w:trPr>
        <w:tc>
          <w:tcPr>
            <w:tcW w:w="2122"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color w:val="000000"/>
                <w:sz w:val="18"/>
                <w:szCs w:val="18"/>
              </w:rPr>
            </w:pPr>
          </w:p>
        </w:tc>
        <w:tc>
          <w:tcPr>
            <w:tcW w:w="668" w:type="pct"/>
            <w:vMerge/>
            <w:tcBorders>
              <w:top w:val="single" w:sz="4" w:space="0" w:color="auto"/>
              <w:left w:val="nil"/>
              <w:bottom w:val="single" w:sz="4" w:space="0" w:color="auto"/>
              <w:right w:val="nil"/>
            </w:tcBorders>
            <w:shd w:val="clear" w:color="auto" w:fill="F2F2F2"/>
            <w:vAlign w:val="center"/>
            <w:hideMark/>
          </w:tcPr>
          <w:p w:rsidR="008F2DFB" w:rsidRPr="0074030B" w:rsidRDefault="008F2DFB" w:rsidP="0082145B">
            <w:pPr>
              <w:rPr>
                <w:rFonts w:eastAsia="Times New Roman" w:cs="Times New Roman"/>
                <w:b/>
                <w:bCs/>
                <w:color w:val="000000"/>
                <w:sz w:val="18"/>
                <w:szCs w:val="18"/>
              </w:rPr>
            </w:pPr>
          </w:p>
        </w:tc>
        <w:tc>
          <w:tcPr>
            <w:tcW w:w="618"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24"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34"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35"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r>
      <w:tr w:rsidR="008F2DFB" w:rsidRPr="0074030B" w:rsidTr="008C3AC2">
        <w:trPr>
          <w:trHeight w:val="369"/>
        </w:trPr>
        <w:tc>
          <w:tcPr>
            <w:tcW w:w="2122" w:type="pct"/>
            <w:tcBorders>
              <w:top w:val="single" w:sz="4" w:space="0" w:color="auto"/>
              <w:left w:val="nil"/>
              <w:bottom w:val="nil"/>
              <w:right w:val="nil"/>
            </w:tcBorders>
            <w:shd w:val="clear" w:color="auto" w:fill="auto"/>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1. Намаляване на дела на работещите при неспазени норми за условия на труд в проверените предприятия.</w:t>
            </w:r>
          </w:p>
        </w:tc>
        <w:tc>
          <w:tcPr>
            <w:tcW w:w="668" w:type="pct"/>
            <w:tcBorders>
              <w:top w:val="single" w:sz="4" w:space="0" w:color="auto"/>
              <w:left w:val="nil"/>
              <w:bottom w:val="nil"/>
              <w:right w:val="nil"/>
            </w:tcBorders>
            <w:shd w:val="clear" w:color="auto" w:fill="F2F2F2"/>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 спрямо общия брой работещи в проверените предприятия</w:t>
            </w:r>
          </w:p>
        </w:tc>
        <w:tc>
          <w:tcPr>
            <w:tcW w:w="618" w:type="pct"/>
            <w:tcBorders>
              <w:top w:val="single" w:sz="4" w:space="0" w:color="auto"/>
              <w:left w:val="nil"/>
              <w:bottom w:val="nil"/>
              <w:right w:val="nil"/>
            </w:tcBorders>
            <w:shd w:val="clear" w:color="auto" w:fill="auto"/>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под 12%</w:t>
            </w:r>
          </w:p>
        </w:tc>
        <w:tc>
          <w:tcPr>
            <w:tcW w:w="524" w:type="pct"/>
            <w:tcBorders>
              <w:top w:val="single" w:sz="4" w:space="0" w:color="auto"/>
              <w:left w:val="nil"/>
              <w:bottom w:val="nil"/>
              <w:right w:val="nil"/>
            </w:tcBorders>
            <w:shd w:val="clear" w:color="auto" w:fill="auto"/>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под 12%</w:t>
            </w:r>
          </w:p>
        </w:tc>
        <w:tc>
          <w:tcPr>
            <w:tcW w:w="534" w:type="pct"/>
            <w:tcBorders>
              <w:top w:val="single" w:sz="4" w:space="0" w:color="auto"/>
              <w:left w:val="nil"/>
              <w:bottom w:val="nil"/>
              <w:right w:val="nil"/>
            </w:tcBorders>
            <w:shd w:val="clear" w:color="auto" w:fill="auto"/>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под 12%</w:t>
            </w:r>
          </w:p>
        </w:tc>
        <w:tc>
          <w:tcPr>
            <w:tcW w:w="535" w:type="pct"/>
            <w:tcBorders>
              <w:top w:val="single" w:sz="4" w:space="0" w:color="auto"/>
              <w:left w:val="nil"/>
              <w:bottom w:val="nil"/>
              <w:right w:val="nil"/>
            </w:tcBorders>
            <w:shd w:val="clear" w:color="auto" w:fill="auto"/>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под 12%</w:t>
            </w:r>
          </w:p>
        </w:tc>
      </w:tr>
      <w:tr w:rsidR="008F2DFB" w:rsidRPr="0074030B" w:rsidTr="008F2DFB">
        <w:trPr>
          <w:trHeight w:val="70"/>
        </w:trPr>
        <w:tc>
          <w:tcPr>
            <w:tcW w:w="2122" w:type="pct"/>
            <w:tcBorders>
              <w:top w:val="nil"/>
              <w:left w:val="nil"/>
              <w:bottom w:val="nil"/>
              <w:right w:val="nil"/>
            </w:tcBorders>
            <w:shd w:val="clear" w:color="000000" w:fill="FFFFFF"/>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2. Задържане/намаляване честотата на трудовите злополуки.</w:t>
            </w:r>
          </w:p>
        </w:tc>
        <w:tc>
          <w:tcPr>
            <w:tcW w:w="668" w:type="pct"/>
            <w:tcBorders>
              <w:top w:val="nil"/>
              <w:left w:val="nil"/>
              <w:bottom w:val="nil"/>
              <w:right w:val="nil"/>
            </w:tcBorders>
            <w:shd w:val="clear" w:color="auto" w:fill="F2F2F2"/>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коефициент на честота</w:t>
            </w:r>
          </w:p>
        </w:tc>
        <w:tc>
          <w:tcPr>
            <w:tcW w:w="618" w:type="pct"/>
            <w:tcBorders>
              <w:top w:val="nil"/>
              <w:left w:val="nil"/>
              <w:bottom w:val="nil"/>
              <w:right w:val="nil"/>
            </w:tcBorders>
            <w:shd w:val="clear" w:color="000000" w:fill="FFFFFF"/>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под 1,00</w:t>
            </w:r>
          </w:p>
        </w:tc>
        <w:tc>
          <w:tcPr>
            <w:tcW w:w="524" w:type="pct"/>
            <w:tcBorders>
              <w:top w:val="nil"/>
              <w:left w:val="nil"/>
              <w:bottom w:val="nil"/>
              <w:right w:val="nil"/>
            </w:tcBorders>
            <w:shd w:val="clear" w:color="000000" w:fill="FFFFFF"/>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под 1,00</w:t>
            </w:r>
          </w:p>
        </w:tc>
        <w:tc>
          <w:tcPr>
            <w:tcW w:w="534" w:type="pct"/>
            <w:tcBorders>
              <w:top w:val="nil"/>
              <w:left w:val="nil"/>
              <w:bottom w:val="nil"/>
              <w:right w:val="nil"/>
            </w:tcBorders>
            <w:shd w:val="clear" w:color="000000" w:fill="FFFFFF"/>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под 1,00</w:t>
            </w:r>
          </w:p>
        </w:tc>
        <w:tc>
          <w:tcPr>
            <w:tcW w:w="535" w:type="pct"/>
            <w:tcBorders>
              <w:top w:val="nil"/>
              <w:left w:val="nil"/>
              <w:bottom w:val="nil"/>
              <w:right w:val="nil"/>
            </w:tcBorders>
            <w:shd w:val="clear" w:color="000000" w:fill="FFFFFF"/>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под 1,00</w:t>
            </w:r>
          </w:p>
        </w:tc>
      </w:tr>
      <w:tr w:rsidR="008F2DFB" w:rsidRPr="0074030B" w:rsidTr="008F2DFB">
        <w:trPr>
          <w:trHeight w:val="510"/>
        </w:trPr>
        <w:tc>
          <w:tcPr>
            <w:tcW w:w="2122" w:type="pct"/>
            <w:tcBorders>
              <w:top w:val="nil"/>
              <w:left w:val="nil"/>
              <w:bottom w:val="single" w:sz="4" w:space="0" w:color="auto"/>
              <w:right w:val="nil"/>
            </w:tcBorders>
            <w:shd w:val="clear" w:color="000000" w:fill="FFFFFF"/>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3. Намаляване броя на трудовите злополуки довели до трайна неработоспособност или смърт.</w:t>
            </w:r>
          </w:p>
        </w:tc>
        <w:tc>
          <w:tcPr>
            <w:tcW w:w="668" w:type="pct"/>
            <w:tcBorders>
              <w:top w:val="nil"/>
              <w:left w:val="nil"/>
              <w:bottom w:val="single" w:sz="4" w:space="0" w:color="auto"/>
              <w:right w:val="nil"/>
            </w:tcBorders>
            <w:shd w:val="clear" w:color="auto" w:fill="F2F2F2"/>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брой</w:t>
            </w:r>
          </w:p>
        </w:tc>
        <w:tc>
          <w:tcPr>
            <w:tcW w:w="618" w:type="pct"/>
            <w:tcBorders>
              <w:top w:val="nil"/>
              <w:left w:val="nil"/>
              <w:bottom w:val="single" w:sz="4" w:space="0" w:color="auto"/>
              <w:right w:val="nil"/>
            </w:tcBorders>
            <w:shd w:val="clear" w:color="000000" w:fill="FFFFFF"/>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не повече от 130</w:t>
            </w:r>
          </w:p>
        </w:tc>
        <w:tc>
          <w:tcPr>
            <w:tcW w:w="524" w:type="pct"/>
            <w:tcBorders>
              <w:top w:val="nil"/>
              <w:left w:val="nil"/>
              <w:bottom w:val="single" w:sz="4" w:space="0" w:color="auto"/>
              <w:right w:val="nil"/>
            </w:tcBorders>
            <w:shd w:val="clear" w:color="000000" w:fill="FFFFFF"/>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не повече от 125</w:t>
            </w:r>
          </w:p>
        </w:tc>
        <w:tc>
          <w:tcPr>
            <w:tcW w:w="534" w:type="pct"/>
            <w:tcBorders>
              <w:top w:val="nil"/>
              <w:left w:val="nil"/>
              <w:bottom w:val="single" w:sz="4" w:space="0" w:color="auto"/>
              <w:right w:val="nil"/>
            </w:tcBorders>
            <w:shd w:val="clear" w:color="000000" w:fill="FFFFFF"/>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не повече от 125</w:t>
            </w:r>
          </w:p>
        </w:tc>
        <w:tc>
          <w:tcPr>
            <w:tcW w:w="535" w:type="pct"/>
            <w:tcBorders>
              <w:top w:val="nil"/>
              <w:left w:val="nil"/>
              <w:bottom w:val="single" w:sz="4" w:space="0" w:color="auto"/>
              <w:right w:val="nil"/>
            </w:tcBorders>
            <w:shd w:val="clear" w:color="000000" w:fill="FFFFFF"/>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не повече от 120</w:t>
            </w:r>
          </w:p>
        </w:tc>
      </w:tr>
    </w:tbl>
    <w:p w:rsidR="008F2DFB" w:rsidRPr="0074030B" w:rsidRDefault="008F2DFB" w:rsidP="008F2DFB">
      <w:pPr>
        <w:spacing w:before="120" w:after="120"/>
        <w:rPr>
          <w:rFonts w:eastAsia="Batang" w:cs="Times New Roman"/>
        </w:rPr>
      </w:pPr>
      <w:r w:rsidRPr="0074030B">
        <w:rPr>
          <w:rFonts w:eastAsia="Batang" w:cs="Times New Roman"/>
          <w:b/>
          <w:sz w:val="18"/>
          <w:szCs w:val="18"/>
        </w:rPr>
        <w:t>Забележка:</w:t>
      </w:r>
      <w:r w:rsidRPr="0074030B">
        <w:rPr>
          <w:rFonts w:eastAsia="Batang" w:cs="Times New Roman"/>
          <w:sz w:val="18"/>
          <w:szCs w:val="18"/>
        </w:rPr>
        <w:t xml:space="preserve"> Коефициент на честота </w:t>
      </w:r>
      <w:r w:rsidRPr="0074030B">
        <w:rPr>
          <w:rFonts w:eastAsia="Times New Roman" w:cs="Times New Roman"/>
          <w:color w:val="000000"/>
          <w:sz w:val="20"/>
          <w:szCs w:val="20"/>
        </w:rPr>
        <w:t>трудовите злополуки се изчислява на база броя ТЗ спрямо средносписъчния бр. лица, осигурени за ТЗ*1000</w:t>
      </w:r>
    </w:p>
    <w:p w:rsidR="008F2DFB" w:rsidRDefault="008F2DFB" w:rsidP="008F2DFB">
      <w:pPr>
        <w:spacing w:before="120" w:after="120"/>
        <w:rPr>
          <w:rFonts w:eastAsia="Batang" w:cs="Times New Roman"/>
        </w:rPr>
      </w:pPr>
      <w:r w:rsidRPr="0074030B">
        <w:rPr>
          <w:rFonts w:eastAsia="Batang" w:cs="Times New Roman"/>
        </w:rPr>
        <w:t>Принос за изпълнението на ключовите индикатори по тази политика имат и дейностите, които се реализират по линия на Оперативна програма „Развитие на човешките ресурси“.</w:t>
      </w:r>
    </w:p>
    <w:p w:rsidR="00034C85" w:rsidRPr="008F2DFB" w:rsidRDefault="00034C85" w:rsidP="008F2DFB">
      <w:pPr>
        <w:spacing w:before="120" w:after="120"/>
        <w:rPr>
          <w:rFonts w:eastAsia="Batang" w:cs="Times New Roman"/>
          <w:highlight w:val="yellow"/>
        </w:rPr>
      </w:pPr>
    </w:p>
    <w:p w:rsidR="00C345C4" w:rsidRPr="007153F4" w:rsidRDefault="00F45239" w:rsidP="00F45239">
      <w:pPr>
        <w:pStyle w:val="Heading4"/>
        <w:rPr>
          <w:rFonts w:eastAsia="Batang"/>
        </w:rPr>
      </w:pPr>
      <w:r w:rsidRPr="00F45239">
        <w:rPr>
          <w:rFonts w:eastAsia="Batang"/>
        </w:rPr>
        <w:t>Политика в областта на социалното подпомагане и равнопоставеността на жените и мъжете</w:t>
      </w:r>
    </w:p>
    <w:p w:rsidR="008F2DFB" w:rsidRPr="008F2DFB" w:rsidRDefault="008F2DFB" w:rsidP="008F2DFB">
      <w:pPr>
        <w:spacing w:before="120" w:after="0"/>
        <w:rPr>
          <w:rFonts w:eastAsia="Batang"/>
        </w:rPr>
      </w:pPr>
      <w:r w:rsidRPr="008F2DFB">
        <w:rPr>
          <w:rFonts w:eastAsia="Batang"/>
        </w:rPr>
        <w:t>Политиката по социалното подпомагане е насочена към гарантиране на задоволяването на основните жизненоважни потребности на хората, изпаднали в критична ситуация, като се прилага ясен, точен и обективно обоснован механизъм. Гарантирането на адекватни социални плащания е важен елемент на подкрепата за уязвимите групи в обществото. Осигуряването на такава материална подкрепа се осъществява чрез по-добра целенасоченост на социалните помощи, като се прилага диференциран поход в зависимост от конкретните потребности на подпомаганите лица и семейства.</w:t>
      </w:r>
    </w:p>
    <w:p w:rsidR="008F2DFB" w:rsidRDefault="008F2DFB" w:rsidP="008F2DFB">
      <w:pPr>
        <w:spacing w:before="120" w:after="0"/>
        <w:rPr>
          <w:rFonts w:eastAsia="Batang"/>
        </w:rPr>
      </w:pPr>
      <w:r w:rsidRPr="008F2DFB">
        <w:rPr>
          <w:rFonts w:eastAsia="Batang"/>
        </w:rPr>
        <w:t>Равнопоставеността на жените и мъжете е основополагащ принцип в обществото, като гарантира равноправно участие в създаването, управлението и потреблението на обществените блага и услуги. Политиката в областта на равнопоставеността на жените и мъжете има хоризонтален, междусекторен характер. Провеждането ѝ се основава на Закона за равнопоставеност на жените и мъжете чрез интегриране на въпросите за равнопоставеността на жените и мъжете в отделните секторни политики.</w:t>
      </w:r>
    </w:p>
    <w:p w:rsidR="008F2DFB" w:rsidRDefault="008F2DFB" w:rsidP="008F2DFB">
      <w:pPr>
        <w:spacing w:before="120" w:after="0"/>
        <w:rPr>
          <w:rFonts w:eastAsia="Batang"/>
        </w:rPr>
      </w:pPr>
    </w:p>
    <w:p w:rsidR="00347827" w:rsidRDefault="00347827" w:rsidP="00F45239">
      <w:pPr>
        <w:jc w:val="left"/>
        <w:rPr>
          <w:rFonts w:cs="Times New Roman"/>
          <w:b/>
          <w:sz w:val="20"/>
          <w:szCs w:val="20"/>
        </w:rPr>
      </w:pPr>
    </w:p>
    <w:p w:rsidR="00F45239" w:rsidRPr="00F45239" w:rsidRDefault="00C345C4" w:rsidP="00F45239">
      <w:pPr>
        <w:jc w:val="left"/>
        <w:rPr>
          <w:rFonts w:cs="Times New Roman"/>
          <w:b/>
          <w:sz w:val="20"/>
          <w:szCs w:val="20"/>
        </w:rPr>
      </w:pPr>
      <w:r w:rsidRPr="005E267A">
        <w:rPr>
          <w:rFonts w:cs="Times New Roman"/>
          <w:b/>
          <w:sz w:val="20"/>
          <w:szCs w:val="20"/>
        </w:rPr>
        <w:t>КЛЮЧОВИ ИНДИКАТОРИ З</w:t>
      </w:r>
      <w:r w:rsidR="00F45239">
        <w:rPr>
          <w:rFonts w:cs="Times New Roman"/>
          <w:b/>
          <w:sz w:val="20"/>
          <w:szCs w:val="20"/>
        </w:rPr>
        <w:t>А ИЗПЪЛНЕНИЕ И ЦЕЛЕВИ СТОЙНОСТИ</w:t>
      </w:r>
    </w:p>
    <w:tbl>
      <w:tblPr>
        <w:tblW w:w="5000" w:type="pct"/>
        <w:tblCellMar>
          <w:left w:w="70" w:type="dxa"/>
          <w:right w:w="70" w:type="dxa"/>
        </w:tblCellMar>
        <w:tblLook w:val="04A0" w:firstRow="1" w:lastRow="0" w:firstColumn="1" w:lastColumn="0" w:noHBand="0" w:noVBand="1"/>
      </w:tblPr>
      <w:tblGrid>
        <w:gridCol w:w="3865"/>
        <w:gridCol w:w="1139"/>
        <w:gridCol w:w="1137"/>
        <w:gridCol w:w="965"/>
        <w:gridCol w:w="983"/>
        <w:gridCol w:w="981"/>
      </w:tblGrid>
      <w:tr w:rsidR="008F2DFB" w:rsidRPr="0074030B" w:rsidTr="00552695">
        <w:trPr>
          <w:trHeight w:val="540"/>
          <w:tblHeader/>
        </w:trPr>
        <w:tc>
          <w:tcPr>
            <w:tcW w:w="2130" w:type="pct"/>
            <w:tcBorders>
              <w:top w:val="single" w:sz="4" w:space="0" w:color="auto"/>
              <w:left w:val="nil"/>
              <w:bottom w:val="nil"/>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Политика в областта на социалното подпомагане и равнопоставеността на жените и мъжете</w:t>
            </w:r>
          </w:p>
        </w:tc>
        <w:tc>
          <w:tcPr>
            <w:tcW w:w="628" w:type="pct"/>
            <w:vMerge w:val="restart"/>
            <w:tcBorders>
              <w:top w:val="single" w:sz="4" w:space="0" w:color="auto"/>
              <w:left w:val="nil"/>
              <w:bottom w:val="single" w:sz="4" w:space="0" w:color="000000"/>
              <w:right w:val="nil"/>
            </w:tcBorders>
            <w:shd w:val="clear" w:color="auto" w:fill="F2F2F2"/>
            <w:vAlign w:val="center"/>
            <w:hideMark/>
          </w:tcPr>
          <w:p w:rsidR="008F2DFB" w:rsidRPr="002C7884" w:rsidRDefault="008F2DFB" w:rsidP="0082145B">
            <w:pPr>
              <w:spacing w:after="0"/>
              <w:jc w:val="center"/>
              <w:rPr>
                <w:rFonts w:eastAsia="Times New Roman" w:cs="Times New Roman"/>
                <w:b/>
                <w:bCs/>
                <w:iCs/>
                <w:color w:val="000000"/>
                <w:sz w:val="18"/>
                <w:szCs w:val="18"/>
              </w:rPr>
            </w:pPr>
            <w:r w:rsidRPr="002C7884">
              <w:rPr>
                <w:rFonts w:eastAsia="Times New Roman" w:cs="Times New Roman"/>
                <w:b/>
                <w:bCs/>
                <w:iCs/>
                <w:color w:val="000000"/>
                <w:sz w:val="18"/>
                <w:szCs w:val="18"/>
              </w:rPr>
              <w:t>Мерна единица</w:t>
            </w:r>
          </w:p>
        </w:tc>
        <w:tc>
          <w:tcPr>
            <w:tcW w:w="2243" w:type="pct"/>
            <w:gridSpan w:val="4"/>
            <w:tcBorders>
              <w:top w:val="single" w:sz="4" w:space="0" w:color="auto"/>
              <w:left w:val="nil"/>
              <w:bottom w:val="single" w:sz="4" w:space="0" w:color="auto"/>
              <w:right w:val="nil"/>
            </w:tcBorders>
            <w:shd w:val="clear" w:color="auto" w:fill="auto"/>
            <w:vAlign w:val="center"/>
            <w:hideMark/>
          </w:tcPr>
          <w:p w:rsidR="008F2DFB" w:rsidRPr="0082145B" w:rsidRDefault="008F2DFB" w:rsidP="0082145B">
            <w:pPr>
              <w:spacing w:after="0"/>
              <w:jc w:val="center"/>
              <w:rPr>
                <w:rFonts w:eastAsia="Times New Roman" w:cs="Times New Roman"/>
                <w:b/>
                <w:bCs/>
                <w:iCs/>
                <w:color w:val="000000"/>
                <w:sz w:val="18"/>
                <w:szCs w:val="18"/>
              </w:rPr>
            </w:pPr>
            <w:r w:rsidRPr="0082145B">
              <w:rPr>
                <w:rFonts w:eastAsia="Times New Roman" w:cs="Times New Roman"/>
                <w:b/>
                <w:bCs/>
                <w:iCs/>
                <w:color w:val="000000"/>
                <w:sz w:val="18"/>
                <w:szCs w:val="18"/>
              </w:rPr>
              <w:t>Целева стойност</w:t>
            </w:r>
          </w:p>
        </w:tc>
      </w:tr>
      <w:tr w:rsidR="008F2DFB" w:rsidRPr="0074030B" w:rsidTr="00552695">
        <w:trPr>
          <w:trHeight w:val="430"/>
          <w:tblHeader/>
        </w:trPr>
        <w:tc>
          <w:tcPr>
            <w:tcW w:w="2130"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Cs/>
                <w:color w:val="000000"/>
                <w:sz w:val="18"/>
                <w:szCs w:val="18"/>
              </w:rPr>
            </w:pPr>
            <w:r w:rsidRPr="0074030B">
              <w:rPr>
                <w:rFonts w:eastAsia="Times New Roman" w:cs="Times New Roman"/>
                <w:b/>
                <w:bCs/>
                <w:iCs/>
                <w:color w:val="000000"/>
                <w:sz w:val="18"/>
                <w:szCs w:val="18"/>
              </w:rPr>
              <w:t>Наименование на индикатора</w:t>
            </w:r>
          </w:p>
        </w:tc>
        <w:tc>
          <w:tcPr>
            <w:tcW w:w="628" w:type="pct"/>
            <w:vMerge/>
            <w:tcBorders>
              <w:top w:val="single" w:sz="4" w:space="0" w:color="auto"/>
              <w:left w:val="nil"/>
              <w:bottom w:val="single" w:sz="4" w:space="0" w:color="000000"/>
              <w:right w:val="nil"/>
            </w:tcBorders>
            <w:shd w:val="clear" w:color="auto" w:fill="F2F2F2"/>
            <w:vAlign w:val="center"/>
            <w:hideMark/>
          </w:tcPr>
          <w:p w:rsidR="008F2DFB" w:rsidRPr="0074030B" w:rsidRDefault="008F2DFB" w:rsidP="0082145B">
            <w:pPr>
              <w:spacing w:after="0"/>
              <w:rPr>
                <w:rFonts w:eastAsia="Times New Roman" w:cs="Times New Roman"/>
                <w:b/>
                <w:bCs/>
                <w:i/>
                <w:iCs/>
                <w:color w:val="000000"/>
                <w:sz w:val="18"/>
                <w:szCs w:val="18"/>
              </w:rPr>
            </w:pPr>
          </w:p>
        </w:tc>
        <w:tc>
          <w:tcPr>
            <w:tcW w:w="627"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Програма 2019 г.</w:t>
            </w:r>
          </w:p>
        </w:tc>
        <w:tc>
          <w:tcPr>
            <w:tcW w:w="532"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Проект 2020 г.</w:t>
            </w:r>
          </w:p>
        </w:tc>
        <w:tc>
          <w:tcPr>
            <w:tcW w:w="542"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Прогноза 2021 г.</w:t>
            </w:r>
          </w:p>
        </w:tc>
        <w:tc>
          <w:tcPr>
            <w:tcW w:w="542"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Прогноза 2022 г.</w:t>
            </w:r>
          </w:p>
        </w:tc>
      </w:tr>
      <w:tr w:rsidR="008F2DFB" w:rsidRPr="0074030B" w:rsidTr="008C3AC2">
        <w:trPr>
          <w:trHeight w:val="517"/>
        </w:trPr>
        <w:tc>
          <w:tcPr>
            <w:tcW w:w="2130"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color w:val="000000"/>
                <w:sz w:val="18"/>
                <w:szCs w:val="18"/>
              </w:rPr>
            </w:pPr>
          </w:p>
        </w:tc>
        <w:tc>
          <w:tcPr>
            <w:tcW w:w="628" w:type="pct"/>
            <w:vMerge/>
            <w:tcBorders>
              <w:top w:val="single" w:sz="4" w:space="0" w:color="auto"/>
              <w:left w:val="nil"/>
              <w:bottom w:val="single" w:sz="4" w:space="0" w:color="auto"/>
              <w:right w:val="nil"/>
            </w:tcBorders>
            <w:shd w:val="clear" w:color="auto" w:fill="F2F2F2"/>
            <w:vAlign w:val="center"/>
            <w:hideMark/>
          </w:tcPr>
          <w:p w:rsidR="008F2DFB" w:rsidRPr="0074030B" w:rsidRDefault="008F2DFB" w:rsidP="0082145B">
            <w:pPr>
              <w:rPr>
                <w:rFonts w:eastAsia="Times New Roman" w:cs="Times New Roman"/>
                <w:b/>
                <w:bCs/>
                <w:color w:val="000000"/>
                <w:sz w:val="18"/>
                <w:szCs w:val="18"/>
              </w:rPr>
            </w:pPr>
          </w:p>
        </w:tc>
        <w:tc>
          <w:tcPr>
            <w:tcW w:w="627"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32"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42"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42"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r>
      <w:tr w:rsidR="008F2DFB" w:rsidRPr="0074030B" w:rsidTr="008C3AC2">
        <w:trPr>
          <w:trHeight w:val="60"/>
        </w:trPr>
        <w:tc>
          <w:tcPr>
            <w:tcW w:w="2130" w:type="pct"/>
            <w:tcBorders>
              <w:top w:val="single" w:sz="4" w:space="0" w:color="auto"/>
              <w:left w:val="nil"/>
              <w:bottom w:val="nil"/>
              <w:right w:val="nil"/>
            </w:tcBorders>
            <w:shd w:val="clear" w:color="auto" w:fill="auto"/>
            <w:vAlign w:val="center"/>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1. Месечни помощи</w:t>
            </w:r>
          </w:p>
        </w:tc>
        <w:tc>
          <w:tcPr>
            <w:tcW w:w="628" w:type="pct"/>
            <w:tcBorders>
              <w:top w:val="single" w:sz="4" w:space="0" w:color="auto"/>
              <w:left w:val="nil"/>
              <w:bottom w:val="nil"/>
              <w:right w:val="nil"/>
            </w:tcBorders>
            <w:shd w:val="clear" w:color="auto" w:fill="F2F2F2"/>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ср.мес.бр. лица и семейства</w:t>
            </w:r>
          </w:p>
        </w:tc>
        <w:tc>
          <w:tcPr>
            <w:tcW w:w="627" w:type="pct"/>
            <w:tcBorders>
              <w:top w:val="single" w:sz="4" w:space="0" w:color="auto"/>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31 800</w:t>
            </w:r>
          </w:p>
        </w:tc>
        <w:tc>
          <w:tcPr>
            <w:tcW w:w="532" w:type="pct"/>
            <w:tcBorders>
              <w:top w:val="single" w:sz="4" w:space="0" w:color="auto"/>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31 600</w:t>
            </w:r>
          </w:p>
        </w:tc>
        <w:tc>
          <w:tcPr>
            <w:tcW w:w="542" w:type="pct"/>
            <w:tcBorders>
              <w:top w:val="single" w:sz="4" w:space="0" w:color="auto"/>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31 600</w:t>
            </w:r>
          </w:p>
        </w:tc>
        <w:tc>
          <w:tcPr>
            <w:tcW w:w="542" w:type="pct"/>
            <w:tcBorders>
              <w:top w:val="single" w:sz="4" w:space="0" w:color="auto"/>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31 600</w:t>
            </w:r>
          </w:p>
        </w:tc>
      </w:tr>
      <w:tr w:rsidR="008F2DFB" w:rsidRPr="0074030B" w:rsidTr="006B3128">
        <w:trPr>
          <w:trHeight w:val="70"/>
        </w:trPr>
        <w:tc>
          <w:tcPr>
            <w:tcW w:w="2130" w:type="pct"/>
            <w:tcBorders>
              <w:top w:val="nil"/>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2. Целеви помощи за отопление</w:t>
            </w:r>
          </w:p>
        </w:tc>
        <w:tc>
          <w:tcPr>
            <w:tcW w:w="628" w:type="pct"/>
            <w:tcBorders>
              <w:top w:val="nil"/>
              <w:left w:val="nil"/>
              <w:bottom w:val="nil"/>
              <w:right w:val="nil"/>
            </w:tcBorders>
            <w:shd w:val="clear" w:color="auto" w:fill="F2F2F2"/>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бр. лица и семейства</w:t>
            </w:r>
          </w:p>
        </w:tc>
        <w:tc>
          <w:tcPr>
            <w:tcW w:w="627" w:type="pct"/>
            <w:tcBorders>
              <w:top w:val="nil"/>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220 000</w:t>
            </w:r>
          </w:p>
        </w:tc>
        <w:tc>
          <w:tcPr>
            <w:tcW w:w="532" w:type="pct"/>
            <w:tcBorders>
              <w:top w:val="nil"/>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250 000</w:t>
            </w:r>
          </w:p>
        </w:tc>
        <w:tc>
          <w:tcPr>
            <w:tcW w:w="542" w:type="pct"/>
            <w:tcBorders>
              <w:top w:val="nil"/>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250 000</w:t>
            </w:r>
          </w:p>
        </w:tc>
        <w:tc>
          <w:tcPr>
            <w:tcW w:w="542" w:type="pct"/>
            <w:tcBorders>
              <w:top w:val="nil"/>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250 000</w:t>
            </w:r>
          </w:p>
        </w:tc>
      </w:tr>
      <w:tr w:rsidR="008F2DFB" w:rsidRPr="0074030B" w:rsidTr="006B3128">
        <w:trPr>
          <w:trHeight w:val="70"/>
        </w:trPr>
        <w:tc>
          <w:tcPr>
            <w:tcW w:w="2130"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3. Лица бенефициенти по проект обществени трапезарии</w:t>
            </w:r>
          </w:p>
        </w:tc>
        <w:tc>
          <w:tcPr>
            <w:tcW w:w="628" w:type="pct"/>
            <w:tcBorders>
              <w:top w:val="nil"/>
              <w:left w:val="nil"/>
              <w:bottom w:val="single" w:sz="4" w:space="0" w:color="auto"/>
              <w:right w:val="nil"/>
            </w:tcBorders>
            <w:shd w:val="clear" w:color="auto" w:fill="F2F2F2"/>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бр. лица</w:t>
            </w:r>
          </w:p>
        </w:tc>
        <w:tc>
          <w:tcPr>
            <w:tcW w:w="627"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4 040</w:t>
            </w:r>
          </w:p>
        </w:tc>
        <w:tc>
          <w:tcPr>
            <w:tcW w:w="532"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4 100</w:t>
            </w:r>
          </w:p>
        </w:tc>
        <w:tc>
          <w:tcPr>
            <w:tcW w:w="542"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4 100</w:t>
            </w:r>
          </w:p>
        </w:tc>
        <w:tc>
          <w:tcPr>
            <w:tcW w:w="542"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4 100</w:t>
            </w:r>
          </w:p>
        </w:tc>
      </w:tr>
    </w:tbl>
    <w:p w:rsidR="006B3128" w:rsidRDefault="006B3128" w:rsidP="006B3128">
      <w:pPr>
        <w:spacing w:before="120" w:after="120"/>
        <w:rPr>
          <w:rFonts w:eastAsia="Batang"/>
        </w:rPr>
      </w:pPr>
    </w:p>
    <w:p w:rsidR="006B3128" w:rsidRPr="006B3128" w:rsidRDefault="006B3128" w:rsidP="006B3128">
      <w:pPr>
        <w:spacing w:before="120" w:after="120"/>
        <w:rPr>
          <w:rFonts w:eastAsia="Batang"/>
        </w:rPr>
      </w:pPr>
      <w:r w:rsidRPr="006B3128">
        <w:rPr>
          <w:rFonts w:eastAsia="Batang"/>
        </w:rPr>
        <w:t>Целта на политиката в областта на социалното подпомагане е да решава по възможно най-добрия начин проблемите на рисковите групи, свързани със задоволяването на основните им жизнени потребности, в рамките на финансовите възможности на държавата като не допуска установяването и поддържането на трайна зависимост от системата за социално подпомагане.</w:t>
      </w:r>
    </w:p>
    <w:p w:rsidR="006B3128" w:rsidRPr="00347827" w:rsidRDefault="006B3128" w:rsidP="006B3128">
      <w:pPr>
        <w:spacing w:before="120" w:after="120"/>
        <w:rPr>
          <w:rFonts w:eastAsia="Batang"/>
          <w:highlight w:val="yellow"/>
        </w:rPr>
      </w:pPr>
      <w:r w:rsidRPr="006B3128">
        <w:rPr>
          <w:rFonts w:eastAsia="Batang"/>
        </w:rPr>
        <w:t xml:space="preserve">За периода 2020-2022 г. приоритет остават оптимизиране на социалното подпомагане на уязвимите групи от населението, гарантиране на тяхната социална защита чрез по-добра целенасоченост на социалните помощи, повишаване ефективността на програмите и усъвършенстване на нормативната уредба в сферата на социалните помощи в съответствие с динамично променящите се условия на средата. Общо планираните средства за 2020 г. за тази политика са в размер на </w:t>
      </w:r>
      <w:r w:rsidRPr="00347827">
        <w:rPr>
          <w:rFonts w:eastAsia="Batang"/>
        </w:rPr>
        <w:t>172,5 млн. лв., като от тях 121,2 млн. лв. са за целеви помощи за отопление.</w:t>
      </w:r>
    </w:p>
    <w:p w:rsidR="008C1DE7" w:rsidRDefault="008C1DE7" w:rsidP="00202515">
      <w:pPr>
        <w:spacing w:before="120" w:after="120"/>
        <w:rPr>
          <w:rFonts w:eastAsia="Batang"/>
          <w:highlight w:val="yellow"/>
        </w:rPr>
      </w:pPr>
    </w:p>
    <w:p w:rsidR="00C345C4" w:rsidRDefault="00C345C4" w:rsidP="00C345C4">
      <w:pPr>
        <w:pStyle w:val="Heading4"/>
        <w:rPr>
          <w:rFonts w:eastAsia="Times New Roman"/>
        </w:rPr>
      </w:pPr>
      <w:r w:rsidRPr="005A2F28">
        <w:rPr>
          <w:rFonts w:eastAsia="Times New Roman"/>
        </w:rPr>
        <w:t xml:space="preserve">Политика в областта на хората с увреждания </w:t>
      </w:r>
    </w:p>
    <w:p w:rsidR="00034C85" w:rsidRPr="00034C85" w:rsidRDefault="00034C85" w:rsidP="00034C85"/>
    <w:p w:rsidR="008F2DFB" w:rsidRPr="0074030B" w:rsidRDefault="008F2DFB" w:rsidP="008F2DFB">
      <w:pPr>
        <w:spacing w:after="120"/>
        <w:rPr>
          <w:rFonts w:eastAsia="Batang" w:cs="Times New Roman"/>
        </w:rPr>
      </w:pPr>
      <w:r w:rsidRPr="0074030B">
        <w:rPr>
          <w:rFonts w:eastAsia="Batang" w:cs="Times New Roman"/>
        </w:rPr>
        <w:t xml:space="preserve">Политиката за хората с увреждания е свързана с универсалността, неделимостта и взаимната зависимост на всички права на човека и основни свободи и необходимостта на хората с увреждания да бъде осигурено пълното ползване на правата без каквато и да е дискриминация. В тази политика се прилага личностно ориентиран подход, който се основава на правата на човека, съгласно изискванията на Конвенцията за правата на хората с увреждания на ООН, </w:t>
      </w:r>
      <w:r>
        <w:rPr>
          <w:rFonts w:eastAsia="Batang" w:cs="Times New Roman"/>
        </w:rPr>
        <w:t xml:space="preserve">и е </w:t>
      </w:r>
      <w:r w:rsidRPr="0074030B">
        <w:rPr>
          <w:rFonts w:eastAsia="Batang" w:cs="Times New Roman"/>
        </w:rPr>
        <w:t>насочен към осигуряването на пълноправно участие на хората с увреждания в обществения живот.</w:t>
      </w:r>
    </w:p>
    <w:p w:rsidR="00034C85" w:rsidRDefault="00034C85" w:rsidP="006100EB">
      <w:pPr>
        <w:spacing w:after="0"/>
        <w:rPr>
          <w:rFonts w:eastAsia="Batang"/>
        </w:rPr>
      </w:pPr>
    </w:p>
    <w:p w:rsidR="00E93829" w:rsidRDefault="00E93829" w:rsidP="00E93829">
      <w:pPr>
        <w:spacing w:before="120"/>
        <w:jc w:val="left"/>
        <w:rPr>
          <w:rFonts w:cs="Times New Roman"/>
          <w:b/>
          <w:sz w:val="20"/>
          <w:szCs w:val="20"/>
        </w:rPr>
      </w:pPr>
      <w:r w:rsidRPr="00406152">
        <w:rPr>
          <w:rFonts w:cs="Times New Roman"/>
          <w:b/>
          <w:sz w:val="20"/>
          <w:szCs w:val="20"/>
        </w:rPr>
        <w:t>КЛЮЧОВИ ИНДИКАТОРИ З</w:t>
      </w:r>
      <w:r>
        <w:rPr>
          <w:rFonts w:cs="Times New Roman"/>
          <w:b/>
          <w:sz w:val="20"/>
          <w:szCs w:val="20"/>
        </w:rPr>
        <w:t>А ИЗПЪЛНЕНИЕ И ЦЕЛЕВИ СТОЙНОСТИ</w:t>
      </w:r>
    </w:p>
    <w:tbl>
      <w:tblPr>
        <w:tblW w:w="5000" w:type="pct"/>
        <w:tblCellMar>
          <w:left w:w="70" w:type="dxa"/>
          <w:right w:w="70" w:type="dxa"/>
        </w:tblCellMar>
        <w:tblLook w:val="04A0" w:firstRow="1" w:lastRow="0" w:firstColumn="1" w:lastColumn="0" w:noHBand="0" w:noVBand="1"/>
      </w:tblPr>
      <w:tblGrid>
        <w:gridCol w:w="3865"/>
        <w:gridCol w:w="1137"/>
        <w:gridCol w:w="1137"/>
        <w:gridCol w:w="965"/>
        <w:gridCol w:w="983"/>
        <w:gridCol w:w="983"/>
      </w:tblGrid>
      <w:tr w:rsidR="008F2DFB" w:rsidRPr="0074030B" w:rsidTr="00552695">
        <w:trPr>
          <w:trHeight w:val="349"/>
          <w:tblHeader/>
        </w:trPr>
        <w:tc>
          <w:tcPr>
            <w:tcW w:w="2130" w:type="pct"/>
            <w:tcBorders>
              <w:top w:val="single" w:sz="4" w:space="0" w:color="auto"/>
              <w:left w:val="nil"/>
              <w:bottom w:val="nil"/>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Политика в областта на хората с увреждания</w:t>
            </w:r>
          </w:p>
        </w:tc>
        <w:tc>
          <w:tcPr>
            <w:tcW w:w="627" w:type="pct"/>
            <w:vMerge w:val="restart"/>
            <w:tcBorders>
              <w:top w:val="single" w:sz="4" w:space="0" w:color="auto"/>
              <w:left w:val="nil"/>
              <w:bottom w:val="single" w:sz="4" w:space="0" w:color="000000"/>
              <w:right w:val="nil"/>
            </w:tcBorders>
            <w:shd w:val="clear" w:color="auto" w:fill="F2F2F2"/>
            <w:vAlign w:val="center"/>
            <w:hideMark/>
          </w:tcPr>
          <w:p w:rsidR="008F2DFB" w:rsidRPr="002C7884" w:rsidRDefault="008F2DFB" w:rsidP="0082145B">
            <w:pPr>
              <w:spacing w:after="0"/>
              <w:jc w:val="center"/>
              <w:rPr>
                <w:rFonts w:eastAsia="Times New Roman" w:cs="Times New Roman"/>
                <w:b/>
                <w:bCs/>
                <w:iCs/>
                <w:color w:val="000000"/>
                <w:sz w:val="18"/>
                <w:szCs w:val="18"/>
              </w:rPr>
            </w:pPr>
            <w:r w:rsidRPr="002C7884">
              <w:rPr>
                <w:rFonts w:eastAsia="Times New Roman" w:cs="Times New Roman"/>
                <w:b/>
                <w:bCs/>
                <w:iCs/>
                <w:color w:val="000000"/>
                <w:sz w:val="18"/>
                <w:szCs w:val="18"/>
              </w:rPr>
              <w:t>Мерна единица</w:t>
            </w:r>
          </w:p>
        </w:tc>
        <w:tc>
          <w:tcPr>
            <w:tcW w:w="2243" w:type="pct"/>
            <w:gridSpan w:val="4"/>
            <w:tcBorders>
              <w:top w:val="single" w:sz="4" w:space="0" w:color="auto"/>
              <w:left w:val="nil"/>
              <w:bottom w:val="single" w:sz="4" w:space="0" w:color="auto"/>
              <w:right w:val="nil"/>
            </w:tcBorders>
            <w:shd w:val="clear" w:color="auto" w:fill="auto"/>
            <w:vAlign w:val="center"/>
            <w:hideMark/>
          </w:tcPr>
          <w:p w:rsidR="008F2DFB" w:rsidRPr="0082145B" w:rsidRDefault="008F2DFB" w:rsidP="0082145B">
            <w:pPr>
              <w:spacing w:after="0"/>
              <w:jc w:val="center"/>
              <w:rPr>
                <w:rFonts w:eastAsia="Times New Roman" w:cs="Times New Roman"/>
                <w:b/>
                <w:bCs/>
                <w:iCs/>
                <w:color w:val="000000"/>
                <w:sz w:val="18"/>
                <w:szCs w:val="18"/>
              </w:rPr>
            </w:pPr>
            <w:r w:rsidRPr="0082145B">
              <w:rPr>
                <w:rFonts w:eastAsia="Times New Roman" w:cs="Times New Roman"/>
                <w:b/>
                <w:bCs/>
                <w:iCs/>
                <w:color w:val="000000"/>
                <w:sz w:val="18"/>
                <w:szCs w:val="18"/>
              </w:rPr>
              <w:t>Целева стойност</w:t>
            </w:r>
          </w:p>
        </w:tc>
      </w:tr>
      <w:tr w:rsidR="008F2DFB" w:rsidRPr="0074030B" w:rsidTr="00552695">
        <w:trPr>
          <w:trHeight w:val="430"/>
          <w:tblHeader/>
        </w:trPr>
        <w:tc>
          <w:tcPr>
            <w:tcW w:w="2130"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Cs/>
                <w:color w:val="000000"/>
                <w:sz w:val="18"/>
                <w:szCs w:val="18"/>
              </w:rPr>
            </w:pPr>
            <w:r w:rsidRPr="0074030B">
              <w:rPr>
                <w:rFonts w:eastAsia="Times New Roman" w:cs="Times New Roman"/>
                <w:b/>
                <w:bCs/>
                <w:iCs/>
                <w:color w:val="000000"/>
                <w:sz w:val="18"/>
                <w:szCs w:val="18"/>
              </w:rPr>
              <w:t>Наименование на индикатора</w:t>
            </w:r>
          </w:p>
        </w:tc>
        <w:tc>
          <w:tcPr>
            <w:tcW w:w="627" w:type="pct"/>
            <w:vMerge/>
            <w:tcBorders>
              <w:top w:val="single" w:sz="4" w:space="0" w:color="auto"/>
              <w:left w:val="nil"/>
              <w:bottom w:val="single" w:sz="4" w:space="0" w:color="000000"/>
              <w:right w:val="nil"/>
            </w:tcBorders>
            <w:shd w:val="clear" w:color="auto" w:fill="F2F2F2"/>
            <w:vAlign w:val="center"/>
            <w:hideMark/>
          </w:tcPr>
          <w:p w:rsidR="008F2DFB" w:rsidRPr="0074030B" w:rsidRDefault="008F2DFB" w:rsidP="0082145B">
            <w:pPr>
              <w:spacing w:after="0"/>
              <w:rPr>
                <w:rFonts w:eastAsia="Times New Roman" w:cs="Times New Roman"/>
                <w:b/>
                <w:bCs/>
                <w:i/>
                <w:iCs/>
                <w:color w:val="000000"/>
                <w:sz w:val="18"/>
                <w:szCs w:val="18"/>
              </w:rPr>
            </w:pPr>
          </w:p>
        </w:tc>
        <w:tc>
          <w:tcPr>
            <w:tcW w:w="627"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Програма 2019 г.</w:t>
            </w:r>
          </w:p>
        </w:tc>
        <w:tc>
          <w:tcPr>
            <w:tcW w:w="532"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Проект 2020 г.</w:t>
            </w:r>
          </w:p>
        </w:tc>
        <w:tc>
          <w:tcPr>
            <w:tcW w:w="542"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Прогноза 2021 г.</w:t>
            </w:r>
          </w:p>
        </w:tc>
        <w:tc>
          <w:tcPr>
            <w:tcW w:w="542" w:type="pct"/>
            <w:vMerge w:val="restart"/>
            <w:tcBorders>
              <w:top w:val="nil"/>
              <w:left w:val="nil"/>
              <w:bottom w:val="single" w:sz="4" w:space="0" w:color="000000"/>
              <w:right w:val="nil"/>
            </w:tcBorders>
            <w:shd w:val="clear" w:color="auto" w:fill="auto"/>
            <w:vAlign w:val="center"/>
            <w:hideMark/>
          </w:tcPr>
          <w:p w:rsidR="008F2DFB" w:rsidRPr="0074030B" w:rsidRDefault="008F2DFB"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Прогноза 2022 г.</w:t>
            </w:r>
          </w:p>
        </w:tc>
      </w:tr>
      <w:tr w:rsidR="008F2DFB" w:rsidRPr="0074030B" w:rsidTr="00034C85">
        <w:trPr>
          <w:trHeight w:val="517"/>
        </w:trPr>
        <w:tc>
          <w:tcPr>
            <w:tcW w:w="2130"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color w:val="000000"/>
                <w:sz w:val="18"/>
                <w:szCs w:val="18"/>
              </w:rPr>
            </w:pPr>
          </w:p>
        </w:tc>
        <w:tc>
          <w:tcPr>
            <w:tcW w:w="627" w:type="pct"/>
            <w:vMerge/>
            <w:tcBorders>
              <w:top w:val="single" w:sz="4" w:space="0" w:color="auto"/>
              <w:left w:val="nil"/>
              <w:bottom w:val="single" w:sz="4" w:space="0" w:color="auto"/>
              <w:right w:val="nil"/>
            </w:tcBorders>
            <w:shd w:val="clear" w:color="auto" w:fill="F2F2F2"/>
            <w:vAlign w:val="center"/>
            <w:hideMark/>
          </w:tcPr>
          <w:p w:rsidR="008F2DFB" w:rsidRPr="0074030B" w:rsidRDefault="008F2DFB" w:rsidP="0082145B">
            <w:pPr>
              <w:rPr>
                <w:rFonts w:eastAsia="Times New Roman" w:cs="Times New Roman"/>
                <w:b/>
                <w:bCs/>
                <w:color w:val="000000"/>
                <w:sz w:val="18"/>
                <w:szCs w:val="18"/>
              </w:rPr>
            </w:pPr>
          </w:p>
        </w:tc>
        <w:tc>
          <w:tcPr>
            <w:tcW w:w="627"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32"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42"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c>
          <w:tcPr>
            <w:tcW w:w="542" w:type="pct"/>
            <w:vMerge/>
            <w:tcBorders>
              <w:top w:val="nil"/>
              <w:left w:val="nil"/>
              <w:bottom w:val="single" w:sz="4" w:space="0" w:color="auto"/>
              <w:right w:val="nil"/>
            </w:tcBorders>
            <w:vAlign w:val="center"/>
            <w:hideMark/>
          </w:tcPr>
          <w:p w:rsidR="008F2DFB" w:rsidRPr="0074030B" w:rsidRDefault="008F2DFB" w:rsidP="0082145B">
            <w:pPr>
              <w:rPr>
                <w:rFonts w:eastAsia="Times New Roman" w:cs="Times New Roman"/>
                <w:b/>
                <w:bCs/>
                <w:i/>
                <w:iCs/>
                <w:color w:val="000000"/>
                <w:sz w:val="18"/>
                <w:szCs w:val="18"/>
              </w:rPr>
            </w:pPr>
          </w:p>
        </w:tc>
      </w:tr>
      <w:tr w:rsidR="008F2DFB" w:rsidRPr="0074030B" w:rsidTr="00034C85">
        <w:trPr>
          <w:trHeight w:val="60"/>
        </w:trPr>
        <w:tc>
          <w:tcPr>
            <w:tcW w:w="2130" w:type="pct"/>
            <w:tcBorders>
              <w:top w:val="single" w:sz="4" w:space="0" w:color="auto"/>
              <w:left w:val="nil"/>
              <w:bottom w:val="nil"/>
              <w:right w:val="nil"/>
            </w:tcBorders>
            <w:shd w:val="clear" w:color="auto" w:fill="auto"/>
            <w:vAlign w:val="center"/>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1. Месечна финансова подкрепа за хора с трайни увреждания</w:t>
            </w:r>
          </w:p>
        </w:tc>
        <w:tc>
          <w:tcPr>
            <w:tcW w:w="627" w:type="pct"/>
            <w:tcBorders>
              <w:top w:val="single" w:sz="4" w:space="0" w:color="auto"/>
              <w:left w:val="nil"/>
              <w:bottom w:val="nil"/>
              <w:right w:val="nil"/>
            </w:tcBorders>
            <w:shd w:val="clear" w:color="auto" w:fill="F2F2F2"/>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брой</w:t>
            </w:r>
          </w:p>
        </w:tc>
        <w:tc>
          <w:tcPr>
            <w:tcW w:w="627" w:type="pct"/>
            <w:tcBorders>
              <w:top w:val="single" w:sz="4" w:space="0" w:color="auto"/>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p>
        </w:tc>
        <w:tc>
          <w:tcPr>
            <w:tcW w:w="532" w:type="pct"/>
            <w:tcBorders>
              <w:top w:val="single" w:sz="4" w:space="0" w:color="auto"/>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658 000</w:t>
            </w:r>
          </w:p>
        </w:tc>
        <w:tc>
          <w:tcPr>
            <w:tcW w:w="542" w:type="pct"/>
            <w:tcBorders>
              <w:top w:val="single" w:sz="4" w:space="0" w:color="auto"/>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658 000</w:t>
            </w:r>
          </w:p>
        </w:tc>
        <w:tc>
          <w:tcPr>
            <w:tcW w:w="542" w:type="pct"/>
            <w:tcBorders>
              <w:top w:val="single" w:sz="4" w:space="0" w:color="auto"/>
              <w:left w:val="nil"/>
              <w:bottom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658 000</w:t>
            </w:r>
          </w:p>
        </w:tc>
      </w:tr>
      <w:tr w:rsidR="008F2DFB" w:rsidRPr="0074030B" w:rsidTr="0082145B">
        <w:trPr>
          <w:trHeight w:val="70"/>
        </w:trPr>
        <w:tc>
          <w:tcPr>
            <w:tcW w:w="2130" w:type="pct"/>
            <w:tcBorders>
              <w:top w:val="nil"/>
              <w:left w:val="nil"/>
              <w:right w:val="nil"/>
            </w:tcBorders>
            <w:shd w:val="clear" w:color="auto" w:fill="auto"/>
            <w:vAlign w:val="center"/>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 xml:space="preserve">2. </w:t>
            </w:r>
            <w:r w:rsidR="00576796" w:rsidRPr="00576796">
              <w:rPr>
                <w:rFonts w:eastAsia="Times New Roman" w:cs="Times New Roman"/>
                <w:sz w:val="18"/>
                <w:szCs w:val="18"/>
              </w:rPr>
              <w:t>Хора, подкрепени от механизма лична помощ</w:t>
            </w:r>
          </w:p>
        </w:tc>
        <w:tc>
          <w:tcPr>
            <w:tcW w:w="627" w:type="pct"/>
            <w:tcBorders>
              <w:top w:val="nil"/>
              <w:left w:val="nil"/>
              <w:right w:val="nil"/>
            </w:tcBorders>
            <w:shd w:val="clear" w:color="auto" w:fill="F2F2F2"/>
            <w:noWrap/>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брой</w:t>
            </w:r>
          </w:p>
        </w:tc>
        <w:tc>
          <w:tcPr>
            <w:tcW w:w="627" w:type="pct"/>
            <w:tcBorders>
              <w:top w:val="nil"/>
              <w:left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23 400</w:t>
            </w:r>
          </w:p>
        </w:tc>
        <w:tc>
          <w:tcPr>
            <w:tcW w:w="532" w:type="pct"/>
            <w:tcBorders>
              <w:top w:val="nil"/>
              <w:left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23 400</w:t>
            </w:r>
          </w:p>
        </w:tc>
        <w:tc>
          <w:tcPr>
            <w:tcW w:w="542" w:type="pct"/>
            <w:tcBorders>
              <w:top w:val="nil"/>
              <w:left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23 400</w:t>
            </w:r>
          </w:p>
        </w:tc>
        <w:tc>
          <w:tcPr>
            <w:tcW w:w="542" w:type="pct"/>
            <w:tcBorders>
              <w:top w:val="nil"/>
              <w:left w:val="nil"/>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23 400</w:t>
            </w:r>
          </w:p>
        </w:tc>
      </w:tr>
      <w:tr w:rsidR="008F2DFB" w:rsidRPr="0074030B" w:rsidTr="0082145B">
        <w:trPr>
          <w:trHeight w:val="510"/>
        </w:trPr>
        <w:tc>
          <w:tcPr>
            <w:tcW w:w="2130" w:type="pct"/>
            <w:tcBorders>
              <w:top w:val="nil"/>
              <w:left w:val="nil"/>
              <w:bottom w:val="single" w:sz="4" w:space="0" w:color="auto"/>
              <w:right w:val="nil"/>
            </w:tcBorders>
            <w:shd w:val="clear" w:color="auto" w:fill="auto"/>
            <w:vAlign w:val="center"/>
            <w:hideMark/>
          </w:tcPr>
          <w:p w:rsidR="008F2DFB" w:rsidRPr="0074030B" w:rsidRDefault="008F2DFB"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3. Хора с увреждания, включени в мероприятия за рехабилитация и социална интеграция</w:t>
            </w:r>
          </w:p>
        </w:tc>
        <w:tc>
          <w:tcPr>
            <w:tcW w:w="627" w:type="pct"/>
            <w:tcBorders>
              <w:top w:val="nil"/>
              <w:left w:val="nil"/>
              <w:bottom w:val="single" w:sz="4" w:space="0" w:color="auto"/>
              <w:right w:val="nil"/>
            </w:tcBorders>
            <w:shd w:val="clear" w:color="auto" w:fill="F2F2F2"/>
            <w:noWrap/>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брой</w:t>
            </w:r>
          </w:p>
        </w:tc>
        <w:tc>
          <w:tcPr>
            <w:tcW w:w="627"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3 600</w:t>
            </w:r>
          </w:p>
        </w:tc>
        <w:tc>
          <w:tcPr>
            <w:tcW w:w="532"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3 600</w:t>
            </w:r>
          </w:p>
        </w:tc>
        <w:tc>
          <w:tcPr>
            <w:tcW w:w="542"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3 600</w:t>
            </w:r>
          </w:p>
        </w:tc>
        <w:tc>
          <w:tcPr>
            <w:tcW w:w="542" w:type="pct"/>
            <w:tcBorders>
              <w:top w:val="nil"/>
              <w:left w:val="nil"/>
              <w:bottom w:val="single" w:sz="4" w:space="0" w:color="auto"/>
              <w:right w:val="nil"/>
            </w:tcBorders>
            <w:shd w:val="clear" w:color="000000" w:fill="FFFFFF"/>
            <w:vAlign w:val="center"/>
            <w:hideMark/>
          </w:tcPr>
          <w:p w:rsidR="008F2DFB" w:rsidRPr="0074030B" w:rsidRDefault="008F2DFB"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3 600</w:t>
            </w:r>
          </w:p>
        </w:tc>
      </w:tr>
    </w:tbl>
    <w:p w:rsidR="008F2DFB" w:rsidRPr="0074030B" w:rsidRDefault="008F2DFB" w:rsidP="008F2DFB">
      <w:pPr>
        <w:spacing w:after="120"/>
        <w:rPr>
          <w:rFonts w:eastAsia="Batang" w:cs="Times New Roman"/>
        </w:rPr>
      </w:pPr>
      <w:r w:rsidRPr="0074030B">
        <w:rPr>
          <w:rFonts w:eastAsia="Batang" w:cs="Times New Roman"/>
        </w:rPr>
        <w:t xml:space="preserve">Със Закона за хората с увреждания, в сила от 1 януари 2019 г., се уреждат по нов начин обществените отношения, свързани с упражняване на правата на хората с увреждания и оказване на адекватна подкрепа за тяхното социално приобщаване. Това поражда необходимостта и от предефиниране на бюджетната програма, с оглед на това в пълна степен да обхване всички промени в законодателството, регламентиращи  предоставянето на новите мерки за подкрепа, които са насочени както към хората с увреждания, така и към организациите, имащи отношение към реализирането на политиката за хората с увреждания, работодателите на хора с увреждания и други. </w:t>
      </w:r>
    </w:p>
    <w:p w:rsidR="008F2DFB" w:rsidRPr="0074030B" w:rsidRDefault="008F2DFB" w:rsidP="008F2DFB">
      <w:pPr>
        <w:spacing w:after="120"/>
        <w:rPr>
          <w:rFonts w:eastAsia="Batang" w:cs="Times New Roman"/>
        </w:rPr>
      </w:pPr>
      <w:r w:rsidRPr="0074030B">
        <w:rPr>
          <w:rFonts w:eastAsia="Batang" w:cs="Times New Roman"/>
        </w:rPr>
        <w:t>В съответствие със</w:t>
      </w:r>
      <w:r w:rsidR="00016BFE">
        <w:rPr>
          <w:rFonts w:eastAsia="Batang" w:cs="Times New Roman"/>
        </w:rPr>
        <w:t xml:space="preserve"> Закона за хората с увреждания </w:t>
      </w:r>
      <w:r w:rsidRPr="0074030B">
        <w:rPr>
          <w:rFonts w:eastAsia="Batang" w:cs="Times New Roman"/>
        </w:rPr>
        <w:t>е изменен действащия</w:t>
      </w:r>
      <w:r w:rsidR="00643F0B">
        <w:rPr>
          <w:rFonts w:eastAsia="Batang" w:cs="Times New Roman"/>
        </w:rPr>
        <w:t>т</w:t>
      </w:r>
      <w:r w:rsidRPr="0074030B">
        <w:rPr>
          <w:rFonts w:eastAsia="Batang" w:cs="Times New Roman"/>
        </w:rPr>
        <w:t xml:space="preserve"> до 31.12.2018 г. начин за определяне на размера на месечното финансово подпомагане на хората с увреждания. Регламентира се правото на хората с увреждания на индивидуална комплексна оценка на потребностите, които се идентифицират при изследване на функционалните затруднения, свързани със здравословното състояние и наличието на бариери в изпълнението на ежедневните и други дейности на човека с увреждане. На законово ниво са определени конкретните видове финансова подкрепа за хората с увреждания, състояща се от два компонента: месечна финансова подкрепа съобразно степента на увреждане и целеви помощи съобразно вида на увреждането (за покупка на лично моторно превозно средство; за приспособяване на жилище; за балнеолечение и/или рехабилитационни услуги и за наем на общинско жилище). При определянето на размера на месечната финансова подкрепа се вземат предвид степента на увреждане, а в хипотезите на чл. 70, т. 4 и 5 от зак</w:t>
      </w:r>
      <w:r w:rsidR="00B95242">
        <w:rPr>
          <w:rFonts w:eastAsia="Batang" w:cs="Times New Roman"/>
        </w:rPr>
        <w:t>она, релевантно условие е и видът</w:t>
      </w:r>
      <w:r w:rsidRPr="0074030B">
        <w:rPr>
          <w:rFonts w:eastAsia="Batang" w:cs="Times New Roman"/>
        </w:rPr>
        <w:t xml:space="preserve"> на пенсията, получавана от лицето към момента на отпускане на месечната финансова подкрепа, което предпоставя интензитета на подкрепата. </w:t>
      </w:r>
      <w:r w:rsidR="00576796" w:rsidRPr="00576796">
        <w:rPr>
          <w:rFonts w:eastAsia="Batang" w:cs="Times New Roman"/>
        </w:rPr>
        <w:t xml:space="preserve">Размерът на финансовата подкрепа се определя и актуализира ежегодно спрямо линията на бедност в България, определена с </w:t>
      </w:r>
      <w:r w:rsidR="00B95242">
        <w:rPr>
          <w:rFonts w:eastAsia="Batang" w:cs="Times New Roman"/>
        </w:rPr>
        <w:t>п</w:t>
      </w:r>
      <w:r w:rsidR="00576796" w:rsidRPr="00576796">
        <w:rPr>
          <w:rFonts w:eastAsia="Batang" w:cs="Times New Roman"/>
        </w:rPr>
        <w:t>остановление на Министерския съвет за съответната година.</w:t>
      </w:r>
    </w:p>
    <w:p w:rsidR="008F2DFB" w:rsidRDefault="008F2DFB" w:rsidP="008F2DFB">
      <w:pPr>
        <w:spacing w:after="120"/>
        <w:rPr>
          <w:rFonts w:eastAsia="Batang" w:cs="Times New Roman"/>
        </w:rPr>
      </w:pPr>
      <w:r w:rsidRPr="0074030B">
        <w:rPr>
          <w:rFonts w:eastAsia="Batang" w:cs="Times New Roman"/>
        </w:rPr>
        <w:t>С оглед необходимостта от създаване на по-добра и детайлна нормативна уредба и осигуряване на финансова устойчивост на асистентските услуги, бе приет Закон</w:t>
      </w:r>
      <w:r w:rsidR="00016BFE">
        <w:rPr>
          <w:rFonts w:eastAsia="Batang" w:cs="Times New Roman"/>
        </w:rPr>
        <w:t>ът</w:t>
      </w:r>
      <w:r w:rsidRPr="0074030B">
        <w:rPr>
          <w:rFonts w:eastAsia="Batang" w:cs="Times New Roman"/>
        </w:rPr>
        <w:t xml:space="preserve"> за личната помощ, в сила от 01.01.2019 г., с цел да уреди условията и реда за предоставянето и ползването на лична помощ от хора с увреждания. Съгласно неговите разпоредби, личната помощ е механизъм за подкрепа на хора с увреждания за упражняване на правата им, за пълноценно участие в обществото, за извършване на дейности, отговарящи на индивидуалните им потребности и за преодоляване на бариерите на функционалните им ограничения. </w:t>
      </w:r>
    </w:p>
    <w:p w:rsidR="008F2DFB" w:rsidRPr="0074030B" w:rsidRDefault="008F2DFB" w:rsidP="008F2DFB">
      <w:pPr>
        <w:spacing w:after="120"/>
        <w:rPr>
          <w:rFonts w:eastAsia="Batang" w:cs="Times New Roman"/>
        </w:rPr>
      </w:pPr>
      <w:r w:rsidRPr="0074030B">
        <w:rPr>
          <w:rFonts w:eastAsia="Batang" w:cs="Times New Roman"/>
        </w:rPr>
        <w:t xml:space="preserve">Съгласно чл. 95 от Закона за хората с увреждания, както и предвид необходимостта от въвеждането на единен подход при финансирането със средства от държавния бюджет на юридически лица с нестопанска цел, както и от създаването и поддържането на информация за измерване на изпълнението на секторните политики, по политиката в </w:t>
      </w:r>
      <w:r w:rsidR="0099144D">
        <w:rPr>
          <w:rFonts w:eastAsia="Batang" w:cs="Times New Roman"/>
        </w:rPr>
        <w:t>областта на хората с увреждания</w:t>
      </w:r>
      <w:r w:rsidRPr="0074030B">
        <w:rPr>
          <w:rFonts w:eastAsia="Batang" w:cs="Times New Roman"/>
        </w:rPr>
        <w:t xml:space="preserve"> по бюджета на Министерството на труда и социалната политика за 2020 г. и следващите години са планирани средства в размер на </w:t>
      </w:r>
      <w:r w:rsidRPr="0099144D">
        <w:rPr>
          <w:rFonts w:eastAsia="Batang" w:cs="Times New Roman"/>
        </w:rPr>
        <w:t xml:space="preserve">4,4 </w:t>
      </w:r>
      <w:r w:rsidRPr="0074030B">
        <w:rPr>
          <w:rFonts w:eastAsia="Batang" w:cs="Times New Roman"/>
        </w:rPr>
        <w:t xml:space="preserve">млн. лв. за </w:t>
      </w:r>
      <w:r w:rsidRPr="0074030B">
        <w:rPr>
          <w:rFonts w:eastAsia="Batang" w:cs="Times New Roman"/>
          <w:bCs/>
          <w:iCs/>
        </w:rPr>
        <w:t>финансова подкрепа на организациите на и за хората с увреждания с призната национална представителност – 21</w:t>
      </w:r>
      <w:r>
        <w:rPr>
          <w:rFonts w:eastAsia="Batang" w:cs="Times New Roman"/>
          <w:bCs/>
          <w:iCs/>
        </w:rPr>
        <w:t xml:space="preserve"> </w:t>
      </w:r>
      <w:r w:rsidRPr="0074030B">
        <w:rPr>
          <w:rFonts w:eastAsia="Batang" w:cs="Times New Roman"/>
          <w:bCs/>
          <w:iCs/>
        </w:rPr>
        <w:t>бр. за дейности в областта на правата на хората с увреждания с цел тяхното социално приобщаване, под формата на субсидия от държавния бюджет</w:t>
      </w:r>
      <w:r w:rsidRPr="0074030B">
        <w:rPr>
          <w:rFonts w:eastAsia="Batang" w:cs="Times New Roman"/>
        </w:rPr>
        <w:t>.</w:t>
      </w:r>
    </w:p>
    <w:p w:rsidR="00270F01" w:rsidRDefault="00576796" w:rsidP="002B560B">
      <w:pPr>
        <w:spacing w:before="120" w:after="0"/>
        <w:rPr>
          <w:rFonts w:eastAsia="Batang"/>
        </w:rPr>
      </w:pPr>
      <w:r w:rsidRPr="00576796">
        <w:rPr>
          <w:rFonts w:eastAsia="Batang"/>
        </w:rPr>
        <w:t xml:space="preserve">Общо средствата по тази политика за 2020 г. възлизат на 559,5 млн. лв., като е отчетен  кумулативния ефект от нарастването </w:t>
      </w:r>
      <w:r>
        <w:rPr>
          <w:rFonts w:eastAsia="Batang"/>
        </w:rPr>
        <w:t>на базата и на коефициента от 1,0 на 1,</w:t>
      </w:r>
      <w:r w:rsidRPr="00576796">
        <w:rPr>
          <w:rFonts w:eastAsia="Batang"/>
        </w:rPr>
        <w:t>2 за 2020 г</w:t>
      </w:r>
      <w:r>
        <w:rPr>
          <w:rFonts w:eastAsia="Batang"/>
        </w:rPr>
        <w:t>. и от 1,2 на 1,</w:t>
      </w:r>
      <w:r w:rsidRPr="00576796">
        <w:rPr>
          <w:rFonts w:eastAsia="Batang"/>
        </w:rPr>
        <w:t>4 за 2021 г. при определяне на часовата ставка за положен труд за изчисляване на възнагражденията на асистенти</w:t>
      </w:r>
      <w:r w:rsidR="00AC6B73">
        <w:rPr>
          <w:rFonts w:eastAsia="Batang"/>
        </w:rPr>
        <w:t>те</w:t>
      </w:r>
      <w:r w:rsidRPr="00576796">
        <w:rPr>
          <w:rFonts w:eastAsia="Batang"/>
        </w:rPr>
        <w:t xml:space="preserve"> по Закона за личната помощ, както и ефекта от увеличението на линията на бедност при определяне на финансовата подкрепа по Закона за хората с увреждания.</w:t>
      </w:r>
    </w:p>
    <w:p w:rsidR="00270F01" w:rsidRPr="00356112" w:rsidRDefault="00270F01" w:rsidP="00270F01">
      <w:pPr>
        <w:pStyle w:val="Heading4"/>
        <w:rPr>
          <w:rFonts w:eastAsia="Times New Roman"/>
        </w:rPr>
      </w:pPr>
      <w:r w:rsidRPr="00356112">
        <w:rPr>
          <w:rFonts w:eastAsia="Times New Roman"/>
        </w:rPr>
        <w:t xml:space="preserve">Политика в областта на социалното включване </w:t>
      </w:r>
    </w:p>
    <w:p w:rsidR="00C35982" w:rsidRDefault="00C35982" w:rsidP="00270F01">
      <w:pPr>
        <w:spacing w:before="120" w:after="0"/>
        <w:rPr>
          <w:rFonts w:eastAsia="Batang"/>
        </w:rPr>
      </w:pPr>
    </w:p>
    <w:p w:rsidR="00C35982" w:rsidRPr="00C35982" w:rsidRDefault="00C35982" w:rsidP="00C35982">
      <w:pPr>
        <w:rPr>
          <w:rFonts w:eastAsia="Batang" w:cs="Times New Roman"/>
        </w:rPr>
      </w:pPr>
      <w:r w:rsidRPr="0074030B">
        <w:rPr>
          <w:rFonts w:eastAsia="Batang" w:cs="Times New Roman"/>
        </w:rPr>
        <w:t>Политиката в областта на социалното включване е многосекторна политика, свързана с подобряване на целенасочеността на мерките и прилагане на интегриран подход за превенция на бедността и насърчаване на социалното включване. Съществена част от политиката за социално включване е предоставянето на материална подкрепа за семействата с деца и семействата, които полагат грижи за деца в риск.</w:t>
      </w:r>
    </w:p>
    <w:p w:rsidR="00270F01" w:rsidRDefault="00270F01" w:rsidP="00270F01">
      <w:pPr>
        <w:jc w:val="left"/>
        <w:rPr>
          <w:rFonts w:cs="Times New Roman"/>
          <w:b/>
          <w:sz w:val="20"/>
          <w:szCs w:val="20"/>
        </w:rPr>
      </w:pPr>
      <w:r w:rsidRPr="00E71A58">
        <w:rPr>
          <w:rFonts w:cs="Times New Roman"/>
          <w:b/>
          <w:sz w:val="20"/>
          <w:szCs w:val="20"/>
        </w:rPr>
        <w:t>КЛЮЧОВИ ИНДИКАТОРИ ЗА ИЗПЪЛНЕНИЕ И ЦЕЛЕВИ СТОЙНОСТИ</w:t>
      </w:r>
    </w:p>
    <w:tbl>
      <w:tblPr>
        <w:tblW w:w="5000" w:type="pct"/>
        <w:tblCellMar>
          <w:left w:w="70" w:type="dxa"/>
          <w:right w:w="70" w:type="dxa"/>
        </w:tblCellMar>
        <w:tblLook w:val="04A0" w:firstRow="1" w:lastRow="0" w:firstColumn="1" w:lastColumn="0" w:noHBand="0" w:noVBand="1"/>
      </w:tblPr>
      <w:tblGrid>
        <w:gridCol w:w="3865"/>
        <w:gridCol w:w="1139"/>
        <w:gridCol w:w="1137"/>
        <w:gridCol w:w="965"/>
        <w:gridCol w:w="983"/>
        <w:gridCol w:w="981"/>
      </w:tblGrid>
      <w:tr w:rsidR="00C35982" w:rsidRPr="0074030B" w:rsidTr="0082145B">
        <w:trPr>
          <w:trHeight w:val="540"/>
          <w:tblHeader/>
        </w:trPr>
        <w:tc>
          <w:tcPr>
            <w:tcW w:w="2130" w:type="pct"/>
            <w:tcBorders>
              <w:top w:val="single" w:sz="4" w:space="0" w:color="auto"/>
              <w:left w:val="nil"/>
              <w:bottom w:val="nil"/>
              <w:right w:val="nil"/>
            </w:tcBorders>
            <w:shd w:val="clear" w:color="auto" w:fill="auto"/>
            <w:vAlign w:val="center"/>
            <w:hideMark/>
          </w:tcPr>
          <w:p w:rsidR="00C35982" w:rsidRPr="0074030B" w:rsidRDefault="00C35982"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Политика в областта на социалното включване</w:t>
            </w:r>
          </w:p>
        </w:tc>
        <w:tc>
          <w:tcPr>
            <w:tcW w:w="628" w:type="pct"/>
            <w:vMerge w:val="restart"/>
            <w:tcBorders>
              <w:top w:val="single" w:sz="4" w:space="0" w:color="auto"/>
              <w:left w:val="nil"/>
              <w:bottom w:val="single" w:sz="4" w:space="0" w:color="000000"/>
              <w:right w:val="nil"/>
            </w:tcBorders>
            <w:shd w:val="clear" w:color="auto" w:fill="F2F2F2"/>
            <w:vAlign w:val="center"/>
            <w:hideMark/>
          </w:tcPr>
          <w:p w:rsidR="00C35982" w:rsidRPr="002C7884" w:rsidRDefault="00C35982" w:rsidP="0082145B">
            <w:pPr>
              <w:spacing w:after="0"/>
              <w:jc w:val="center"/>
              <w:rPr>
                <w:rFonts w:eastAsia="Times New Roman" w:cs="Times New Roman"/>
                <w:b/>
                <w:bCs/>
                <w:iCs/>
                <w:color w:val="000000"/>
                <w:sz w:val="18"/>
                <w:szCs w:val="18"/>
              </w:rPr>
            </w:pPr>
            <w:r w:rsidRPr="002C7884">
              <w:rPr>
                <w:rFonts w:eastAsia="Times New Roman" w:cs="Times New Roman"/>
                <w:b/>
                <w:bCs/>
                <w:iCs/>
                <w:color w:val="000000"/>
                <w:sz w:val="18"/>
                <w:szCs w:val="18"/>
              </w:rPr>
              <w:t>Мерна единица</w:t>
            </w:r>
          </w:p>
        </w:tc>
        <w:tc>
          <w:tcPr>
            <w:tcW w:w="2242" w:type="pct"/>
            <w:gridSpan w:val="4"/>
            <w:tcBorders>
              <w:top w:val="single" w:sz="4" w:space="0" w:color="auto"/>
              <w:left w:val="nil"/>
              <w:bottom w:val="single" w:sz="4" w:space="0" w:color="auto"/>
              <w:right w:val="nil"/>
            </w:tcBorders>
            <w:shd w:val="clear" w:color="auto" w:fill="auto"/>
            <w:vAlign w:val="center"/>
            <w:hideMark/>
          </w:tcPr>
          <w:p w:rsidR="00C35982" w:rsidRPr="0082145B" w:rsidRDefault="00C35982" w:rsidP="0082145B">
            <w:pPr>
              <w:spacing w:after="0"/>
              <w:jc w:val="center"/>
              <w:rPr>
                <w:rFonts w:eastAsia="Times New Roman" w:cs="Times New Roman"/>
                <w:b/>
                <w:bCs/>
                <w:iCs/>
                <w:color w:val="000000"/>
                <w:sz w:val="18"/>
                <w:szCs w:val="18"/>
              </w:rPr>
            </w:pPr>
            <w:r w:rsidRPr="0082145B">
              <w:rPr>
                <w:rFonts w:eastAsia="Times New Roman" w:cs="Times New Roman"/>
                <w:b/>
                <w:bCs/>
                <w:iCs/>
                <w:color w:val="000000"/>
                <w:sz w:val="18"/>
                <w:szCs w:val="18"/>
              </w:rPr>
              <w:t>Целева стойност</w:t>
            </w:r>
          </w:p>
        </w:tc>
      </w:tr>
      <w:tr w:rsidR="00C35982" w:rsidRPr="0074030B" w:rsidTr="00034C85">
        <w:trPr>
          <w:trHeight w:val="540"/>
          <w:tblHeader/>
        </w:trPr>
        <w:tc>
          <w:tcPr>
            <w:tcW w:w="2130" w:type="pct"/>
            <w:tcBorders>
              <w:top w:val="nil"/>
              <w:left w:val="nil"/>
              <w:bottom w:val="single" w:sz="4" w:space="0" w:color="auto"/>
              <w:right w:val="nil"/>
            </w:tcBorders>
            <w:shd w:val="clear" w:color="auto" w:fill="auto"/>
            <w:vAlign w:val="center"/>
            <w:hideMark/>
          </w:tcPr>
          <w:p w:rsidR="00C35982" w:rsidRPr="0074030B" w:rsidRDefault="00C35982" w:rsidP="0082145B">
            <w:pPr>
              <w:spacing w:after="0"/>
              <w:jc w:val="center"/>
              <w:rPr>
                <w:rFonts w:eastAsia="Times New Roman" w:cs="Times New Roman"/>
                <w:b/>
                <w:bCs/>
                <w:iCs/>
                <w:color w:val="000000"/>
                <w:sz w:val="18"/>
                <w:szCs w:val="18"/>
              </w:rPr>
            </w:pPr>
            <w:r w:rsidRPr="0074030B">
              <w:rPr>
                <w:rFonts w:eastAsia="Times New Roman" w:cs="Times New Roman"/>
                <w:b/>
                <w:bCs/>
                <w:iCs/>
                <w:color w:val="000000"/>
                <w:sz w:val="18"/>
                <w:szCs w:val="18"/>
              </w:rPr>
              <w:t>Наименование на индикатора</w:t>
            </w:r>
          </w:p>
        </w:tc>
        <w:tc>
          <w:tcPr>
            <w:tcW w:w="628" w:type="pct"/>
            <w:vMerge/>
            <w:tcBorders>
              <w:top w:val="single" w:sz="4" w:space="0" w:color="auto"/>
              <w:left w:val="nil"/>
              <w:bottom w:val="single" w:sz="4" w:space="0" w:color="auto"/>
              <w:right w:val="nil"/>
            </w:tcBorders>
            <w:shd w:val="clear" w:color="auto" w:fill="F2F2F2"/>
            <w:vAlign w:val="center"/>
            <w:hideMark/>
          </w:tcPr>
          <w:p w:rsidR="00C35982" w:rsidRPr="0074030B" w:rsidRDefault="00C35982" w:rsidP="0082145B">
            <w:pPr>
              <w:spacing w:after="0"/>
              <w:rPr>
                <w:rFonts w:eastAsia="Times New Roman" w:cs="Times New Roman"/>
                <w:b/>
                <w:bCs/>
                <w:i/>
                <w:iCs/>
                <w:color w:val="000000"/>
                <w:sz w:val="18"/>
                <w:szCs w:val="18"/>
              </w:rPr>
            </w:pPr>
          </w:p>
        </w:tc>
        <w:tc>
          <w:tcPr>
            <w:tcW w:w="627" w:type="pct"/>
            <w:tcBorders>
              <w:top w:val="nil"/>
              <w:left w:val="nil"/>
              <w:bottom w:val="single" w:sz="4" w:space="0" w:color="auto"/>
              <w:right w:val="nil"/>
            </w:tcBorders>
            <w:shd w:val="clear" w:color="auto" w:fill="auto"/>
            <w:vAlign w:val="center"/>
            <w:hideMark/>
          </w:tcPr>
          <w:p w:rsidR="00C35982" w:rsidRPr="0074030B" w:rsidRDefault="00C35982"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Програма 2019 г.</w:t>
            </w:r>
          </w:p>
        </w:tc>
        <w:tc>
          <w:tcPr>
            <w:tcW w:w="532" w:type="pct"/>
            <w:tcBorders>
              <w:top w:val="nil"/>
              <w:left w:val="nil"/>
              <w:bottom w:val="single" w:sz="4" w:space="0" w:color="auto"/>
              <w:right w:val="nil"/>
            </w:tcBorders>
            <w:shd w:val="clear" w:color="auto" w:fill="auto"/>
            <w:vAlign w:val="center"/>
            <w:hideMark/>
          </w:tcPr>
          <w:p w:rsidR="00C35982" w:rsidRPr="0074030B" w:rsidRDefault="00C35982"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Проект 2020 г.</w:t>
            </w:r>
          </w:p>
        </w:tc>
        <w:tc>
          <w:tcPr>
            <w:tcW w:w="542" w:type="pct"/>
            <w:tcBorders>
              <w:top w:val="nil"/>
              <w:left w:val="nil"/>
              <w:bottom w:val="single" w:sz="4" w:space="0" w:color="auto"/>
              <w:right w:val="nil"/>
            </w:tcBorders>
            <w:shd w:val="clear" w:color="auto" w:fill="auto"/>
            <w:vAlign w:val="center"/>
            <w:hideMark/>
          </w:tcPr>
          <w:p w:rsidR="00C35982" w:rsidRPr="0074030B" w:rsidRDefault="00C35982"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Прогноза 2021 г.</w:t>
            </w:r>
          </w:p>
        </w:tc>
        <w:tc>
          <w:tcPr>
            <w:tcW w:w="541" w:type="pct"/>
            <w:tcBorders>
              <w:top w:val="nil"/>
              <w:left w:val="nil"/>
              <w:bottom w:val="single" w:sz="4" w:space="0" w:color="auto"/>
              <w:right w:val="nil"/>
            </w:tcBorders>
            <w:shd w:val="clear" w:color="auto" w:fill="auto"/>
            <w:vAlign w:val="center"/>
            <w:hideMark/>
          </w:tcPr>
          <w:p w:rsidR="00C35982" w:rsidRPr="0074030B" w:rsidRDefault="00C35982" w:rsidP="0082145B">
            <w:pPr>
              <w:spacing w:after="0"/>
              <w:jc w:val="center"/>
              <w:rPr>
                <w:rFonts w:eastAsia="Times New Roman" w:cs="Times New Roman"/>
                <w:b/>
                <w:bCs/>
                <w:i/>
                <w:iCs/>
                <w:color w:val="000000"/>
                <w:sz w:val="18"/>
                <w:szCs w:val="18"/>
              </w:rPr>
            </w:pPr>
            <w:r w:rsidRPr="0074030B">
              <w:rPr>
                <w:rFonts w:eastAsia="Times New Roman" w:cs="Times New Roman"/>
                <w:b/>
                <w:bCs/>
                <w:i/>
                <w:iCs/>
                <w:color w:val="000000"/>
                <w:sz w:val="18"/>
                <w:szCs w:val="18"/>
              </w:rPr>
              <w:t>Прогноза 2022 г.</w:t>
            </w:r>
          </w:p>
        </w:tc>
      </w:tr>
      <w:tr w:rsidR="00C35982" w:rsidRPr="0074030B" w:rsidTr="00034C85">
        <w:trPr>
          <w:trHeight w:val="60"/>
        </w:trPr>
        <w:tc>
          <w:tcPr>
            <w:tcW w:w="2130" w:type="pct"/>
            <w:tcBorders>
              <w:top w:val="single" w:sz="4" w:space="0" w:color="auto"/>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1. Подкрепа на деца в риск</w:t>
            </w:r>
          </w:p>
        </w:tc>
        <w:tc>
          <w:tcPr>
            <w:tcW w:w="628" w:type="pct"/>
            <w:tcBorders>
              <w:top w:val="single" w:sz="4" w:space="0" w:color="auto"/>
              <w:left w:val="nil"/>
              <w:bottom w:val="nil"/>
              <w:right w:val="nil"/>
            </w:tcBorders>
            <w:shd w:val="clear" w:color="auto" w:fill="F2F2F2"/>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ср. мес. бр. случаи</w:t>
            </w:r>
          </w:p>
        </w:tc>
        <w:tc>
          <w:tcPr>
            <w:tcW w:w="627" w:type="pct"/>
            <w:tcBorders>
              <w:top w:val="single" w:sz="4" w:space="0" w:color="auto"/>
              <w:left w:val="nil"/>
              <w:bottom w:val="nil"/>
              <w:right w:val="nil"/>
            </w:tcBorders>
            <w:shd w:val="clear" w:color="000000" w:fill="FFFFFF"/>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6 600</w:t>
            </w:r>
          </w:p>
        </w:tc>
        <w:tc>
          <w:tcPr>
            <w:tcW w:w="532" w:type="pct"/>
            <w:tcBorders>
              <w:top w:val="single" w:sz="4" w:space="0" w:color="auto"/>
              <w:left w:val="nil"/>
              <w:bottom w:val="nil"/>
              <w:right w:val="nil"/>
            </w:tcBorders>
            <w:shd w:val="clear" w:color="000000" w:fill="FFFFFF"/>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6 600</w:t>
            </w:r>
          </w:p>
        </w:tc>
        <w:tc>
          <w:tcPr>
            <w:tcW w:w="542" w:type="pct"/>
            <w:tcBorders>
              <w:top w:val="single" w:sz="4" w:space="0" w:color="auto"/>
              <w:left w:val="nil"/>
              <w:bottom w:val="nil"/>
              <w:right w:val="nil"/>
            </w:tcBorders>
            <w:shd w:val="clear" w:color="000000" w:fill="FFFFFF"/>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6 600</w:t>
            </w:r>
          </w:p>
        </w:tc>
        <w:tc>
          <w:tcPr>
            <w:tcW w:w="541" w:type="pct"/>
            <w:tcBorders>
              <w:top w:val="single" w:sz="4" w:space="0" w:color="auto"/>
              <w:left w:val="nil"/>
              <w:bottom w:val="nil"/>
              <w:right w:val="nil"/>
            </w:tcBorders>
            <w:shd w:val="clear" w:color="000000" w:fill="FFFFFF"/>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6 600</w:t>
            </w:r>
          </w:p>
        </w:tc>
      </w:tr>
      <w:tr w:rsidR="00C35982" w:rsidRPr="0074030B" w:rsidTr="0082145B">
        <w:trPr>
          <w:trHeight w:val="300"/>
        </w:trPr>
        <w:tc>
          <w:tcPr>
            <w:tcW w:w="2130"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 xml:space="preserve">2. Еднократна помощ при раждане на дете </w:t>
            </w:r>
          </w:p>
        </w:tc>
        <w:tc>
          <w:tcPr>
            <w:tcW w:w="628" w:type="pct"/>
            <w:tcBorders>
              <w:top w:val="nil"/>
              <w:left w:val="nil"/>
              <w:bottom w:val="nil"/>
              <w:right w:val="nil"/>
            </w:tcBorders>
            <w:shd w:val="clear" w:color="auto" w:fill="F2F2F2"/>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бр. деца</w:t>
            </w:r>
          </w:p>
        </w:tc>
        <w:tc>
          <w:tcPr>
            <w:tcW w:w="627"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lang w:val="en-US"/>
              </w:rPr>
            </w:pPr>
            <w:r>
              <w:rPr>
                <w:rFonts w:eastAsia="Times New Roman" w:cs="Times New Roman"/>
                <w:sz w:val="18"/>
                <w:szCs w:val="18"/>
                <w:lang w:val="en-US"/>
              </w:rPr>
              <w:t>64 000</w:t>
            </w:r>
          </w:p>
        </w:tc>
        <w:tc>
          <w:tcPr>
            <w:tcW w:w="532"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64 000</w:t>
            </w:r>
          </w:p>
        </w:tc>
        <w:tc>
          <w:tcPr>
            <w:tcW w:w="542"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64 000</w:t>
            </w:r>
          </w:p>
        </w:tc>
        <w:tc>
          <w:tcPr>
            <w:tcW w:w="541"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64 000</w:t>
            </w:r>
          </w:p>
        </w:tc>
      </w:tr>
      <w:tr w:rsidR="00C35982" w:rsidRPr="0074030B" w:rsidTr="0082145B">
        <w:trPr>
          <w:trHeight w:val="510"/>
        </w:trPr>
        <w:tc>
          <w:tcPr>
            <w:tcW w:w="2130"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 xml:space="preserve">3. Еднократна помощ за ученици, записани в първи клас </w:t>
            </w:r>
          </w:p>
        </w:tc>
        <w:tc>
          <w:tcPr>
            <w:tcW w:w="628" w:type="pct"/>
            <w:tcBorders>
              <w:top w:val="nil"/>
              <w:left w:val="nil"/>
              <w:bottom w:val="nil"/>
              <w:right w:val="nil"/>
            </w:tcBorders>
            <w:shd w:val="clear" w:color="auto" w:fill="F2F2F2"/>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бр. деца</w:t>
            </w:r>
          </w:p>
        </w:tc>
        <w:tc>
          <w:tcPr>
            <w:tcW w:w="627"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lang w:val="en-US"/>
              </w:rPr>
            </w:pPr>
            <w:r>
              <w:rPr>
                <w:rFonts w:eastAsia="Times New Roman" w:cs="Times New Roman"/>
                <w:sz w:val="18"/>
                <w:szCs w:val="18"/>
                <w:lang w:val="en-US"/>
              </w:rPr>
              <w:t>43 8</w:t>
            </w:r>
            <w:r w:rsidRPr="0074030B">
              <w:rPr>
                <w:rFonts w:eastAsia="Times New Roman" w:cs="Times New Roman"/>
                <w:sz w:val="18"/>
                <w:szCs w:val="18"/>
                <w:lang w:val="en-US"/>
              </w:rPr>
              <w:t>00</w:t>
            </w:r>
          </w:p>
        </w:tc>
        <w:tc>
          <w:tcPr>
            <w:tcW w:w="532"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43 800</w:t>
            </w:r>
          </w:p>
        </w:tc>
        <w:tc>
          <w:tcPr>
            <w:tcW w:w="542"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43 800</w:t>
            </w:r>
          </w:p>
        </w:tc>
        <w:tc>
          <w:tcPr>
            <w:tcW w:w="541"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43 800</w:t>
            </w:r>
          </w:p>
        </w:tc>
      </w:tr>
      <w:tr w:rsidR="00C35982" w:rsidRPr="0074030B" w:rsidTr="0082145B">
        <w:trPr>
          <w:trHeight w:val="765"/>
        </w:trPr>
        <w:tc>
          <w:tcPr>
            <w:tcW w:w="2130"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 xml:space="preserve">4. Месечни помощи за отглеждане на дете до завършване на средно образование, но не повече от 20-годишна възраст </w:t>
            </w:r>
          </w:p>
        </w:tc>
        <w:tc>
          <w:tcPr>
            <w:tcW w:w="628" w:type="pct"/>
            <w:tcBorders>
              <w:top w:val="nil"/>
              <w:left w:val="nil"/>
              <w:bottom w:val="nil"/>
              <w:right w:val="nil"/>
            </w:tcBorders>
            <w:shd w:val="clear" w:color="auto" w:fill="F2F2F2"/>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ср. мес. бр. деца</w:t>
            </w:r>
          </w:p>
        </w:tc>
        <w:tc>
          <w:tcPr>
            <w:tcW w:w="627"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lang w:val="en-US"/>
              </w:rPr>
            </w:pPr>
            <w:r>
              <w:rPr>
                <w:rFonts w:eastAsia="Times New Roman" w:cs="Times New Roman"/>
                <w:sz w:val="18"/>
                <w:szCs w:val="18"/>
                <w:lang w:val="en-US"/>
              </w:rPr>
              <w:t>616 735</w:t>
            </w:r>
          </w:p>
        </w:tc>
        <w:tc>
          <w:tcPr>
            <w:tcW w:w="532"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572 000</w:t>
            </w:r>
          </w:p>
        </w:tc>
        <w:tc>
          <w:tcPr>
            <w:tcW w:w="542"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572 000</w:t>
            </w:r>
          </w:p>
        </w:tc>
        <w:tc>
          <w:tcPr>
            <w:tcW w:w="541" w:type="pct"/>
            <w:tcBorders>
              <w:top w:val="nil"/>
              <w:left w:val="nil"/>
              <w:bottom w:val="nil"/>
              <w:right w:val="nil"/>
            </w:tcBorders>
            <w:shd w:val="clear" w:color="auto" w:fill="auto"/>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572 000</w:t>
            </w:r>
          </w:p>
        </w:tc>
      </w:tr>
      <w:tr w:rsidR="00C35982" w:rsidRPr="0074030B" w:rsidTr="0082145B">
        <w:trPr>
          <w:trHeight w:val="510"/>
        </w:trPr>
        <w:tc>
          <w:tcPr>
            <w:tcW w:w="2130" w:type="pct"/>
            <w:tcBorders>
              <w:top w:val="nil"/>
              <w:left w:val="nil"/>
              <w:bottom w:val="single" w:sz="4" w:space="0" w:color="auto"/>
              <w:right w:val="nil"/>
            </w:tcBorders>
            <w:shd w:val="clear" w:color="auto" w:fill="auto"/>
            <w:hideMark/>
          </w:tcPr>
          <w:p w:rsidR="00C35982" w:rsidRPr="0074030B" w:rsidRDefault="00C35982" w:rsidP="0082145B">
            <w:pPr>
              <w:widowControl w:val="0"/>
              <w:autoSpaceDE w:val="0"/>
              <w:autoSpaceDN w:val="0"/>
              <w:adjustRightInd w:val="0"/>
              <w:spacing w:after="0"/>
              <w:rPr>
                <w:rFonts w:eastAsia="Times New Roman" w:cs="Times New Roman"/>
                <w:sz w:val="18"/>
                <w:szCs w:val="18"/>
              </w:rPr>
            </w:pPr>
            <w:r w:rsidRPr="0074030B">
              <w:rPr>
                <w:rFonts w:eastAsia="Times New Roman" w:cs="Times New Roman"/>
                <w:sz w:val="18"/>
                <w:szCs w:val="18"/>
              </w:rPr>
              <w:t xml:space="preserve">5. Месечни помощи за отглеждане на дете с трайно увреждане </w:t>
            </w:r>
          </w:p>
        </w:tc>
        <w:tc>
          <w:tcPr>
            <w:tcW w:w="628" w:type="pct"/>
            <w:tcBorders>
              <w:top w:val="nil"/>
              <w:left w:val="nil"/>
              <w:bottom w:val="single" w:sz="4" w:space="0" w:color="auto"/>
              <w:right w:val="nil"/>
            </w:tcBorders>
            <w:shd w:val="clear" w:color="auto" w:fill="F2F2F2"/>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ср. мес. бр. случаи</w:t>
            </w:r>
          </w:p>
        </w:tc>
        <w:tc>
          <w:tcPr>
            <w:tcW w:w="627" w:type="pct"/>
            <w:tcBorders>
              <w:top w:val="nil"/>
              <w:left w:val="nil"/>
              <w:bottom w:val="single" w:sz="4" w:space="0" w:color="auto"/>
              <w:right w:val="nil"/>
            </w:tcBorders>
            <w:shd w:val="clear" w:color="auto" w:fill="auto"/>
            <w:vAlign w:val="center"/>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lang w:val="en-US"/>
              </w:rPr>
            </w:pPr>
            <w:r>
              <w:rPr>
                <w:rFonts w:eastAsia="Times New Roman" w:cs="Times New Roman"/>
                <w:sz w:val="18"/>
                <w:szCs w:val="18"/>
                <w:lang w:val="en-US"/>
              </w:rPr>
              <w:t>27 000</w:t>
            </w:r>
          </w:p>
        </w:tc>
        <w:tc>
          <w:tcPr>
            <w:tcW w:w="532" w:type="pct"/>
            <w:tcBorders>
              <w:top w:val="nil"/>
              <w:left w:val="nil"/>
              <w:bottom w:val="single" w:sz="4" w:space="0" w:color="auto"/>
              <w:right w:val="nil"/>
            </w:tcBorders>
            <w:shd w:val="clear" w:color="auto" w:fill="auto"/>
            <w:vAlign w:val="center"/>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27 000</w:t>
            </w:r>
          </w:p>
        </w:tc>
        <w:tc>
          <w:tcPr>
            <w:tcW w:w="542" w:type="pct"/>
            <w:tcBorders>
              <w:top w:val="nil"/>
              <w:left w:val="nil"/>
              <w:bottom w:val="single" w:sz="4" w:space="0" w:color="auto"/>
              <w:right w:val="nil"/>
            </w:tcBorders>
            <w:shd w:val="clear" w:color="auto" w:fill="auto"/>
            <w:vAlign w:val="center"/>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27 000</w:t>
            </w:r>
          </w:p>
        </w:tc>
        <w:tc>
          <w:tcPr>
            <w:tcW w:w="541" w:type="pct"/>
            <w:tcBorders>
              <w:top w:val="nil"/>
              <w:left w:val="nil"/>
              <w:bottom w:val="single" w:sz="4" w:space="0" w:color="auto"/>
              <w:right w:val="nil"/>
            </w:tcBorders>
            <w:shd w:val="clear" w:color="auto" w:fill="auto"/>
            <w:noWrap/>
            <w:vAlign w:val="center"/>
            <w:hideMark/>
          </w:tcPr>
          <w:p w:rsidR="00C35982" w:rsidRPr="0074030B" w:rsidRDefault="00C35982" w:rsidP="0082145B">
            <w:pPr>
              <w:widowControl w:val="0"/>
              <w:autoSpaceDE w:val="0"/>
              <w:autoSpaceDN w:val="0"/>
              <w:adjustRightInd w:val="0"/>
              <w:spacing w:after="0"/>
              <w:jc w:val="center"/>
              <w:rPr>
                <w:rFonts w:eastAsia="Times New Roman" w:cs="Times New Roman"/>
                <w:sz w:val="18"/>
                <w:szCs w:val="18"/>
              </w:rPr>
            </w:pPr>
            <w:r w:rsidRPr="0074030B">
              <w:rPr>
                <w:rFonts w:eastAsia="Times New Roman" w:cs="Times New Roman"/>
                <w:sz w:val="18"/>
                <w:szCs w:val="18"/>
              </w:rPr>
              <w:t>27 000</w:t>
            </w:r>
          </w:p>
        </w:tc>
      </w:tr>
    </w:tbl>
    <w:p w:rsidR="00C35982" w:rsidRDefault="00C35982" w:rsidP="002B560B">
      <w:pPr>
        <w:spacing w:before="120" w:after="0"/>
        <w:rPr>
          <w:rFonts w:eastAsia="Batang"/>
        </w:rPr>
      </w:pPr>
    </w:p>
    <w:p w:rsidR="00876729" w:rsidRPr="00876729" w:rsidRDefault="00876729" w:rsidP="00876729">
      <w:pPr>
        <w:spacing w:before="120" w:after="0"/>
        <w:rPr>
          <w:rFonts w:eastAsia="Batang"/>
        </w:rPr>
      </w:pPr>
      <w:r w:rsidRPr="00876729">
        <w:rPr>
          <w:rFonts w:eastAsia="Batang"/>
        </w:rPr>
        <w:t>Съгласно Закона за социалните услуги, считано от 01.01.2020 г. ще се създаде Агенция за качеството на социалните услуги (АКСУ) като изпълнителна агенция към министъра на труда и социалната политика. Агенцията ще бъде създадена в рамките на щатната численост на Министерството на труда и социалната политика</w:t>
      </w:r>
      <w:r w:rsidR="00B9642E">
        <w:rPr>
          <w:rFonts w:eastAsia="Batang"/>
        </w:rPr>
        <w:t xml:space="preserve">и </w:t>
      </w:r>
      <w:r w:rsidRPr="00876729">
        <w:rPr>
          <w:rFonts w:eastAsia="Batang"/>
        </w:rPr>
        <w:t>ще бъде с функции, свързани с осъществяването на контрол и мониторинг на системата на социалните услуги с цел постигане на качество и ефективност на услугите.</w:t>
      </w:r>
    </w:p>
    <w:p w:rsidR="00876729" w:rsidRDefault="00876729" w:rsidP="00876729">
      <w:pPr>
        <w:spacing w:before="120" w:after="0"/>
        <w:rPr>
          <w:rFonts w:eastAsia="Batang"/>
        </w:rPr>
      </w:pPr>
      <w:r w:rsidRPr="00876729">
        <w:rPr>
          <w:rFonts w:eastAsia="Batang"/>
        </w:rPr>
        <w:t>За реализирането на тази политика за 2020 г. са предвидени 541,6 млн. лв. при запазване на размера на средномесечния доход на член от семейството за достъп до помощи по Закона за семейни помощи за деца.</w:t>
      </w:r>
    </w:p>
    <w:p w:rsidR="00876729" w:rsidRDefault="00876729" w:rsidP="002B560B">
      <w:pPr>
        <w:spacing w:before="120" w:after="0"/>
        <w:rPr>
          <w:rFonts w:eastAsia="Batang"/>
        </w:rPr>
      </w:pPr>
    </w:p>
    <w:p w:rsidR="00071E32" w:rsidRDefault="00071E32" w:rsidP="00071E32">
      <w:pPr>
        <w:pStyle w:val="Heading4"/>
        <w:rPr>
          <w:rFonts w:eastAsia="Times New Roman"/>
        </w:rPr>
      </w:pPr>
      <w:r w:rsidRPr="00453C6C">
        <w:rPr>
          <w:rFonts w:eastAsia="Times New Roman"/>
        </w:rPr>
        <w:t>Политика в областта на жизненото равнище, демографското развитие и социалните инвестиции</w:t>
      </w:r>
    </w:p>
    <w:p w:rsidR="00C35982" w:rsidRDefault="00C35982" w:rsidP="00071E32">
      <w:pPr>
        <w:spacing w:before="120" w:after="0"/>
        <w:rPr>
          <w:rFonts w:eastAsia="Batang"/>
        </w:rPr>
      </w:pPr>
    </w:p>
    <w:p w:rsidR="00C35982" w:rsidRPr="0074030B" w:rsidRDefault="00C35982" w:rsidP="00C35982">
      <w:pPr>
        <w:spacing w:after="120"/>
        <w:rPr>
          <w:rFonts w:eastAsia="Batang" w:cs="Times New Roman"/>
        </w:rPr>
      </w:pPr>
      <w:r w:rsidRPr="0074030B">
        <w:rPr>
          <w:rFonts w:eastAsia="Batang" w:cs="Times New Roman"/>
        </w:rPr>
        <w:t xml:space="preserve">Политиката в областта на жизненото равнище, демографското развитие и социалните инвестиции се разработва в съответствие с приоритетите, заложени </w:t>
      </w:r>
      <w:r w:rsidR="00F32B45">
        <w:rPr>
          <w:rFonts w:eastAsia="Batang" w:cs="Times New Roman"/>
        </w:rPr>
        <w:t>в</w:t>
      </w:r>
      <w:r w:rsidRPr="0074030B">
        <w:rPr>
          <w:rFonts w:eastAsia="Batang" w:cs="Times New Roman"/>
        </w:rPr>
        <w:t xml:space="preserve"> Програмата </w:t>
      </w:r>
      <w:r w:rsidR="00F53570">
        <w:rPr>
          <w:rFonts w:eastAsia="Batang" w:cs="Times New Roman"/>
        </w:rPr>
        <w:t xml:space="preserve">за управление </w:t>
      </w:r>
      <w:r w:rsidRPr="0074030B">
        <w:rPr>
          <w:rFonts w:eastAsia="Batang" w:cs="Times New Roman"/>
        </w:rPr>
        <w:t xml:space="preserve">на правителството на Република България за периода 2017-2021 г., в Националната програма за реформи и в Конвергентната програма 2019-2022 г. </w:t>
      </w:r>
    </w:p>
    <w:p w:rsidR="00C35982" w:rsidRPr="0074030B" w:rsidRDefault="00C35982" w:rsidP="00C35982">
      <w:pPr>
        <w:spacing w:after="120"/>
        <w:ind w:right="-2"/>
        <w:rPr>
          <w:rFonts w:eastAsia="Batang" w:cs="Times New Roman"/>
        </w:rPr>
      </w:pPr>
      <w:r w:rsidRPr="0074030B">
        <w:rPr>
          <w:rFonts w:eastAsia="Batang" w:cs="Times New Roman"/>
        </w:rPr>
        <w:t xml:space="preserve">Посрещането на демографските предизвикателства има пряко значение за изпълнение на заложените приоритети. Повишаването на качествените параметри на възпроизводството на населението се превръща в основно предизвикателство пред демографската политика на страната в контекста на концепцията за устойчиво развитие в процеса на пълноправно европейско членство на България и изграждане на икономика, основана на знанията. </w:t>
      </w:r>
      <w:r w:rsidR="00876729" w:rsidRPr="00876729">
        <w:rPr>
          <w:rFonts w:eastAsia="Batang" w:cs="Times New Roman"/>
        </w:rPr>
        <w:t xml:space="preserve">Демографската политика е поставена на широка междусекторна основа и се основава на принципите на хоризонтално въздействие и прилагане на интегриран подход. </w:t>
      </w:r>
    </w:p>
    <w:p w:rsidR="00C35982" w:rsidRDefault="00C35982" w:rsidP="0083795C">
      <w:pPr>
        <w:spacing w:after="120"/>
        <w:ind w:right="-2"/>
        <w:rPr>
          <w:rFonts w:eastAsia="Batang" w:cs="Times New Roman"/>
        </w:rPr>
      </w:pPr>
      <w:r w:rsidRPr="0074030B">
        <w:rPr>
          <w:rFonts w:eastAsia="Batang" w:cs="Times New Roman"/>
        </w:rPr>
        <w:t xml:space="preserve">Социалната икономика и социалното предприемачество като израз на социалната ангажираност на държавата за стимулиране на предприемаческата активност, предимно на лица от уязвими групи се осъществява в подкрепа на икономическата устойчивост на страната и социалната приобщеност на гражданите. Реализирането на дейности в областта на корпоративната социална отговорност съвместно със заинтересованите страни от бизнеса, публичния и гражданския сектор осигурява важни ползи за предприятията по отношение на управлението на риска, спестяване на разходи, достъп до капитал, връзки с клиентите, управление на човешките ресурси, способност за иновации и се основава на ценности, върху които може да се изгради по-сплотено </w:t>
      </w:r>
      <w:r w:rsidR="0083795C">
        <w:rPr>
          <w:rFonts w:eastAsia="Batang" w:cs="Times New Roman"/>
        </w:rPr>
        <w:t>и социално ангажирано общество.</w:t>
      </w:r>
    </w:p>
    <w:p w:rsidR="0083795C" w:rsidRPr="0083795C" w:rsidRDefault="0083795C" w:rsidP="0083795C">
      <w:pPr>
        <w:spacing w:after="120"/>
        <w:ind w:right="-2"/>
        <w:rPr>
          <w:rFonts w:eastAsia="Batang" w:cs="Times New Roman"/>
        </w:rPr>
      </w:pPr>
    </w:p>
    <w:p w:rsidR="006E5E17" w:rsidRDefault="006E5E17" w:rsidP="00C35982">
      <w:pPr>
        <w:jc w:val="left"/>
        <w:rPr>
          <w:rFonts w:cs="Times New Roman"/>
          <w:b/>
          <w:sz w:val="20"/>
          <w:szCs w:val="20"/>
        </w:rPr>
      </w:pPr>
      <w:r w:rsidRPr="00E71A58">
        <w:rPr>
          <w:rFonts w:cs="Times New Roman"/>
          <w:b/>
          <w:sz w:val="20"/>
          <w:szCs w:val="20"/>
        </w:rPr>
        <w:t>КЛЮЧОВИ ИНДИКАТОРИ ЗА ИЗПЪЛНЕНИЕ И ЦЕЛЕВИ СТОЙНОСТИ</w:t>
      </w:r>
    </w:p>
    <w:tbl>
      <w:tblPr>
        <w:tblW w:w="5038" w:type="pct"/>
        <w:tblCellMar>
          <w:left w:w="70" w:type="dxa"/>
          <w:right w:w="70" w:type="dxa"/>
        </w:tblCellMar>
        <w:tblLook w:val="04A0" w:firstRow="1" w:lastRow="0" w:firstColumn="1" w:lastColumn="0" w:noHBand="0" w:noVBand="1"/>
      </w:tblPr>
      <w:tblGrid>
        <w:gridCol w:w="4118"/>
        <w:gridCol w:w="883"/>
        <w:gridCol w:w="1137"/>
        <w:gridCol w:w="965"/>
        <w:gridCol w:w="983"/>
        <w:gridCol w:w="1053"/>
      </w:tblGrid>
      <w:tr w:rsidR="00876729" w:rsidRPr="00FD3457" w:rsidTr="001370B5">
        <w:trPr>
          <w:trHeight w:val="540"/>
          <w:tblHeader/>
        </w:trPr>
        <w:tc>
          <w:tcPr>
            <w:tcW w:w="2253" w:type="pct"/>
            <w:tcBorders>
              <w:top w:val="single" w:sz="4" w:space="0" w:color="auto"/>
              <w:left w:val="nil"/>
              <w:bottom w:val="nil"/>
              <w:right w:val="nil"/>
            </w:tcBorders>
            <w:shd w:val="clear" w:color="auto" w:fill="auto"/>
            <w:vAlign w:val="center"/>
            <w:hideMark/>
          </w:tcPr>
          <w:p w:rsidR="00876729" w:rsidRPr="00FD3457" w:rsidRDefault="00876729" w:rsidP="001370B5">
            <w:pPr>
              <w:spacing w:after="0"/>
              <w:jc w:val="center"/>
              <w:rPr>
                <w:rFonts w:eastAsia="Times New Roman" w:cs="Times New Roman"/>
                <w:b/>
                <w:bCs/>
                <w:i/>
                <w:iCs/>
                <w:color w:val="000000"/>
                <w:sz w:val="18"/>
                <w:szCs w:val="18"/>
              </w:rPr>
            </w:pPr>
            <w:r w:rsidRPr="00FD3457">
              <w:rPr>
                <w:rFonts w:eastAsia="Times New Roman" w:cs="Times New Roman"/>
                <w:b/>
                <w:bCs/>
                <w:i/>
                <w:iCs/>
                <w:color w:val="000000"/>
                <w:sz w:val="18"/>
                <w:szCs w:val="18"/>
              </w:rPr>
              <w:t>Политика в областта на жизненото равнище, демографското развитие и социалните инвестиции</w:t>
            </w:r>
          </w:p>
        </w:tc>
        <w:tc>
          <w:tcPr>
            <w:tcW w:w="483" w:type="pct"/>
            <w:vMerge w:val="restart"/>
            <w:tcBorders>
              <w:top w:val="single" w:sz="4" w:space="0" w:color="auto"/>
              <w:left w:val="nil"/>
              <w:bottom w:val="nil"/>
              <w:right w:val="nil"/>
            </w:tcBorders>
            <w:shd w:val="clear" w:color="auto" w:fill="F2F2F2"/>
            <w:vAlign w:val="center"/>
            <w:hideMark/>
          </w:tcPr>
          <w:p w:rsidR="00876729" w:rsidRPr="00FD3457" w:rsidRDefault="00876729" w:rsidP="001370B5">
            <w:pPr>
              <w:spacing w:after="0"/>
              <w:jc w:val="center"/>
              <w:rPr>
                <w:rFonts w:eastAsia="Times New Roman" w:cs="Times New Roman"/>
                <w:b/>
                <w:bCs/>
                <w:iCs/>
                <w:color w:val="000000"/>
                <w:sz w:val="18"/>
                <w:szCs w:val="18"/>
              </w:rPr>
            </w:pPr>
            <w:r w:rsidRPr="00FD3457">
              <w:rPr>
                <w:rFonts w:eastAsia="Times New Roman" w:cs="Times New Roman"/>
                <w:b/>
                <w:bCs/>
                <w:iCs/>
                <w:color w:val="000000"/>
                <w:sz w:val="18"/>
                <w:szCs w:val="18"/>
              </w:rPr>
              <w:t>Мерна единица</w:t>
            </w:r>
          </w:p>
        </w:tc>
        <w:tc>
          <w:tcPr>
            <w:tcW w:w="2264" w:type="pct"/>
            <w:gridSpan w:val="4"/>
            <w:tcBorders>
              <w:top w:val="single" w:sz="4" w:space="0" w:color="auto"/>
              <w:left w:val="nil"/>
              <w:bottom w:val="single" w:sz="4" w:space="0" w:color="auto"/>
              <w:right w:val="nil"/>
            </w:tcBorders>
            <w:shd w:val="clear" w:color="auto" w:fill="auto"/>
            <w:vAlign w:val="center"/>
            <w:hideMark/>
          </w:tcPr>
          <w:p w:rsidR="00876729" w:rsidRPr="00BC64E2" w:rsidRDefault="00876729" w:rsidP="001370B5">
            <w:pPr>
              <w:spacing w:after="0"/>
              <w:jc w:val="center"/>
              <w:rPr>
                <w:b/>
                <w:color w:val="000000"/>
                <w:sz w:val="18"/>
              </w:rPr>
            </w:pPr>
            <w:r w:rsidRPr="00BC64E2">
              <w:rPr>
                <w:b/>
                <w:color w:val="000000"/>
                <w:sz w:val="18"/>
              </w:rPr>
              <w:t>Целева стойност</w:t>
            </w:r>
          </w:p>
        </w:tc>
      </w:tr>
      <w:tr w:rsidR="00876729" w:rsidRPr="00FD3457" w:rsidTr="00034C85">
        <w:trPr>
          <w:trHeight w:val="540"/>
          <w:tblHeader/>
        </w:trPr>
        <w:tc>
          <w:tcPr>
            <w:tcW w:w="2253" w:type="pct"/>
            <w:tcBorders>
              <w:top w:val="nil"/>
              <w:left w:val="nil"/>
              <w:bottom w:val="single" w:sz="4" w:space="0" w:color="auto"/>
              <w:right w:val="nil"/>
            </w:tcBorders>
            <w:shd w:val="clear" w:color="auto" w:fill="auto"/>
            <w:vAlign w:val="center"/>
            <w:hideMark/>
          </w:tcPr>
          <w:p w:rsidR="00876729" w:rsidRPr="00FD3457" w:rsidRDefault="00876729" w:rsidP="001370B5">
            <w:pPr>
              <w:spacing w:after="0"/>
              <w:jc w:val="center"/>
              <w:rPr>
                <w:rFonts w:eastAsia="Times New Roman" w:cs="Times New Roman"/>
                <w:b/>
                <w:bCs/>
                <w:iCs/>
                <w:color w:val="000000"/>
                <w:sz w:val="18"/>
                <w:szCs w:val="18"/>
              </w:rPr>
            </w:pPr>
            <w:r w:rsidRPr="00FD3457">
              <w:rPr>
                <w:rFonts w:eastAsia="Times New Roman" w:cs="Times New Roman"/>
                <w:b/>
                <w:bCs/>
                <w:iCs/>
                <w:color w:val="000000"/>
                <w:sz w:val="18"/>
                <w:szCs w:val="18"/>
              </w:rPr>
              <w:t>Наименование на индикатора</w:t>
            </w:r>
          </w:p>
        </w:tc>
        <w:tc>
          <w:tcPr>
            <w:tcW w:w="483" w:type="pct"/>
            <w:vMerge/>
            <w:tcBorders>
              <w:top w:val="single" w:sz="4" w:space="0" w:color="auto"/>
              <w:left w:val="nil"/>
              <w:bottom w:val="single" w:sz="4" w:space="0" w:color="auto"/>
              <w:right w:val="nil"/>
            </w:tcBorders>
            <w:shd w:val="clear" w:color="auto" w:fill="F2F2F2"/>
            <w:vAlign w:val="center"/>
            <w:hideMark/>
          </w:tcPr>
          <w:p w:rsidR="00876729" w:rsidRPr="00FD3457" w:rsidRDefault="00876729" w:rsidP="001370B5">
            <w:pPr>
              <w:spacing w:after="0"/>
              <w:rPr>
                <w:rFonts w:eastAsia="Times New Roman" w:cs="Times New Roman"/>
                <w:b/>
                <w:bCs/>
                <w:i/>
                <w:iCs/>
                <w:color w:val="000000"/>
                <w:sz w:val="18"/>
                <w:szCs w:val="18"/>
              </w:rPr>
            </w:pPr>
          </w:p>
        </w:tc>
        <w:tc>
          <w:tcPr>
            <w:tcW w:w="622" w:type="pct"/>
            <w:tcBorders>
              <w:top w:val="nil"/>
              <w:left w:val="nil"/>
              <w:bottom w:val="single" w:sz="4" w:space="0" w:color="auto"/>
              <w:right w:val="nil"/>
            </w:tcBorders>
            <w:shd w:val="clear" w:color="auto" w:fill="auto"/>
            <w:vAlign w:val="center"/>
            <w:hideMark/>
          </w:tcPr>
          <w:p w:rsidR="00876729" w:rsidRPr="00FD3457" w:rsidRDefault="00876729" w:rsidP="001370B5">
            <w:pPr>
              <w:spacing w:after="0"/>
              <w:jc w:val="center"/>
              <w:rPr>
                <w:rFonts w:eastAsia="Times New Roman" w:cs="Times New Roman"/>
                <w:b/>
                <w:bCs/>
                <w:i/>
                <w:iCs/>
                <w:color w:val="000000"/>
                <w:sz w:val="18"/>
                <w:szCs w:val="18"/>
              </w:rPr>
            </w:pPr>
            <w:r w:rsidRPr="00FD3457">
              <w:rPr>
                <w:rFonts w:eastAsia="Times New Roman" w:cs="Times New Roman"/>
                <w:b/>
                <w:bCs/>
                <w:i/>
                <w:iCs/>
                <w:color w:val="000000"/>
                <w:sz w:val="18"/>
                <w:szCs w:val="18"/>
              </w:rPr>
              <w:t>Програма 2019 г.</w:t>
            </w:r>
          </w:p>
        </w:tc>
        <w:tc>
          <w:tcPr>
            <w:tcW w:w="528" w:type="pct"/>
            <w:tcBorders>
              <w:top w:val="nil"/>
              <w:left w:val="nil"/>
              <w:bottom w:val="single" w:sz="4" w:space="0" w:color="auto"/>
              <w:right w:val="nil"/>
            </w:tcBorders>
            <w:shd w:val="clear" w:color="auto" w:fill="auto"/>
            <w:vAlign w:val="center"/>
            <w:hideMark/>
          </w:tcPr>
          <w:p w:rsidR="00876729" w:rsidRPr="00FD3457" w:rsidRDefault="00876729" w:rsidP="001370B5">
            <w:pPr>
              <w:spacing w:after="0"/>
              <w:jc w:val="center"/>
              <w:rPr>
                <w:rFonts w:eastAsia="Times New Roman" w:cs="Times New Roman"/>
                <w:b/>
                <w:bCs/>
                <w:i/>
                <w:iCs/>
                <w:color w:val="000000"/>
                <w:sz w:val="18"/>
                <w:szCs w:val="18"/>
              </w:rPr>
            </w:pPr>
            <w:r w:rsidRPr="00FD3457">
              <w:rPr>
                <w:rFonts w:eastAsia="Times New Roman" w:cs="Times New Roman"/>
                <w:b/>
                <w:bCs/>
                <w:i/>
                <w:iCs/>
                <w:color w:val="000000"/>
                <w:sz w:val="18"/>
                <w:szCs w:val="18"/>
              </w:rPr>
              <w:t>Проект 2020 г.</w:t>
            </w:r>
          </w:p>
        </w:tc>
        <w:tc>
          <w:tcPr>
            <w:tcW w:w="538" w:type="pct"/>
            <w:tcBorders>
              <w:top w:val="nil"/>
              <w:left w:val="nil"/>
              <w:bottom w:val="single" w:sz="4" w:space="0" w:color="auto"/>
              <w:right w:val="nil"/>
            </w:tcBorders>
            <w:shd w:val="clear" w:color="auto" w:fill="auto"/>
            <w:vAlign w:val="center"/>
            <w:hideMark/>
          </w:tcPr>
          <w:p w:rsidR="00876729" w:rsidRPr="00FD3457" w:rsidRDefault="00876729" w:rsidP="001370B5">
            <w:pPr>
              <w:spacing w:after="0"/>
              <w:jc w:val="center"/>
              <w:rPr>
                <w:rFonts w:eastAsia="Times New Roman" w:cs="Times New Roman"/>
                <w:b/>
                <w:bCs/>
                <w:i/>
                <w:iCs/>
                <w:color w:val="000000"/>
                <w:sz w:val="18"/>
                <w:szCs w:val="18"/>
              </w:rPr>
            </w:pPr>
            <w:r w:rsidRPr="00FD3457">
              <w:rPr>
                <w:rFonts w:eastAsia="Times New Roman" w:cs="Times New Roman"/>
                <w:b/>
                <w:bCs/>
                <w:i/>
                <w:iCs/>
                <w:color w:val="000000"/>
                <w:sz w:val="18"/>
                <w:szCs w:val="18"/>
              </w:rPr>
              <w:t>Прогноза 2021 г.</w:t>
            </w:r>
          </w:p>
        </w:tc>
        <w:tc>
          <w:tcPr>
            <w:tcW w:w="576" w:type="pct"/>
            <w:tcBorders>
              <w:top w:val="nil"/>
              <w:left w:val="nil"/>
              <w:bottom w:val="single" w:sz="4" w:space="0" w:color="auto"/>
              <w:right w:val="nil"/>
            </w:tcBorders>
            <w:shd w:val="clear" w:color="auto" w:fill="auto"/>
            <w:vAlign w:val="center"/>
            <w:hideMark/>
          </w:tcPr>
          <w:p w:rsidR="00876729" w:rsidRPr="00FD3457" w:rsidRDefault="00876729" w:rsidP="001370B5">
            <w:pPr>
              <w:spacing w:after="0"/>
              <w:jc w:val="center"/>
              <w:rPr>
                <w:rFonts w:eastAsia="Times New Roman" w:cs="Times New Roman"/>
                <w:b/>
                <w:bCs/>
                <w:i/>
                <w:iCs/>
                <w:color w:val="000000"/>
                <w:sz w:val="18"/>
                <w:szCs w:val="18"/>
              </w:rPr>
            </w:pPr>
            <w:r w:rsidRPr="00FD3457">
              <w:rPr>
                <w:rFonts w:eastAsia="Times New Roman" w:cs="Times New Roman"/>
                <w:b/>
                <w:bCs/>
                <w:i/>
                <w:iCs/>
                <w:color w:val="000000"/>
                <w:sz w:val="18"/>
                <w:szCs w:val="18"/>
              </w:rPr>
              <w:t>Прогноза 2022 г.</w:t>
            </w:r>
          </w:p>
        </w:tc>
      </w:tr>
      <w:tr w:rsidR="00876729" w:rsidRPr="00FD3457" w:rsidTr="00034C85">
        <w:trPr>
          <w:trHeight w:val="60"/>
        </w:trPr>
        <w:tc>
          <w:tcPr>
            <w:tcW w:w="2253" w:type="pct"/>
            <w:tcBorders>
              <w:top w:val="single" w:sz="4" w:space="0" w:color="auto"/>
              <w:left w:val="nil"/>
              <w:bottom w:val="nil"/>
              <w:right w:val="nil"/>
            </w:tcBorders>
            <w:shd w:val="clear" w:color="auto" w:fill="auto"/>
            <w:hideMark/>
          </w:tcPr>
          <w:p w:rsidR="00876729" w:rsidRPr="00FD3457" w:rsidRDefault="00876729" w:rsidP="001370B5">
            <w:pPr>
              <w:widowControl w:val="0"/>
              <w:autoSpaceDE w:val="0"/>
              <w:autoSpaceDN w:val="0"/>
              <w:adjustRightInd w:val="0"/>
              <w:spacing w:after="0"/>
              <w:rPr>
                <w:rFonts w:eastAsia="Times New Roman" w:cs="Times New Roman"/>
                <w:sz w:val="18"/>
                <w:szCs w:val="18"/>
              </w:rPr>
            </w:pPr>
            <w:r w:rsidRPr="00FD3457">
              <w:rPr>
                <w:rFonts w:eastAsia="Times New Roman" w:cs="Times New Roman"/>
                <w:sz w:val="18"/>
                <w:szCs w:val="18"/>
              </w:rPr>
              <w:t xml:space="preserve">1. Изготвяне на анализ на тенденциите в неравенството на доходите, с акцент върху регионалните особености </w:t>
            </w:r>
            <w:r w:rsidR="0083795C">
              <w:rPr>
                <w:rFonts w:eastAsia="Times New Roman" w:cs="Times New Roman"/>
                <w:sz w:val="18"/>
                <w:szCs w:val="18"/>
              </w:rPr>
              <w:t>- райони на планиране и области.</w:t>
            </w:r>
          </w:p>
        </w:tc>
        <w:tc>
          <w:tcPr>
            <w:tcW w:w="483" w:type="pct"/>
            <w:tcBorders>
              <w:top w:val="single" w:sz="4" w:space="0" w:color="auto"/>
              <w:left w:val="nil"/>
              <w:bottom w:val="nil"/>
              <w:right w:val="nil"/>
            </w:tcBorders>
            <w:shd w:val="clear" w:color="auto" w:fill="F2F2F2"/>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брой</w:t>
            </w:r>
          </w:p>
        </w:tc>
        <w:tc>
          <w:tcPr>
            <w:tcW w:w="622" w:type="pct"/>
            <w:tcBorders>
              <w:top w:val="single" w:sz="4" w:space="0" w:color="auto"/>
              <w:left w:val="nil"/>
              <w:bottom w:val="nil"/>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28" w:type="pct"/>
            <w:tcBorders>
              <w:top w:val="single" w:sz="4" w:space="0" w:color="auto"/>
              <w:left w:val="nil"/>
              <w:bottom w:val="nil"/>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38" w:type="pct"/>
            <w:tcBorders>
              <w:top w:val="single" w:sz="4" w:space="0" w:color="auto"/>
              <w:left w:val="nil"/>
              <w:bottom w:val="nil"/>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76" w:type="pct"/>
            <w:tcBorders>
              <w:top w:val="single" w:sz="4" w:space="0" w:color="auto"/>
              <w:left w:val="nil"/>
              <w:bottom w:val="nil"/>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r>
      <w:tr w:rsidR="00876729" w:rsidRPr="00FD3457" w:rsidTr="001370B5">
        <w:trPr>
          <w:trHeight w:val="300"/>
        </w:trPr>
        <w:tc>
          <w:tcPr>
            <w:tcW w:w="2253" w:type="pct"/>
            <w:tcBorders>
              <w:top w:val="nil"/>
              <w:left w:val="nil"/>
              <w:bottom w:val="nil"/>
              <w:right w:val="nil"/>
            </w:tcBorders>
            <w:shd w:val="clear" w:color="auto" w:fill="auto"/>
            <w:hideMark/>
          </w:tcPr>
          <w:p w:rsidR="00876729" w:rsidRPr="00FD3457" w:rsidRDefault="00876729" w:rsidP="001370B5">
            <w:pPr>
              <w:widowControl w:val="0"/>
              <w:autoSpaceDE w:val="0"/>
              <w:autoSpaceDN w:val="0"/>
              <w:adjustRightInd w:val="0"/>
              <w:spacing w:after="0"/>
              <w:rPr>
                <w:rFonts w:eastAsia="Times New Roman" w:cs="Times New Roman"/>
                <w:sz w:val="18"/>
                <w:szCs w:val="18"/>
              </w:rPr>
            </w:pPr>
            <w:r w:rsidRPr="00FD3457">
              <w:rPr>
                <w:rFonts w:eastAsia="Times New Roman" w:cs="Times New Roman"/>
                <w:sz w:val="18"/>
                <w:szCs w:val="18"/>
              </w:rPr>
              <w:t>2. Доклад за мониторинг на</w:t>
            </w:r>
            <w:r w:rsidR="0083795C">
              <w:rPr>
                <w:rFonts w:eastAsia="Times New Roman" w:cs="Times New Roman"/>
                <w:sz w:val="18"/>
                <w:szCs w:val="18"/>
              </w:rPr>
              <w:t xml:space="preserve"> политиката по доходите от труд.</w:t>
            </w:r>
            <w:r w:rsidRPr="00FD3457">
              <w:rPr>
                <w:rFonts w:eastAsia="Times New Roman" w:cs="Times New Roman"/>
                <w:sz w:val="18"/>
                <w:szCs w:val="18"/>
              </w:rPr>
              <w:t xml:space="preserve"> </w:t>
            </w:r>
          </w:p>
        </w:tc>
        <w:tc>
          <w:tcPr>
            <w:tcW w:w="483" w:type="pct"/>
            <w:tcBorders>
              <w:top w:val="nil"/>
              <w:left w:val="nil"/>
              <w:bottom w:val="nil"/>
              <w:right w:val="nil"/>
            </w:tcBorders>
            <w:shd w:val="clear" w:color="auto" w:fill="F2F2F2"/>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брой</w:t>
            </w:r>
          </w:p>
        </w:tc>
        <w:tc>
          <w:tcPr>
            <w:tcW w:w="622" w:type="pct"/>
            <w:tcBorders>
              <w:top w:val="nil"/>
              <w:left w:val="nil"/>
              <w:bottom w:val="nil"/>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28" w:type="pct"/>
            <w:tcBorders>
              <w:top w:val="nil"/>
              <w:left w:val="nil"/>
              <w:bottom w:val="nil"/>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38" w:type="pct"/>
            <w:tcBorders>
              <w:top w:val="nil"/>
              <w:left w:val="nil"/>
              <w:bottom w:val="nil"/>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76" w:type="pct"/>
            <w:tcBorders>
              <w:top w:val="nil"/>
              <w:left w:val="nil"/>
              <w:bottom w:val="nil"/>
              <w:right w:val="nil"/>
            </w:tcBorders>
            <w:shd w:val="clear" w:color="auto" w:fill="auto"/>
            <w:noWrap/>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r>
      <w:tr w:rsidR="00876729" w:rsidRPr="00FD3457" w:rsidTr="001370B5">
        <w:trPr>
          <w:trHeight w:val="70"/>
        </w:trPr>
        <w:tc>
          <w:tcPr>
            <w:tcW w:w="2253" w:type="pct"/>
            <w:tcBorders>
              <w:top w:val="nil"/>
              <w:left w:val="nil"/>
              <w:bottom w:val="single" w:sz="4" w:space="0" w:color="auto"/>
              <w:right w:val="nil"/>
            </w:tcBorders>
            <w:shd w:val="clear" w:color="auto" w:fill="auto"/>
          </w:tcPr>
          <w:p w:rsidR="00876729" w:rsidRPr="00FD3457" w:rsidRDefault="00876729" w:rsidP="001370B5">
            <w:pPr>
              <w:widowControl w:val="0"/>
              <w:autoSpaceDE w:val="0"/>
              <w:autoSpaceDN w:val="0"/>
              <w:adjustRightInd w:val="0"/>
              <w:spacing w:after="0"/>
              <w:rPr>
                <w:rFonts w:eastAsia="Times New Roman" w:cs="Times New Roman"/>
                <w:sz w:val="18"/>
                <w:szCs w:val="18"/>
              </w:rPr>
            </w:pPr>
            <w:r w:rsidRPr="00FD3457">
              <w:rPr>
                <w:rFonts w:eastAsia="Times New Roman" w:cs="Times New Roman"/>
                <w:sz w:val="18"/>
                <w:szCs w:val="18"/>
              </w:rPr>
              <w:t>3. Разработен набор от практически мерки на базата на утвърдена Национална концепция за социална икономика; последващи анализи за съответствие - жизне</w:t>
            </w:r>
            <w:r w:rsidR="0083795C">
              <w:rPr>
                <w:rFonts w:eastAsia="Times New Roman" w:cs="Times New Roman"/>
                <w:sz w:val="18"/>
                <w:szCs w:val="18"/>
              </w:rPr>
              <w:t>но равнище и социална икономика.</w:t>
            </w:r>
          </w:p>
        </w:tc>
        <w:tc>
          <w:tcPr>
            <w:tcW w:w="483" w:type="pct"/>
            <w:tcBorders>
              <w:top w:val="nil"/>
              <w:left w:val="nil"/>
              <w:bottom w:val="single" w:sz="4" w:space="0" w:color="auto"/>
              <w:right w:val="nil"/>
            </w:tcBorders>
            <w:shd w:val="clear" w:color="auto" w:fill="F2F2F2"/>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брой</w:t>
            </w:r>
          </w:p>
        </w:tc>
        <w:tc>
          <w:tcPr>
            <w:tcW w:w="622" w:type="pct"/>
            <w:tcBorders>
              <w:top w:val="nil"/>
              <w:left w:val="nil"/>
              <w:bottom w:val="single" w:sz="4" w:space="0" w:color="auto"/>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28" w:type="pct"/>
            <w:tcBorders>
              <w:top w:val="nil"/>
              <w:left w:val="nil"/>
              <w:bottom w:val="single" w:sz="4" w:space="0" w:color="auto"/>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38" w:type="pct"/>
            <w:tcBorders>
              <w:top w:val="nil"/>
              <w:left w:val="nil"/>
              <w:bottom w:val="single" w:sz="4" w:space="0" w:color="auto"/>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c>
          <w:tcPr>
            <w:tcW w:w="576" w:type="pct"/>
            <w:tcBorders>
              <w:top w:val="nil"/>
              <w:left w:val="nil"/>
              <w:bottom w:val="single" w:sz="4" w:space="0" w:color="auto"/>
              <w:right w:val="nil"/>
            </w:tcBorders>
            <w:shd w:val="clear" w:color="auto" w:fill="auto"/>
            <w:vAlign w:val="center"/>
            <w:hideMark/>
          </w:tcPr>
          <w:p w:rsidR="00876729" w:rsidRPr="00FD3457" w:rsidRDefault="00876729" w:rsidP="001370B5">
            <w:pPr>
              <w:widowControl w:val="0"/>
              <w:autoSpaceDE w:val="0"/>
              <w:autoSpaceDN w:val="0"/>
              <w:adjustRightInd w:val="0"/>
              <w:spacing w:after="0"/>
              <w:jc w:val="center"/>
              <w:rPr>
                <w:rFonts w:eastAsia="Times New Roman" w:cs="Times New Roman"/>
                <w:sz w:val="18"/>
                <w:szCs w:val="18"/>
              </w:rPr>
            </w:pPr>
            <w:r w:rsidRPr="00FD3457">
              <w:rPr>
                <w:rFonts w:eastAsia="Times New Roman" w:cs="Times New Roman"/>
                <w:sz w:val="18"/>
                <w:szCs w:val="18"/>
              </w:rPr>
              <w:t>1</w:t>
            </w:r>
          </w:p>
        </w:tc>
      </w:tr>
    </w:tbl>
    <w:p w:rsidR="00876729" w:rsidRPr="00876729" w:rsidRDefault="00876729" w:rsidP="00C35982">
      <w:pPr>
        <w:jc w:val="left"/>
        <w:rPr>
          <w:rFonts w:eastAsia="Times New Roman" w:cs="Times New Roman"/>
        </w:rPr>
      </w:pPr>
    </w:p>
    <w:p w:rsidR="00876729" w:rsidRDefault="00876729" w:rsidP="00876729">
      <w:pPr>
        <w:rPr>
          <w:rFonts w:eastAsia="Times New Roman" w:cs="Times New Roman"/>
        </w:rPr>
      </w:pPr>
      <w:r w:rsidRPr="00876729">
        <w:rPr>
          <w:rFonts w:eastAsia="Times New Roman" w:cs="Times New Roman"/>
        </w:rPr>
        <w:t>Осъществяването на политиката в тази област се подпомага от дейности, които се реализират по линия на Оперативна програма „Развитие на човешките ресурси“.</w:t>
      </w:r>
    </w:p>
    <w:p w:rsidR="00034C85" w:rsidRPr="00876729" w:rsidRDefault="00034C85" w:rsidP="00876729">
      <w:pPr>
        <w:rPr>
          <w:rFonts w:eastAsia="Times New Roman" w:cs="Times New Roman"/>
        </w:rPr>
      </w:pPr>
    </w:p>
    <w:p w:rsidR="00083361" w:rsidRDefault="00083361" w:rsidP="00517D0A">
      <w:pPr>
        <w:pStyle w:val="Heading3"/>
        <w:ind w:left="0"/>
      </w:pPr>
      <w:bookmarkStart w:id="478" w:name="_Toc465070471"/>
      <w:bookmarkStart w:id="479" w:name="_Toc465205521"/>
      <w:r w:rsidRPr="009D2915">
        <w:t>Здравна политика</w:t>
      </w:r>
      <w:bookmarkEnd w:id="478"/>
      <w:bookmarkEnd w:id="479"/>
    </w:p>
    <w:p w:rsidR="00C35982" w:rsidRDefault="00C35982" w:rsidP="0082145B">
      <w:pPr>
        <w:spacing w:before="120" w:after="0"/>
        <w:rPr>
          <w:rFonts w:eastAsia="Times New Roman" w:cs="Times New Roman"/>
        </w:rPr>
      </w:pPr>
      <w:r w:rsidRPr="002E4153">
        <w:rPr>
          <w:rFonts w:eastAsia="Times New Roman" w:cs="Times New Roman"/>
        </w:rPr>
        <w:t>Политиката в областта на здравеопазването ще бъде насочена към постигане на приоритетите на Националната здравна стратегия – 2020, чрез изпълнение на Плана за действие към нея, с цел подобряване на ефективността и удовлетвореността на гражданите от функционирането на сектора. Предвидени са програми и мерки, които подпомагат изпълнението на специфичната препоръка на ЕК към България да подобри ефективността на разходите на системата на здравеопазването</w:t>
      </w:r>
      <w:r w:rsidRPr="004964B7">
        <w:t xml:space="preserve"> </w:t>
      </w:r>
      <w:r w:rsidRPr="004964B7">
        <w:rPr>
          <w:rFonts w:eastAsia="Times New Roman" w:cs="Times New Roman"/>
        </w:rPr>
        <w:t>и достъпа до здравни услуги, включително чрез намаляване на преките плащания от страна на пациентите и чрез преодоляване на недостига на медицински специалисти</w:t>
      </w:r>
      <w:r w:rsidRPr="002E4153">
        <w:rPr>
          <w:rFonts w:eastAsia="Times New Roman" w:cs="Times New Roman"/>
        </w:rPr>
        <w:t xml:space="preserve">. През тригодишния период се предвижда да се подобри функционирането на спешната медицинска помощ, предоставяна в извънболнични и в болнични условия, с цел осигуряване на по-добро качество, достатъчност и своевременност в съответствие с приетата от Министерския съвет </w:t>
      </w:r>
      <w:r>
        <w:rPr>
          <w:rFonts w:eastAsia="Times New Roman" w:cs="Times New Roman"/>
        </w:rPr>
        <w:t>„</w:t>
      </w:r>
      <w:r w:rsidRPr="002E4153">
        <w:rPr>
          <w:rFonts w:eastAsia="Times New Roman" w:cs="Times New Roman"/>
        </w:rPr>
        <w:t>Концепция за развитие на системата за спешна медицинска помощ в Република България 2014-2020 г.</w:t>
      </w:r>
      <w:r>
        <w:rPr>
          <w:rFonts w:eastAsia="Times New Roman" w:cs="Times New Roman"/>
        </w:rPr>
        <w:t>“</w:t>
      </w:r>
      <w:r w:rsidRPr="002E4153">
        <w:rPr>
          <w:rFonts w:eastAsia="Times New Roman" w:cs="Times New Roman"/>
        </w:rPr>
        <w:t>.</w:t>
      </w:r>
    </w:p>
    <w:p w:rsidR="00C35982" w:rsidRPr="002E4153" w:rsidRDefault="00C35982" w:rsidP="0082145B">
      <w:pPr>
        <w:spacing w:before="120" w:after="0"/>
        <w:rPr>
          <w:rFonts w:eastAsia="Times New Roman" w:cs="Times New Roman"/>
          <w:bCs/>
        </w:rPr>
      </w:pPr>
      <w:r>
        <w:rPr>
          <w:rFonts w:eastAsia="Times New Roman" w:cs="Times New Roman"/>
          <w:bCs/>
        </w:rPr>
        <w:t>Определените приоритети в политиката на М</w:t>
      </w:r>
      <w:r w:rsidRPr="002E4153">
        <w:rPr>
          <w:rFonts w:eastAsia="Times New Roman" w:cs="Times New Roman"/>
          <w:bCs/>
        </w:rPr>
        <w:t>инистерство</w:t>
      </w:r>
      <w:r>
        <w:rPr>
          <w:rFonts w:eastAsia="Times New Roman" w:cs="Times New Roman"/>
          <w:bCs/>
        </w:rPr>
        <w:t>то</w:t>
      </w:r>
      <w:r w:rsidRPr="002E4153">
        <w:rPr>
          <w:rFonts w:eastAsia="Times New Roman" w:cs="Times New Roman"/>
          <w:bCs/>
        </w:rPr>
        <w:t xml:space="preserve"> на здравеопазването за периода 2020-2022 г.</w:t>
      </w:r>
      <w:r>
        <w:rPr>
          <w:rFonts w:eastAsia="Times New Roman" w:cs="Times New Roman"/>
          <w:bCs/>
        </w:rPr>
        <w:t xml:space="preserve"> са:</w:t>
      </w:r>
    </w:p>
    <w:p w:rsidR="00C35982" w:rsidRPr="00C35982" w:rsidRDefault="00C35982" w:rsidP="003403BF">
      <w:pPr>
        <w:pStyle w:val="ListParagraph"/>
        <w:numPr>
          <w:ilvl w:val="0"/>
          <w:numId w:val="45"/>
        </w:numPr>
        <w:spacing w:before="120" w:after="0"/>
        <w:rPr>
          <w:rFonts w:eastAsia="Times New Roman" w:cs="Times New Roman"/>
        </w:rPr>
      </w:pPr>
      <w:r w:rsidRPr="00C35982">
        <w:rPr>
          <w:rFonts w:eastAsia="Times New Roman" w:cs="Times New Roman"/>
        </w:rPr>
        <w:t>Засилване ролята на профилактиката като възможност за по-добро здраве и качество на живот.</w:t>
      </w:r>
      <w:r w:rsidRPr="00C35982">
        <w:rPr>
          <w:rFonts w:eastAsia="Times New Roman" w:cs="Times New Roman"/>
          <w:bCs/>
        </w:rPr>
        <w:t xml:space="preserve"> </w:t>
      </w:r>
      <w:r w:rsidRPr="00C35982">
        <w:rPr>
          <w:rFonts w:eastAsia="Times New Roman" w:cs="Times New Roman"/>
        </w:rPr>
        <w:t>Разширяване на обхвата на профилактичните прегледи с допълнителни скринингови изследвания. Ранна диагностика и откриване на предхронични и хронични състояния чрез въвеждане на ежегодни профилактични прегледи на всички български граждани - изследвания на кръв, урина и кардиологични изследвания, с цел наблюдаване в извънболничната помощ. Въвеждане на интегриран подход за намаляване употребата на наркотични вещества и за справяне с нарастващия процент на наркозависимите подрастващи</w:t>
      </w:r>
      <w:r>
        <w:rPr>
          <w:rFonts w:eastAsia="Times New Roman" w:cs="Times New Roman"/>
        </w:rPr>
        <w:t>;</w:t>
      </w:r>
      <w:r w:rsidRPr="00C35982">
        <w:rPr>
          <w:rFonts w:eastAsia="Times New Roman" w:cs="Times New Roman"/>
        </w:rPr>
        <w:t xml:space="preserve"> </w:t>
      </w:r>
    </w:p>
    <w:p w:rsidR="00C35982" w:rsidRPr="00C35982" w:rsidRDefault="00C35982" w:rsidP="003403BF">
      <w:pPr>
        <w:pStyle w:val="ListParagraph"/>
        <w:numPr>
          <w:ilvl w:val="0"/>
          <w:numId w:val="45"/>
        </w:numPr>
        <w:spacing w:before="120" w:after="0"/>
        <w:rPr>
          <w:rFonts w:eastAsia="Times New Roman" w:cs="Times New Roman"/>
        </w:rPr>
      </w:pPr>
      <w:r w:rsidRPr="00C35982">
        <w:rPr>
          <w:rFonts w:eastAsia="Times New Roman" w:cs="Times New Roman"/>
        </w:rPr>
        <w:t>Осигуряване на финансова стабилност и обезпеченост на здравната система. Стабилизиране на здравноосигурителния модел</w:t>
      </w:r>
      <w:r>
        <w:rPr>
          <w:rFonts w:eastAsia="Times New Roman" w:cs="Times New Roman"/>
        </w:rPr>
        <w:t>;</w:t>
      </w:r>
    </w:p>
    <w:p w:rsidR="00C35982" w:rsidRPr="00C35982" w:rsidRDefault="00C35982" w:rsidP="003403BF">
      <w:pPr>
        <w:pStyle w:val="ListParagraph"/>
        <w:numPr>
          <w:ilvl w:val="0"/>
          <w:numId w:val="45"/>
        </w:numPr>
        <w:spacing w:before="120" w:after="0"/>
        <w:rPr>
          <w:rFonts w:eastAsia="Times New Roman" w:cs="Times New Roman"/>
        </w:rPr>
      </w:pPr>
      <w:r w:rsidRPr="00C35982">
        <w:rPr>
          <w:rFonts w:eastAsia="Times New Roman" w:cs="Times New Roman"/>
        </w:rPr>
        <w:t>Развитие на електронното здравеопазване</w:t>
      </w:r>
      <w:r>
        <w:rPr>
          <w:rFonts w:eastAsia="Times New Roman" w:cs="Times New Roman"/>
        </w:rPr>
        <w:t>;</w:t>
      </w:r>
    </w:p>
    <w:p w:rsidR="00C35982" w:rsidRPr="00C35982" w:rsidRDefault="00C35982" w:rsidP="003403BF">
      <w:pPr>
        <w:pStyle w:val="ListParagraph"/>
        <w:numPr>
          <w:ilvl w:val="0"/>
          <w:numId w:val="45"/>
        </w:numPr>
        <w:spacing w:before="120" w:after="0"/>
        <w:rPr>
          <w:rFonts w:eastAsia="Times New Roman" w:cs="Times New Roman"/>
        </w:rPr>
      </w:pPr>
      <w:r w:rsidRPr="00C35982">
        <w:rPr>
          <w:rFonts w:eastAsia="Times New Roman" w:cs="Times New Roman"/>
        </w:rPr>
        <w:t>Преодоляване на регионалните дисбаланси и осигуряване на функционално взаимодействие между отделните нива на медицинската помощ.</w:t>
      </w:r>
    </w:p>
    <w:p w:rsidR="00C35982" w:rsidRDefault="00F05D9A" w:rsidP="0082145B">
      <w:pPr>
        <w:spacing w:before="120" w:after="0"/>
        <w:rPr>
          <w:rFonts w:eastAsia="Times New Roman" w:cs="Times New Roman"/>
        </w:rPr>
      </w:pPr>
      <w:r w:rsidRPr="00F05D9A">
        <w:rPr>
          <w:rFonts w:eastAsia="Times New Roman" w:cs="Times New Roman"/>
        </w:rPr>
        <w:t xml:space="preserve">За гарантиране финансовата стабилност и предвидимост в здравноосигурителната система, разходите по бюджета на НЗОК през 2020 г. нарастват с </w:t>
      </w:r>
      <w:r w:rsidR="00CD05A0">
        <w:rPr>
          <w:rFonts w:eastAsia="Times New Roman" w:cs="Times New Roman"/>
        </w:rPr>
        <w:t>394,2</w:t>
      </w:r>
      <w:r w:rsidRPr="00F05D9A">
        <w:rPr>
          <w:rFonts w:eastAsia="Times New Roman" w:cs="Times New Roman"/>
        </w:rPr>
        <w:t xml:space="preserve"> млн. лв., от </w:t>
      </w:r>
      <w:r w:rsidR="00CD05A0">
        <w:rPr>
          <w:rFonts w:eastAsia="Times New Roman" w:cs="Times New Roman"/>
        </w:rPr>
        <w:t>тях</w:t>
      </w:r>
      <w:r w:rsidR="00CD05A0" w:rsidRPr="00F05D9A">
        <w:rPr>
          <w:rFonts w:eastAsia="Times New Roman" w:cs="Times New Roman"/>
        </w:rPr>
        <w:t xml:space="preserve"> </w:t>
      </w:r>
      <w:r w:rsidRPr="00F05D9A">
        <w:rPr>
          <w:rFonts w:eastAsia="Times New Roman" w:cs="Times New Roman"/>
        </w:rPr>
        <w:t>за здравноосигурителни плащания (вкл. резерва) – 349,7 млн.</w:t>
      </w:r>
      <w:r>
        <w:rPr>
          <w:rFonts w:eastAsia="Times New Roman" w:cs="Times New Roman"/>
        </w:rPr>
        <w:t xml:space="preserve"> </w:t>
      </w:r>
      <w:r w:rsidRPr="00F05D9A">
        <w:rPr>
          <w:rFonts w:eastAsia="Times New Roman" w:cs="Times New Roman"/>
        </w:rPr>
        <w:t>лв.</w:t>
      </w:r>
      <w:r w:rsidR="00CD05A0">
        <w:rPr>
          <w:rFonts w:eastAsia="Times New Roman" w:cs="Times New Roman"/>
        </w:rPr>
        <w:t>,</w:t>
      </w:r>
      <w:r w:rsidRPr="00F05D9A">
        <w:rPr>
          <w:rFonts w:eastAsia="Times New Roman" w:cs="Times New Roman"/>
        </w:rPr>
        <w:t xml:space="preserve"> за здравни дейности, извън обхвата на задължителното здравно осигуряване, финансирани от държавния бюджет – 40,4 млн.</w:t>
      </w:r>
      <w:r>
        <w:rPr>
          <w:rFonts w:eastAsia="Times New Roman" w:cs="Times New Roman"/>
        </w:rPr>
        <w:t xml:space="preserve"> </w:t>
      </w:r>
      <w:r w:rsidRPr="00F05D9A">
        <w:rPr>
          <w:rFonts w:eastAsia="Times New Roman" w:cs="Times New Roman"/>
        </w:rPr>
        <w:t>лв.</w:t>
      </w:r>
      <w:r>
        <w:rPr>
          <w:rFonts w:eastAsia="Times New Roman" w:cs="Times New Roman"/>
        </w:rPr>
        <w:t xml:space="preserve"> </w:t>
      </w:r>
      <w:r w:rsidR="00C35982" w:rsidRPr="004964B7">
        <w:rPr>
          <w:rFonts w:eastAsia="Times New Roman" w:cs="Times New Roman"/>
        </w:rPr>
        <w:t xml:space="preserve">Основна цел е да се осигури достъпна, качествена и своевременна медицинска помощ на здравноосигурените лица и равнопоставен достъп на лечебните заведения, отговарящи на условията за сключване на договори с НЗОК, за възможността да предоставят медицински и дентални дейности професионално и на високо ниво. </w:t>
      </w:r>
    </w:p>
    <w:p w:rsidR="00E6783C" w:rsidRDefault="00E6783C" w:rsidP="00E6783C">
      <w:pPr>
        <w:spacing w:before="120" w:after="0"/>
        <w:rPr>
          <w:rFonts w:eastAsia="Times New Roman" w:cs="Times New Roman"/>
        </w:rPr>
      </w:pPr>
      <w:r>
        <w:rPr>
          <w:rFonts w:eastAsia="Times New Roman" w:cs="Times New Roman"/>
        </w:rPr>
        <w:t>С</w:t>
      </w:r>
      <w:r w:rsidRPr="00617DD6">
        <w:rPr>
          <w:rFonts w:eastAsia="Times New Roman" w:cs="Times New Roman"/>
        </w:rPr>
        <w:t>читано от 1</w:t>
      </w:r>
      <w:r w:rsidR="00C85FD6">
        <w:rPr>
          <w:rFonts w:eastAsia="Times New Roman" w:cs="Times New Roman"/>
        </w:rPr>
        <w:t xml:space="preserve"> януари </w:t>
      </w:r>
      <w:r w:rsidRPr="00617DD6">
        <w:rPr>
          <w:rFonts w:eastAsia="Times New Roman" w:cs="Times New Roman"/>
        </w:rPr>
        <w:t xml:space="preserve">2020 г. се предвижда финансирането на медицинските изделия и помощните средства за хората с увреждания да премине към системата на здравеопазването, като се въвежда нов механизъм за тяхното финансиране и предоставяне (в натурално измерение), както и стандарти за качеството им. </w:t>
      </w:r>
      <w:r w:rsidR="00F32B45">
        <w:rPr>
          <w:rFonts w:eastAsia="Times New Roman" w:cs="Times New Roman"/>
        </w:rPr>
        <w:t>Предвидените средства</w:t>
      </w:r>
      <w:r>
        <w:rPr>
          <w:rFonts w:eastAsia="Times New Roman" w:cs="Times New Roman"/>
        </w:rPr>
        <w:t xml:space="preserve"> за и</w:t>
      </w:r>
      <w:r w:rsidRPr="00617DD6">
        <w:rPr>
          <w:rFonts w:eastAsia="Times New Roman" w:cs="Times New Roman"/>
        </w:rPr>
        <w:t xml:space="preserve">зпълнение на дейности </w:t>
      </w:r>
      <w:r>
        <w:rPr>
          <w:rFonts w:eastAsia="Times New Roman" w:cs="Times New Roman"/>
        </w:rPr>
        <w:t xml:space="preserve">по </w:t>
      </w:r>
      <w:r w:rsidRPr="00617DD6">
        <w:rPr>
          <w:rFonts w:eastAsia="Times New Roman" w:cs="Times New Roman"/>
        </w:rPr>
        <w:t>предоставяне на помощни средства, приспособления, съоръжения и медицински изделия за хората с увреждания, извън обхвата на задължителното здравно осигуряване</w:t>
      </w:r>
      <w:r w:rsidR="0072656E">
        <w:rPr>
          <w:rFonts w:eastAsia="Times New Roman" w:cs="Times New Roman"/>
        </w:rPr>
        <w:t>,</w:t>
      </w:r>
      <w:r w:rsidRPr="00617DD6">
        <w:rPr>
          <w:rFonts w:eastAsia="Times New Roman" w:cs="Times New Roman"/>
        </w:rPr>
        <w:t xml:space="preserve"> </w:t>
      </w:r>
      <w:r>
        <w:rPr>
          <w:rFonts w:eastAsia="Times New Roman" w:cs="Times New Roman"/>
        </w:rPr>
        <w:t xml:space="preserve">са </w:t>
      </w:r>
      <w:r w:rsidRPr="00617DD6">
        <w:rPr>
          <w:rFonts w:eastAsia="Times New Roman" w:cs="Times New Roman"/>
        </w:rPr>
        <w:t>в размер на 38</w:t>
      </w:r>
      <w:r>
        <w:rPr>
          <w:rFonts w:eastAsia="Times New Roman" w:cs="Times New Roman"/>
        </w:rPr>
        <w:t>,0 м</w:t>
      </w:r>
      <w:r w:rsidRPr="00617DD6">
        <w:rPr>
          <w:rFonts w:eastAsia="Times New Roman" w:cs="Times New Roman"/>
        </w:rPr>
        <w:t>л</w:t>
      </w:r>
      <w:r>
        <w:rPr>
          <w:rFonts w:eastAsia="Times New Roman" w:cs="Times New Roman"/>
        </w:rPr>
        <w:t>н</w:t>
      </w:r>
      <w:r w:rsidRPr="00617DD6">
        <w:rPr>
          <w:rFonts w:eastAsia="Times New Roman" w:cs="Times New Roman"/>
        </w:rPr>
        <w:t>.</w:t>
      </w:r>
      <w:r>
        <w:rPr>
          <w:rFonts w:eastAsia="Times New Roman" w:cs="Times New Roman"/>
        </w:rPr>
        <w:t xml:space="preserve"> </w:t>
      </w:r>
      <w:r w:rsidRPr="00617DD6">
        <w:rPr>
          <w:rFonts w:eastAsia="Times New Roman" w:cs="Times New Roman"/>
        </w:rPr>
        <w:t>лв.</w:t>
      </w:r>
    </w:p>
    <w:p w:rsidR="00E6783C" w:rsidRPr="004964B7" w:rsidRDefault="00E6783C" w:rsidP="0082145B">
      <w:pPr>
        <w:spacing w:before="120" w:after="0"/>
        <w:rPr>
          <w:rFonts w:eastAsia="Times New Roman" w:cs="Times New Roman"/>
        </w:rPr>
      </w:pPr>
    </w:p>
    <w:p w:rsidR="00C35982" w:rsidRDefault="00C35982" w:rsidP="0082145B">
      <w:pPr>
        <w:spacing w:before="120" w:after="0"/>
        <w:rPr>
          <w:rFonts w:eastAsia="Times New Roman" w:cs="Times New Roman"/>
        </w:rPr>
      </w:pPr>
      <w:r w:rsidRPr="004964B7">
        <w:rPr>
          <w:rFonts w:eastAsia="Times New Roman" w:cs="Times New Roman"/>
        </w:rPr>
        <w:t>По бюджета на Министерството на здравеопазването за 2020 г. са предвидени допълнителни средства за:</w:t>
      </w:r>
    </w:p>
    <w:p w:rsidR="00C35982" w:rsidRDefault="00C35982" w:rsidP="0082145B">
      <w:pPr>
        <w:spacing w:before="120" w:after="0"/>
        <w:ind w:left="709" w:hanging="425"/>
        <w:rPr>
          <w:rFonts w:eastAsia="Times New Roman" w:cs="Times New Roman"/>
        </w:rPr>
      </w:pPr>
      <w:r w:rsidRPr="004964B7">
        <w:rPr>
          <w:rFonts w:eastAsia="Times New Roman" w:cs="Times New Roman"/>
        </w:rPr>
        <w:t>-</w:t>
      </w:r>
      <w:r w:rsidRPr="004964B7">
        <w:rPr>
          <w:rFonts w:eastAsia="Times New Roman" w:cs="Times New Roman"/>
        </w:rPr>
        <w:tab/>
        <w:t xml:space="preserve">осигуряване на устойчивост на актуализираните през 2019 г. стойности на медицинските дейности за психиатрична помощ, спешни отделения в болниците и за общински лечебни заведения в труднодостъпни и/или отдалечени райони на страната, които са извън обхвата на задължителното здравно осигуряване за лечебните заведения за болнична помощ </w:t>
      </w:r>
      <w:r w:rsidR="0072656E">
        <w:rPr>
          <w:rFonts w:eastAsia="Times New Roman" w:cs="Times New Roman"/>
        </w:rPr>
        <w:t>–</w:t>
      </w:r>
      <w:r w:rsidRPr="004964B7">
        <w:rPr>
          <w:rFonts w:eastAsia="Times New Roman" w:cs="Times New Roman"/>
        </w:rPr>
        <w:t xml:space="preserve"> 50</w:t>
      </w:r>
      <w:r w:rsidR="0072656E">
        <w:rPr>
          <w:rFonts w:eastAsia="Times New Roman" w:cs="Times New Roman"/>
        </w:rPr>
        <w:t>,0</w:t>
      </w:r>
      <w:r w:rsidRPr="004964B7">
        <w:rPr>
          <w:rFonts w:eastAsia="Times New Roman" w:cs="Times New Roman"/>
        </w:rPr>
        <w:t xml:space="preserve"> млн.</w:t>
      </w:r>
      <w:r w:rsidR="0082145B">
        <w:rPr>
          <w:rFonts w:eastAsia="Times New Roman" w:cs="Times New Roman"/>
        </w:rPr>
        <w:t xml:space="preserve"> </w:t>
      </w:r>
      <w:r w:rsidRPr="004964B7">
        <w:rPr>
          <w:rFonts w:eastAsia="Times New Roman" w:cs="Times New Roman"/>
        </w:rPr>
        <w:t>лв.</w:t>
      </w:r>
      <w:r w:rsidR="001C53C4">
        <w:rPr>
          <w:rFonts w:eastAsia="Times New Roman" w:cs="Times New Roman"/>
        </w:rPr>
        <w:t>;</w:t>
      </w:r>
    </w:p>
    <w:p w:rsidR="00C35982" w:rsidRDefault="00C35982" w:rsidP="0082145B">
      <w:pPr>
        <w:spacing w:before="120" w:after="0"/>
        <w:ind w:left="709" w:hanging="425"/>
        <w:rPr>
          <w:rFonts w:eastAsia="Times New Roman" w:cs="Times New Roman"/>
        </w:rPr>
      </w:pPr>
      <w:r w:rsidRPr="004964B7">
        <w:rPr>
          <w:rFonts w:eastAsia="Times New Roman" w:cs="Times New Roman"/>
        </w:rPr>
        <w:t>-</w:t>
      </w:r>
      <w:r w:rsidRPr="004964B7">
        <w:rPr>
          <w:rFonts w:eastAsia="Times New Roman" w:cs="Times New Roman"/>
        </w:rPr>
        <w:tab/>
        <w:t>възнаграждения на персонала на центровете за спешна медицинска помощ с цел да се осигури устойчиво развитие на човешките ресурси и равнопоставен достъп на гражданите до спешна медицинска помощ в подкрепа на приетата от Министерския съвет Концепция за развитие на системата за спешна медицинска помощ в Републ</w:t>
      </w:r>
      <w:r w:rsidR="00C40111">
        <w:rPr>
          <w:rFonts w:eastAsia="Times New Roman" w:cs="Times New Roman"/>
        </w:rPr>
        <w:t xml:space="preserve">ика България 2014-2020 г. </w:t>
      </w:r>
      <w:r w:rsidR="00C40111" w:rsidRPr="00C40111">
        <w:rPr>
          <w:rFonts w:eastAsia="Times New Roman" w:cs="Times New Roman"/>
        </w:rPr>
        <w:t>–</w:t>
      </w:r>
      <w:r w:rsidRPr="004964B7">
        <w:rPr>
          <w:rFonts w:eastAsia="Times New Roman" w:cs="Times New Roman"/>
        </w:rPr>
        <w:t xml:space="preserve"> 10,4 млн.</w:t>
      </w:r>
      <w:r w:rsidR="0082145B">
        <w:rPr>
          <w:rFonts w:eastAsia="Times New Roman" w:cs="Times New Roman"/>
        </w:rPr>
        <w:t xml:space="preserve"> </w:t>
      </w:r>
      <w:r w:rsidRPr="004964B7">
        <w:rPr>
          <w:rFonts w:eastAsia="Times New Roman" w:cs="Times New Roman"/>
        </w:rPr>
        <w:t>лв.</w:t>
      </w:r>
      <w:r w:rsidR="001C53C4">
        <w:rPr>
          <w:rFonts w:eastAsia="Times New Roman" w:cs="Times New Roman"/>
        </w:rPr>
        <w:t>;</w:t>
      </w:r>
      <w:r w:rsidRPr="004964B7">
        <w:rPr>
          <w:rFonts w:eastAsia="Times New Roman" w:cs="Times New Roman"/>
        </w:rPr>
        <w:t xml:space="preserve"> </w:t>
      </w:r>
    </w:p>
    <w:p w:rsidR="00C35982" w:rsidRDefault="00C35982" w:rsidP="0082145B">
      <w:pPr>
        <w:spacing w:before="120" w:after="0"/>
        <w:ind w:left="709" w:hanging="425"/>
        <w:rPr>
          <w:rFonts w:eastAsia="Times New Roman" w:cs="Times New Roman"/>
        </w:rPr>
      </w:pPr>
      <w:r w:rsidRPr="004964B7">
        <w:rPr>
          <w:rFonts w:eastAsia="Times New Roman" w:cs="Times New Roman"/>
        </w:rPr>
        <w:t>-</w:t>
      </w:r>
      <w:r w:rsidRPr="004964B7">
        <w:rPr>
          <w:rFonts w:eastAsia="Times New Roman" w:cs="Times New Roman"/>
        </w:rPr>
        <w:tab/>
        <w:t>Национална програма „Майчино и детско здраве“, с цел подобряване на здравните услуги за деца и навременното им насочване към необходимия вид диагностика и лечение – 2,2 млн.</w:t>
      </w:r>
      <w:r w:rsidR="0082145B">
        <w:rPr>
          <w:rFonts w:eastAsia="Times New Roman" w:cs="Times New Roman"/>
        </w:rPr>
        <w:t xml:space="preserve"> </w:t>
      </w:r>
      <w:r w:rsidRPr="004964B7">
        <w:rPr>
          <w:rFonts w:eastAsia="Times New Roman" w:cs="Times New Roman"/>
        </w:rPr>
        <w:t>лв.</w:t>
      </w:r>
      <w:r w:rsidR="001C53C4">
        <w:rPr>
          <w:rFonts w:eastAsia="Times New Roman" w:cs="Times New Roman"/>
        </w:rPr>
        <w:t>;</w:t>
      </w:r>
    </w:p>
    <w:p w:rsidR="00C35982" w:rsidRDefault="00C35982" w:rsidP="0082145B">
      <w:pPr>
        <w:spacing w:before="120" w:after="0"/>
        <w:ind w:left="709" w:hanging="425"/>
        <w:rPr>
          <w:rFonts w:eastAsia="Times New Roman" w:cs="Times New Roman"/>
        </w:rPr>
      </w:pPr>
      <w:r>
        <w:rPr>
          <w:rFonts w:eastAsia="Times New Roman" w:cs="Times New Roman"/>
        </w:rPr>
        <w:t>-</w:t>
      </w:r>
      <w:r>
        <w:rPr>
          <w:rFonts w:eastAsia="Times New Roman" w:cs="Times New Roman"/>
        </w:rPr>
        <w:tab/>
        <w:t>в</w:t>
      </w:r>
      <w:r w:rsidRPr="004964B7">
        <w:rPr>
          <w:rFonts w:eastAsia="Times New Roman" w:cs="Times New Roman"/>
        </w:rPr>
        <w:t>ъвеждане на NAT технология за диагностика на дарената кръв с цел осигуряване на качествени кръвни продукти – 6,1 млн.</w:t>
      </w:r>
      <w:r w:rsidR="0082145B">
        <w:rPr>
          <w:rFonts w:eastAsia="Times New Roman" w:cs="Times New Roman"/>
        </w:rPr>
        <w:t xml:space="preserve"> </w:t>
      </w:r>
      <w:r w:rsidRPr="004964B7">
        <w:rPr>
          <w:rFonts w:eastAsia="Times New Roman" w:cs="Times New Roman"/>
        </w:rPr>
        <w:t>лв.</w:t>
      </w:r>
      <w:r w:rsidR="001C53C4">
        <w:rPr>
          <w:rFonts w:eastAsia="Times New Roman" w:cs="Times New Roman"/>
        </w:rPr>
        <w:t>;</w:t>
      </w:r>
    </w:p>
    <w:p w:rsidR="003A0A4E" w:rsidRDefault="00C35982" w:rsidP="003A0A4E">
      <w:pPr>
        <w:tabs>
          <w:tab w:val="left" w:pos="851"/>
        </w:tabs>
        <w:spacing w:before="120" w:after="0"/>
        <w:ind w:left="709" w:hanging="425"/>
        <w:rPr>
          <w:rFonts w:eastAsia="Times New Roman" w:cs="Times New Roman"/>
        </w:rPr>
      </w:pPr>
      <w:r>
        <w:rPr>
          <w:rFonts w:eastAsia="Times New Roman" w:cs="Times New Roman"/>
        </w:rPr>
        <w:t>-</w:t>
      </w:r>
      <w:r w:rsidR="003A0A4E">
        <w:rPr>
          <w:rFonts w:eastAsia="Times New Roman" w:cs="Times New Roman"/>
        </w:rPr>
        <w:tab/>
      </w:r>
      <w:r w:rsidRPr="004964B7">
        <w:rPr>
          <w:rFonts w:eastAsia="Times New Roman" w:cs="Times New Roman"/>
        </w:rPr>
        <w:t xml:space="preserve">изграждане на Национална педиатрична болница, </w:t>
      </w:r>
      <w:r w:rsidR="003A0A4E">
        <w:rPr>
          <w:rFonts w:eastAsia="Times New Roman" w:cs="Times New Roman"/>
        </w:rPr>
        <w:t xml:space="preserve">като </w:t>
      </w:r>
      <w:r w:rsidR="003A0A4E" w:rsidRPr="004964B7">
        <w:rPr>
          <w:rFonts w:eastAsia="Times New Roman" w:cs="Times New Roman"/>
        </w:rPr>
        <w:t>поетапно за дялово участие на държавата са осигурени финан</w:t>
      </w:r>
      <w:r w:rsidR="003A0A4E">
        <w:rPr>
          <w:rFonts w:eastAsia="Times New Roman" w:cs="Times New Roman"/>
        </w:rPr>
        <w:t>сови средства за периода 2020-</w:t>
      </w:r>
      <w:r w:rsidR="003A0A4E" w:rsidRPr="004964B7">
        <w:rPr>
          <w:rFonts w:eastAsia="Times New Roman" w:cs="Times New Roman"/>
        </w:rPr>
        <w:t>2022 г., разпределени по години</w:t>
      </w:r>
      <w:r w:rsidR="003A0A4E">
        <w:rPr>
          <w:rFonts w:eastAsia="Times New Roman" w:cs="Times New Roman"/>
        </w:rPr>
        <w:t>,</w:t>
      </w:r>
      <w:r w:rsidR="003A0A4E" w:rsidRPr="004964B7">
        <w:rPr>
          <w:rFonts w:eastAsia="Times New Roman" w:cs="Times New Roman"/>
        </w:rPr>
        <w:t xml:space="preserve"> както следва: </w:t>
      </w:r>
      <w:r w:rsidR="003A0A4E">
        <w:rPr>
          <w:rFonts w:eastAsia="Times New Roman" w:cs="Times New Roman"/>
        </w:rPr>
        <w:t xml:space="preserve">за </w:t>
      </w:r>
      <w:r w:rsidR="003A0A4E" w:rsidRPr="004964B7">
        <w:rPr>
          <w:rFonts w:eastAsia="Times New Roman" w:cs="Times New Roman"/>
        </w:rPr>
        <w:t>2020 г. – 30</w:t>
      </w:r>
      <w:r w:rsidR="00C40111">
        <w:rPr>
          <w:rFonts w:eastAsia="Times New Roman" w:cs="Times New Roman"/>
        </w:rPr>
        <w:t>,0</w:t>
      </w:r>
      <w:r w:rsidR="003A0A4E" w:rsidRPr="004964B7">
        <w:rPr>
          <w:rFonts w:eastAsia="Times New Roman" w:cs="Times New Roman"/>
        </w:rPr>
        <w:t xml:space="preserve"> млн.</w:t>
      </w:r>
      <w:r w:rsidR="003A0A4E">
        <w:rPr>
          <w:rFonts w:eastAsia="Times New Roman" w:cs="Times New Roman"/>
        </w:rPr>
        <w:t xml:space="preserve"> </w:t>
      </w:r>
      <w:r w:rsidR="003A0A4E" w:rsidRPr="004964B7">
        <w:rPr>
          <w:rFonts w:eastAsia="Times New Roman" w:cs="Times New Roman"/>
        </w:rPr>
        <w:t xml:space="preserve">лв., </w:t>
      </w:r>
      <w:r w:rsidR="003A0A4E">
        <w:rPr>
          <w:rFonts w:eastAsia="Times New Roman" w:cs="Times New Roman"/>
        </w:rPr>
        <w:t xml:space="preserve">за </w:t>
      </w:r>
      <w:r w:rsidR="003A0A4E" w:rsidRPr="004964B7">
        <w:rPr>
          <w:rFonts w:eastAsia="Times New Roman" w:cs="Times New Roman"/>
        </w:rPr>
        <w:t>2021 г. – 50</w:t>
      </w:r>
      <w:r w:rsidR="00C40111">
        <w:rPr>
          <w:rFonts w:eastAsia="Times New Roman" w:cs="Times New Roman"/>
        </w:rPr>
        <w:t>,0</w:t>
      </w:r>
      <w:r w:rsidR="003A0A4E" w:rsidRPr="004964B7">
        <w:rPr>
          <w:rFonts w:eastAsia="Times New Roman" w:cs="Times New Roman"/>
        </w:rPr>
        <w:t xml:space="preserve"> млн.</w:t>
      </w:r>
      <w:r w:rsidR="003A0A4E">
        <w:rPr>
          <w:rFonts w:eastAsia="Times New Roman" w:cs="Times New Roman"/>
        </w:rPr>
        <w:t xml:space="preserve"> </w:t>
      </w:r>
      <w:r w:rsidR="003A0A4E" w:rsidRPr="004964B7">
        <w:rPr>
          <w:rFonts w:eastAsia="Times New Roman" w:cs="Times New Roman"/>
        </w:rPr>
        <w:t xml:space="preserve">лв. и </w:t>
      </w:r>
      <w:r w:rsidR="003A0A4E">
        <w:rPr>
          <w:rFonts w:eastAsia="Times New Roman" w:cs="Times New Roman"/>
        </w:rPr>
        <w:t xml:space="preserve">за </w:t>
      </w:r>
      <w:r w:rsidR="003A0A4E" w:rsidRPr="004964B7">
        <w:rPr>
          <w:rFonts w:eastAsia="Times New Roman" w:cs="Times New Roman"/>
        </w:rPr>
        <w:t>2022 г. – 20</w:t>
      </w:r>
      <w:r w:rsidR="00C40111">
        <w:rPr>
          <w:rFonts w:eastAsia="Times New Roman" w:cs="Times New Roman"/>
        </w:rPr>
        <w:t>,0</w:t>
      </w:r>
      <w:r w:rsidR="003A0A4E" w:rsidRPr="004964B7">
        <w:rPr>
          <w:rFonts w:eastAsia="Times New Roman" w:cs="Times New Roman"/>
        </w:rPr>
        <w:t xml:space="preserve"> млн.</w:t>
      </w:r>
      <w:r w:rsidR="003A0A4E">
        <w:rPr>
          <w:rFonts w:eastAsia="Times New Roman" w:cs="Times New Roman"/>
        </w:rPr>
        <w:t xml:space="preserve"> </w:t>
      </w:r>
      <w:r w:rsidR="003A0A4E" w:rsidRPr="004964B7">
        <w:rPr>
          <w:rFonts w:eastAsia="Times New Roman" w:cs="Times New Roman"/>
        </w:rPr>
        <w:t>лв.</w:t>
      </w:r>
    </w:p>
    <w:p w:rsidR="00981F9B" w:rsidRPr="004964B7" w:rsidRDefault="00981F9B" w:rsidP="0082145B">
      <w:pPr>
        <w:spacing w:before="120" w:after="0"/>
        <w:rPr>
          <w:rFonts w:eastAsia="Times New Roman" w:cs="Times New Roman"/>
        </w:rPr>
      </w:pPr>
      <w:r w:rsidRPr="00981F9B">
        <w:rPr>
          <w:rFonts w:eastAsia="Times New Roman" w:cs="Times New Roman"/>
        </w:rPr>
        <w:t>Съгласно чл. 6, ал.1 от Закона за Българския червен кръст и предвид необходимостта от въвеждането на единен подход при финансирането със средства от държавния бюджет на юридически лица с нестопанска цел, както и от създаването и поддържането на информация за измерване на изпълнението на секторните политики, по бюджета на Министерството на здравеопазването за 2020 г. и следващите години са планирани допълнителни субсидии в размер на 5,7 млн. лв. за финансова подкрепа на Българския червен кръст.</w:t>
      </w:r>
    </w:p>
    <w:p w:rsidR="00C35982" w:rsidRDefault="00C35982" w:rsidP="0082145B">
      <w:pPr>
        <w:spacing w:before="120" w:after="0"/>
        <w:rPr>
          <w:rFonts w:eastAsia="Times New Roman"/>
        </w:rPr>
      </w:pPr>
    </w:p>
    <w:p w:rsidR="00E7639F" w:rsidRDefault="00E7639F" w:rsidP="00E7639F">
      <w:pPr>
        <w:pStyle w:val="Heading4"/>
        <w:rPr>
          <w:rFonts w:eastAsia="Times New Roman"/>
        </w:rPr>
      </w:pPr>
      <w:r w:rsidRPr="00E202F3">
        <w:rPr>
          <w:rFonts w:eastAsia="Times New Roman"/>
        </w:rPr>
        <w:t>Политика в областта на промоцията, превенцията и контрола на общественото здраве</w:t>
      </w:r>
    </w:p>
    <w:p w:rsidR="008C4F68" w:rsidRDefault="008C4F68" w:rsidP="00E7639F">
      <w:pPr>
        <w:rPr>
          <w:highlight w:val="yellow"/>
        </w:rPr>
      </w:pPr>
    </w:p>
    <w:p w:rsidR="00C35982" w:rsidRDefault="00C35982" w:rsidP="0082145B">
      <w:pPr>
        <w:spacing w:before="120" w:after="0"/>
        <w:rPr>
          <w:rFonts w:eastAsia="Times New Roman" w:cs="Times New Roman"/>
        </w:rPr>
      </w:pPr>
      <w:r w:rsidRPr="002E4153">
        <w:rPr>
          <w:rFonts w:eastAsia="Times New Roman" w:cs="Times New Roman"/>
        </w:rPr>
        <w:t xml:space="preserve">Основният обхват на политиката е гарантиране на качествено и ефективно посрещане на здравните потребности на гражданите чрез реализиране на първична профилактика, промоция на здравето и интегрирана профилактика на заразните болести, в това число имунопрофилактика, надзор на заразните болести и ефективен държавен здравен контрол върху факторите на жизнената среда. </w:t>
      </w:r>
      <w:r w:rsidRPr="00093F44">
        <w:rPr>
          <w:rFonts w:eastAsia="Times New Roman" w:cs="Times New Roman"/>
        </w:rPr>
        <w:t>Националните планове, програми и стратегии за периода 2020-2022 г. очертават основните сфери, приоритетите и предизвикателства</w:t>
      </w:r>
      <w:r w:rsidR="00722728">
        <w:rPr>
          <w:rFonts w:eastAsia="Times New Roman" w:cs="Times New Roman"/>
        </w:rPr>
        <w:t>та</w:t>
      </w:r>
      <w:r w:rsidRPr="00093F44">
        <w:rPr>
          <w:rFonts w:eastAsia="Times New Roman" w:cs="Times New Roman"/>
        </w:rPr>
        <w:t xml:space="preserve"> в областта на опазването на общественото здраве. Те основно са ориентирани към крайните резултати, както и към действията и мерките, които трябва да бъдат предприети за изпълнение на заложените цели. </w:t>
      </w:r>
      <w:r w:rsidRPr="002E4153">
        <w:rPr>
          <w:rFonts w:eastAsia="Batang" w:cs="Times New Roman"/>
        </w:rPr>
        <w:t xml:space="preserve">Основен принос към реализацията на тази политика има </w:t>
      </w:r>
      <w:r w:rsidRPr="002E4153">
        <w:rPr>
          <w:rFonts w:eastAsia="Times New Roman" w:cs="Times New Roman"/>
        </w:rPr>
        <w:t>Министерството на здравеопазването, регионалните здравни инспекции и националните центрове по проблемите на общественото здраве.</w:t>
      </w:r>
    </w:p>
    <w:p w:rsidR="00A82BFE" w:rsidRDefault="00A82BFE" w:rsidP="00A82BFE">
      <w:pPr>
        <w:spacing w:before="120" w:after="0"/>
      </w:pPr>
    </w:p>
    <w:p w:rsidR="008C1DE7" w:rsidRPr="00802561" w:rsidRDefault="008C1DE7" w:rsidP="00A82BFE">
      <w:pPr>
        <w:spacing w:before="120" w:after="0"/>
      </w:pPr>
    </w:p>
    <w:p w:rsidR="00C35982" w:rsidRPr="00C35982" w:rsidRDefault="00E7639F" w:rsidP="00C35982">
      <w:pPr>
        <w:jc w:val="left"/>
        <w:rPr>
          <w:rFonts w:cs="Times New Roman"/>
          <w:b/>
          <w:sz w:val="20"/>
          <w:szCs w:val="20"/>
        </w:rPr>
      </w:pPr>
      <w:r w:rsidRPr="00E71A58">
        <w:rPr>
          <w:rFonts w:cs="Times New Roman"/>
          <w:b/>
          <w:sz w:val="20"/>
          <w:szCs w:val="20"/>
        </w:rPr>
        <w:t>КЛЮЧОВИ ИНДИКАТОРИ З</w:t>
      </w:r>
      <w:r w:rsidR="008C4F68">
        <w:rPr>
          <w:rFonts w:cs="Times New Roman"/>
          <w:b/>
          <w:sz w:val="20"/>
          <w:szCs w:val="20"/>
        </w:rPr>
        <w:t>А ИЗПЪЛНЕНИЕ И ЦЕЛЕВИ СТОЙНОСТИ</w:t>
      </w:r>
    </w:p>
    <w:tbl>
      <w:tblPr>
        <w:tblW w:w="9200" w:type="dxa"/>
        <w:tblInd w:w="55" w:type="dxa"/>
        <w:tblCellMar>
          <w:left w:w="70" w:type="dxa"/>
          <w:right w:w="70" w:type="dxa"/>
        </w:tblCellMar>
        <w:tblLook w:val="04A0" w:firstRow="1" w:lastRow="0" w:firstColumn="1" w:lastColumn="0" w:noHBand="0" w:noVBand="1"/>
      </w:tblPr>
      <w:tblGrid>
        <w:gridCol w:w="3723"/>
        <w:gridCol w:w="1201"/>
        <w:gridCol w:w="1062"/>
        <w:gridCol w:w="1062"/>
        <w:gridCol w:w="1076"/>
        <w:gridCol w:w="1076"/>
      </w:tblGrid>
      <w:tr w:rsidR="00C35982" w:rsidRPr="0098512F" w:rsidTr="0082145B">
        <w:trPr>
          <w:trHeight w:val="810"/>
          <w:tblHeader/>
        </w:trPr>
        <w:tc>
          <w:tcPr>
            <w:tcW w:w="4480" w:type="dxa"/>
            <w:tcBorders>
              <w:top w:val="single" w:sz="4" w:space="0" w:color="auto"/>
              <w:left w:val="nil"/>
              <w:bottom w:val="nil"/>
              <w:right w:val="nil"/>
            </w:tcBorders>
            <w:shd w:val="clear" w:color="auto" w:fill="auto"/>
            <w:vAlign w:val="center"/>
            <w:hideMark/>
          </w:tcPr>
          <w:p w:rsidR="00C35982" w:rsidRPr="0098512F" w:rsidRDefault="00C35982" w:rsidP="0082145B">
            <w:pPr>
              <w:spacing w:after="0"/>
              <w:jc w:val="center"/>
              <w:rPr>
                <w:rFonts w:eastAsia="Times New Roman" w:cs="Times New Roman"/>
                <w:b/>
                <w:bCs/>
                <w:i/>
                <w:iCs/>
                <w:color w:val="000000"/>
                <w:sz w:val="18"/>
                <w:szCs w:val="18"/>
              </w:rPr>
            </w:pPr>
            <w:r w:rsidRPr="0098512F">
              <w:rPr>
                <w:rFonts w:eastAsia="Times New Roman" w:cs="Times New Roman"/>
                <w:b/>
                <w:bCs/>
                <w:i/>
                <w:iCs/>
                <w:color w:val="000000"/>
                <w:sz w:val="18"/>
                <w:szCs w:val="18"/>
              </w:rPr>
              <w:t>Политика в областта на промоцията, превенцията и контрола на общественото здраве</w:t>
            </w:r>
          </w:p>
        </w:tc>
        <w:tc>
          <w:tcPr>
            <w:tcW w:w="1320" w:type="dxa"/>
            <w:vMerge w:val="restart"/>
            <w:tcBorders>
              <w:top w:val="single" w:sz="4" w:space="0" w:color="auto"/>
              <w:left w:val="nil"/>
              <w:bottom w:val="single" w:sz="4" w:space="0" w:color="963634"/>
              <w:right w:val="nil"/>
            </w:tcBorders>
            <w:shd w:val="clear" w:color="auto" w:fill="F2F2F2"/>
            <w:vAlign w:val="center"/>
            <w:hideMark/>
          </w:tcPr>
          <w:p w:rsidR="00C35982" w:rsidRPr="0098512F" w:rsidRDefault="00C35982" w:rsidP="0082145B">
            <w:pPr>
              <w:spacing w:after="0"/>
              <w:jc w:val="center"/>
              <w:rPr>
                <w:rFonts w:eastAsia="Times New Roman" w:cs="Times New Roman"/>
                <w:b/>
                <w:bCs/>
                <w:color w:val="000000"/>
                <w:sz w:val="18"/>
                <w:szCs w:val="18"/>
              </w:rPr>
            </w:pPr>
            <w:r w:rsidRPr="0098512F">
              <w:rPr>
                <w:rFonts w:eastAsia="Times New Roman" w:cs="Times New Roman"/>
                <w:b/>
                <w:bCs/>
                <w:color w:val="000000"/>
                <w:sz w:val="18"/>
                <w:szCs w:val="18"/>
              </w:rPr>
              <w:t>Мерна единица</w:t>
            </w:r>
          </w:p>
        </w:tc>
        <w:tc>
          <w:tcPr>
            <w:tcW w:w="1120" w:type="dxa"/>
            <w:tcBorders>
              <w:top w:val="single" w:sz="4" w:space="0" w:color="auto"/>
              <w:left w:val="nil"/>
              <w:bottom w:val="single" w:sz="4" w:space="0" w:color="auto"/>
              <w:right w:val="nil"/>
            </w:tcBorders>
          </w:tcPr>
          <w:p w:rsidR="00C35982" w:rsidRPr="0098512F" w:rsidRDefault="00C35982" w:rsidP="0082145B">
            <w:pPr>
              <w:spacing w:after="0"/>
              <w:rPr>
                <w:rFonts w:eastAsia="Times New Roman" w:cs="Times New Roman"/>
                <w:b/>
                <w:bCs/>
                <w:color w:val="000000"/>
                <w:sz w:val="18"/>
                <w:szCs w:val="18"/>
              </w:rPr>
            </w:pPr>
          </w:p>
        </w:tc>
        <w:tc>
          <w:tcPr>
            <w:tcW w:w="3400" w:type="dxa"/>
            <w:gridSpan w:val="3"/>
            <w:tcBorders>
              <w:top w:val="single" w:sz="4" w:space="0" w:color="auto"/>
              <w:left w:val="nil"/>
              <w:bottom w:val="single" w:sz="4" w:space="0" w:color="auto"/>
              <w:right w:val="nil"/>
            </w:tcBorders>
            <w:shd w:val="clear" w:color="auto" w:fill="auto"/>
            <w:vAlign w:val="center"/>
            <w:hideMark/>
          </w:tcPr>
          <w:p w:rsidR="00C35982" w:rsidRPr="0098512F" w:rsidRDefault="00C35982" w:rsidP="0082145B">
            <w:pPr>
              <w:spacing w:after="0"/>
              <w:rPr>
                <w:rFonts w:eastAsia="Times New Roman" w:cs="Times New Roman"/>
                <w:b/>
                <w:bCs/>
                <w:color w:val="000000"/>
                <w:sz w:val="18"/>
                <w:szCs w:val="18"/>
              </w:rPr>
            </w:pPr>
            <w:r w:rsidRPr="0098512F">
              <w:rPr>
                <w:rFonts w:eastAsia="Times New Roman" w:cs="Times New Roman"/>
                <w:b/>
                <w:bCs/>
                <w:color w:val="000000"/>
                <w:sz w:val="18"/>
                <w:szCs w:val="18"/>
              </w:rPr>
              <w:t>Целева стойност</w:t>
            </w:r>
          </w:p>
        </w:tc>
      </w:tr>
      <w:tr w:rsidR="00C35982" w:rsidRPr="0098512F" w:rsidTr="00347827">
        <w:trPr>
          <w:trHeight w:val="540"/>
          <w:tblHeader/>
        </w:trPr>
        <w:tc>
          <w:tcPr>
            <w:tcW w:w="4480" w:type="dxa"/>
            <w:tcBorders>
              <w:top w:val="nil"/>
              <w:left w:val="nil"/>
              <w:bottom w:val="single" w:sz="4" w:space="0" w:color="auto"/>
              <w:right w:val="nil"/>
            </w:tcBorders>
            <w:shd w:val="clear" w:color="auto" w:fill="auto"/>
            <w:vAlign w:val="center"/>
            <w:hideMark/>
          </w:tcPr>
          <w:p w:rsidR="00C35982" w:rsidRPr="0098512F" w:rsidRDefault="00C35982" w:rsidP="0082145B">
            <w:pPr>
              <w:spacing w:after="0"/>
              <w:jc w:val="center"/>
              <w:rPr>
                <w:rFonts w:eastAsia="Times New Roman" w:cs="Times New Roman"/>
                <w:b/>
                <w:bCs/>
                <w:color w:val="000000"/>
                <w:sz w:val="18"/>
                <w:szCs w:val="18"/>
              </w:rPr>
            </w:pPr>
            <w:r w:rsidRPr="0098512F">
              <w:rPr>
                <w:rFonts w:eastAsia="Times New Roman" w:cs="Times New Roman"/>
                <w:b/>
                <w:bCs/>
                <w:color w:val="000000"/>
                <w:sz w:val="18"/>
                <w:szCs w:val="18"/>
              </w:rPr>
              <w:t>Наименование на индикатора</w:t>
            </w:r>
          </w:p>
        </w:tc>
        <w:tc>
          <w:tcPr>
            <w:tcW w:w="1320" w:type="dxa"/>
            <w:vMerge/>
            <w:tcBorders>
              <w:top w:val="single" w:sz="4" w:space="0" w:color="auto"/>
              <w:left w:val="nil"/>
              <w:bottom w:val="single" w:sz="4" w:space="0" w:color="auto"/>
              <w:right w:val="nil"/>
            </w:tcBorders>
            <w:shd w:val="clear" w:color="auto" w:fill="F2F2F2"/>
            <w:vAlign w:val="center"/>
            <w:hideMark/>
          </w:tcPr>
          <w:p w:rsidR="00C35982" w:rsidRPr="0098512F" w:rsidRDefault="00C35982" w:rsidP="0082145B">
            <w:pPr>
              <w:spacing w:after="0"/>
              <w:rPr>
                <w:rFonts w:eastAsia="Times New Roman" w:cs="Times New Roman"/>
                <w:b/>
                <w:bCs/>
                <w:color w:val="000000"/>
                <w:sz w:val="18"/>
                <w:szCs w:val="18"/>
              </w:rPr>
            </w:pPr>
          </w:p>
        </w:tc>
        <w:tc>
          <w:tcPr>
            <w:tcW w:w="1120" w:type="dxa"/>
            <w:tcBorders>
              <w:top w:val="nil"/>
              <w:left w:val="nil"/>
              <w:bottom w:val="single" w:sz="4" w:space="0" w:color="auto"/>
              <w:right w:val="nil"/>
            </w:tcBorders>
            <w:vAlign w:val="center"/>
          </w:tcPr>
          <w:p w:rsidR="00C35982" w:rsidRPr="0098512F" w:rsidRDefault="00C35982" w:rsidP="0082145B">
            <w:pPr>
              <w:spacing w:after="0"/>
              <w:jc w:val="center"/>
              <w:rPr>
                <w:rFonts w:eastAsia="Times New Roman" w:cs="Times New Roman"/>
                <w:b/>
                <w:bCs/>
                <w:i/>
                <w:iCs/>
                <w:color w:val="000000"/>
                <w:sz w:val="18"/>
                <w:szCs w:val="18"/>
              </w:rPr>
            </w:pPr>
            <w:r w:rsidRPr="008B5F35">
              <w:rPr>
                <w:rFonts w:eastAsia="Times New Roman" w:cs="Times New Roman"/>
                <w:b/>
                <w:bCs/>
                <w:i/>
                <w:iCs/>
                <w:color w:val="000000"/>
                <w:sz w:val="18"/>
                <w:szCs w:val="18"/>
              </w:rPr>
              <w:t>Програма 2019 г.</w:t>
            </w:r>
          </w:p>
        </w:tc>
        <w:tc>
          <w:tcPr>
            <w:tcW w:w="1120" w:type="dxa"/>
            <w:tcBorders>
              <w:top w:val="nil"/>
              <w:left w:val="nil"/>
              <w:bottom w:val="single" w:sz="4" w:space="0" w:color="auto"/>
              <w:right w:val="nil"/>
            </w:tcBorders>
            <w:shd w:val="clear" w:color="auto" w:fill="auto"/>
            <w:vAlign w:val="center"/>
            <w:hideMark/>
          </w:tcPr>
          <w:p w:rsidR="00C35982" w:rsidRPr="0098512F" w:rsidRDefault="00C35982" w:rsidP="0082145B">
            <w:pPr>
              <w:spacing w:after="0"/>
              <w:jc w:val="center"/>
              <w:rPr>
                <w:rFonts w:eastAsia="Times New Roman" w:cs="Times New Roman"/>
                <w:b/>
                <w:bCs/>
                <w:i/>
                <w:iCs/>
                <w:color w:val="000000"/>
                <w:sz w:val="18"/>
                <w:szCs w:val="18"/>
              </w:rPr>
            </w:pPr>
            <w:r w:rsidRPr="0098512F">
              <w:rPr>
                <w:rFonts w:eastAsia="Times New Roman" w:cs="Times New Roman"/>
                <w:b/>
                <w:bCs/>
                <w:i/>
                <w:iCs/>
                <w:color w:val="000000"/>
                <w:sz w:val="18"/>
                <w:szCs w:val="18"/>
              </w:rPr>
              <w:t>Проект 2020 г.</w:t>
            </w:r>
          </w:p>
        </w:tc>
        <w:tc>
          <w:tcPr>
            <w:tcW w:w="1140" w:type="dxa"/>
            <w:tcBorders>
              <w:top w:val="nil"/>
              <w:left w:val="nil"/>
              <w:bottom w:val="single" w:sz="4" w:space="0" w:color="auto"/>
              <w:right w:val="nil"/>
            </w:tcBorders>
            <w:shd w:val="clear" w:color="auto" w:fill="auto"/>
            <w:vAlign w:val="center"/>
            <w:hideMark/>
          </w:tcPr>
          <w:p w:rsidR="00C35982" w:rsidRPr="0098512F" w:rsidRDefault="00C35982" w:rsidP="0082145B">
            <w:pPr>
              <w:spacing w:after="0"/>
              <w:jc w:val="center"/>
              <w:rPr>
                <w:rFonts w:eastAsia="Times New Roman" w:cs="Times New Roman"/>
                <w:b/>
                <w:bCs/>
                <w:i/>
                <w:iCs/>
                <w:color w:val="000000"/>
                <w:sz w:val="18"/>
                <w:szCs w:val="18"/>
              </w:rPr>
            </w:pPr>
            <w:r w:rsidRPr="0098512F">
              <w:rPr>
                <w:rFonts w:eastAsia="Times New Roman" w:cs="Times New Roman"/>
                <w:b/>
                <w:bCs/>
                <w:i/>
                <w:iCs/>
                <w:color w:val="000000"/>
                <w:sz w:val="18"/>
                <w:szCs w:val="18"/>
              </w:rPr>
              <w:t>Прогноза 2021 г.</w:t>
            </w:r>
          </w:p>
        </w:tc>
        <w:tc>
          <w:tcPr>
            <w:tcW w:w="1140" w:type="dxa"/>
            <w:tcBorders>
              <w:top w:val="nil"/>
              <w:left w:val="nil"/>
              <w:bottom w:val="single" w:sz="4" w:space="0" w:color="auto"/>
              <w:right w:val="nil"/>
            </w:tcBorders>
            <w:shd w:val="clear" w:color="auto" w:fill="auto"/>
            <w:vAlign w:val="center"/>
            <w:hideMark/>
          </w:tcPr>
          <w:p w:rsidR="00C35982" w:rsidRPr="0098512F" w:rsidRDefault="00C35982" w:rsidP="0082145B">
            <w:pPr>
              <w:spacing w:after="0"/>
              <w:jc w:val="center"/>
              <w:rPr>
                <w:rFonts w:eastAsia="Times New Roman" w:cs="Times New Roman"/>
                <w:b/>
                <w:bCs/>
                <w:i/>
                <w:iCs/>
                <w:color w:val="000000"/>
                <w:sz w:val="18"/>
                <w:szCs w:val="18"/>
              </w:rPr>
            </w:pPr>
            <w:r w:rsidRPr="0098512F">
              <w:rPr>
                <w:rFonts w:eastAsia="Times New Roman" w:cs="Times New Roman"/>
                <w:b/>
                <w:bCs/>
                <w:i/>
                <w:iCs/>
                <w:color w:val="000000"/>
                <w:sz w:val="18"/>
                <w:szCs w:val="18"/>
              </w:rPr>
              <w:t>Прогноза 2022 г.</w:t>
            </w:r>
          </w:p>
        </w:tc>
      </w:tr>
      <w:tr w:rsidR="00C35982" w:rsidRPr="0098512F" w:rsidTr="00347827">
        <w:trPr>
          <w:trHeight w:val="60"/>
        </w:trPr>
        <w:tc>
          <w:tcPr>
            <w:tcW w:w="4480" w:type="dxa"/>
            <w:tcBorders>
              <w:top w:val="single" w:sz="4" w:space="0" w:color="auto"/>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1. Възникнали значими събития с риск за общественото здраве, налагащи провеждането на засилен епидемиологичен надзор, профилактика и здравен контрол</w:t>
            </w:r>
          </w:p>
        </w:tc>
        <w:tc>
          <w:tcPr>
            <w:tcW w:w="1320" w:type="dxa"/>
            <w:tcBorders>
              <w:top w:val="single" w:sz="4" w:space="0" w:color="auto"/>
              <w:left w:val="nil"/>
              <w:bottom w:val="nil"/>
              <w:right w:val="nil"/>
            </w:tcBorders>
            <w:shd w:val="clear" w:color="auto" w:fill="F2F2F2"/>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брой</w:t>
            </w:r>
          </w:p>
        </w:tc>
        <w:tc>
          <w:tcPr>
            <w:tcW w:w="1120" w:type="dxa"/>
            <w:tcBorders>
              <w:top w:val="single" w:sz="4" w:space="0" w:color="auto"/>
              <w:left w:val="nil"/>
              <w:bottom w:val="nil"/>
              <w:right w:val="nil"/>
            </w:tcBorders>
            <w:shd w:val="clear" w:color="000000" w:fill="FFFFFF"/>
          </w:tcPr>
          <w:p w:rsidR="00C35982" w:rsidRPr="008B5F35"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0</w:t>
            </w:r>
          </w:p>
        </w:tc>
        <w:tc>
          <w:tcPr>
            <w:tcW w:w="1120" w:type="dxa"/>
            <w:tcBorders>
              <w:top w:val="single" w:sz="4" w:space="0" w:color="auto"/>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0</w:t>
            </w:r>
          </w:p>
        </w:tc>
        <w:tc>
          <w:tcPr>
            <w:tcW w:w="1140" w:type="dxa"/>
            <w:tcBorders>
              <w:top w:val="single" w:sz="4" w:space="0" w:color="auto"/>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0</w:t>
            </w:r>
          </w:p>
        </w:tc>
        <w:tc>
          <w:tcPr>
            <w:tcW w:w="1140" w:type="dxa"/>
            <w:tcBorders>
              <w:top w:val="single" w:sz="4" w:space="0" w:color="auto"/>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0</w:t>
            </w:r>
          </w:p>
        </w:tc>
      </w:tr>
      <w:tr w:rsidR="00C35982" w:rsidRPr="0098512F" w:rsidTr="0082145B">
        <w:trPr>
          <w:trHeight w:val="465"/>
        </w:trPr>
        <w:tc>
          <w:tcPr>
            <w:tcW w:w="4480" w:type="dxa"/>
            <w:vMerge w:val="restart"/>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2. Регистрирана годишна заболяемост и смъртност от ваксинопредотвратими заболявания</w:t>
            </w:r>
          </w:p>
        </w:tc>
        <w:tc>
          <w:tcPr>
            <w:tcW w:w="1320" w:type="dxa"/>
            <w:vMerge w:val="restart"/>
            <w:tcBorders>
              <w:top w:val="nil"/>
              <w:left w:val="nil"/>
              <w:bottom w:val="nil"/>
              <w:right w:val="nil"/>
            </w:tcBorders>
            <w:shd w:val="clear" w:color="auto" w:fill="F2F2F2"/>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честота на 100 000 население</w:t>
            </w:r>
          </w:p>
        </w:tc>
        <w:tc>
          <w:tcPr>
            <w:tcW w:w="1120" w:type="dxa"/>
            <w:tcBorders>
              <w:top w:val="nil"/>
              <w:left w:val="nil"/>
              <w:bottom w:val="nil"/>
              <w:right w:val="nil"/>
            </w:tcBorders>
            <w:shd w:val="clear" w:color="000000" w:fill="FFFFFF"/>
            <w:vAlign w:val="center"/>
          </w:tcPr>
          <w:p w:rsidR="00C35982" w:rsidRPr="008B5F35"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lang w:val="en-US"/>
              </w:rPr>
              <w:t>5</w:t>
            </w:r>
            <w:r>
              <w:rPr>
                <w:rFonts w:asciiTheme="majorHAnsi" w:eastAsia="Times New Roman" w:hAnsiTheme="majorHAnsi" w:cstheme="majorHAnsi"/>
                <w:sz w:val="18"/>
                <w:szCs w:val="18"/>
              </w:rPr>
              <w:t>,64%000</w:t>
            </w:r>
          </w:p>
        </w:tc>
        <w:tc>
          <w:tcPr>
            <w:tcW w:w="1120" w:type="dxa"/>
            <w:tcBorders>
              <w:top w:val="nil"/>
              <w:left w:val="nil"/>
              <w:bottom w:val="nil"/>
              <w:right w:val="nil"/>
            </w:tcBorders>
            <w:shd w:val="clear" w:color="000000" w:fill="FFFFFF"/>
            <w:vAlign w:val="center"/>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5,0%000</w:t>
            </w:r>
          </w:p>
        </w:tc>
        <w:tc>
          <w:tcPr>
            <w:tcW w:w="1140" w:type="dxa"/>
            <w:tcBorders>
              <w:top w:val="nil"/>
              <w:left w:val="nil"/>
              <w:bottom w:val="nil"/>
              <w:right w:val="nil"/>
            </w:tcBorders>
            <w:shd w:val="clear" w:color="000000" w:fill="FFFFFF"/>
            <w:vAlign w:val="center"/>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4,5%000</w:t>
            </w:r>
          </w:p>
        </w:tc>
        <w:tc>
          <w:tcPr>
            <w:tcW w:w="1140" w:type="dxa"/>
            <w:tcBorders>
              <w:top w:val="nil"/>
              <w:left w:val="nil"/>
              <w:bottom w:val="nil"/>
              <w:right w:val="nil"/>
            </w:tcBorders>
            <w:shd w:val="clear" w:color="000000" w:fill="FFFFFF"/>
            <w:vAlign w:val="center"/>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4,5%000</w:t>
            </w:r>
          </w:p>
        </w:tc>
      </w:tr>
      <w:tr w:rsidR="00C35982" w:rsidRPr="0098512F" w:rsidTr="0082145B">
        <w:trPr>
          <w:trHeight w:val="70"/>
        </w:trPr>
        <w:tc>
          <w:tcPr>
            <w:tcW w:w="4480" w:type="dxa"/>
            <w:vMerge/>
            <w:tcBorders>
              <w:top w:val="nil"/>
              <w:left w:val="nil"/>
              <w:bottom w:val="nil"/>
              <w:right w:val="nil"/>
            </w:tcBorders>
            <w:hideMark/>
          </w:tcPr>
          <w:p w:rsidR="00C35982" w:rsidRPr="00B015A3" w:rsidRDefault="00C35982" w:rsidP="0082145B">
            <w:pPr>
              <w:widowControl w:val="0"/>
              <w:autoSpaceDE w:val="0"/>
              <w:autoSpaceDN w:val="0"/>
              <w:adjustRightInd w:val="0"/>
              <w:spacing w:after="0"/>
              <w:rPr>
                <w:rFonts w:asciiTheme="majorHAnsi" w:eastAsia="Times New Roman" w:hAnsiTheme="majorHAnsi" w:cstheme="majorHAnsi"/>
                <w:sz w:val="18"/>
                <w:szCs w:val="18"/>
              </w:rPr>
            </w:pPr>
          </w:p>
        </w:tc>
        <w:tc>
          <w:tcPr>
            <w:tcW w:w="1320" w:type="dxa"/>
            <w:vMerge/>
            <w:tcBorders>
              <w:top w:val="nil"/>
              <w:left w:val="nil"/>
              <w:bottom w:val="nil"/>
              <w:right w:val="nil"/>
            </w:tcBorders>
            <w:shd w:val="clear" w:color="auto" w:fill="F2F2F2"/>
            <w:vAlign w:val="center"/>
            <w:hideMark/>
          </w:tcPr>
          <w:p w:rsidR="00C35982" w:rsidRPr="00B015A3" w:rsidRDefault="00C35982" w:rsidP="0082145B">
            <w:pPr>
              <w:widowControl w:val="0"/>
              <w:autoSpaceDE w:val="0"/>
              <w:autoSpaceDN w:val="0"/>
              <w:adjustRightInd w:val="0"/>
              <w:spacing w:after="0"/>
              <w:rPr>
                <w:rFonts w:asciiTheme="majorHAnsi" w:eastAsia="Times New Roman" w:hAnsiTheme="majorHAnsi" w:cstheme="majorHAnsi"/>
                <w:sz w:val="18"/>
                <w:szCs w:val="18"/>
              </w:rPr>
            </w:pPr>
          </w:p>
        </w:tc>
        <w:tc>
          <w:tcPr>
            <w:tcW w:w="1120" w:type="dxa"/>
            <w:tcBorders>
              <w:top w:val="nil"/>
              <w:left w:val="nil"/>
              <w:bottom w:val="nil"/>
              <w:right w:val="nil"/>
            </w:tcBorders>
            <w:shd w:val="clear" w:color="000000" w:fill="FFFFFF"/>
            <w:vAlign w:val="center"/>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/0,25%000</w:t>
            </w:r>
          </w:p>
        </w:tc>
        <w:tc>
          <w:tcPr>
            <w:tcW w:w="1120" w:type="dxa"/>
            <w:tcBorders>
              <w:top w:val="nil"/>
              <w:left w:val="nil"/>
              <w:bottom w:val="nil"/>
              <w:right w:val="nil"/>
            </w:tcBorders>
            <w:shd w:val="clear" w:color="000000" w:fill="FFFFFF"/>
            <w:vAlign w:val="center"/>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/0,15%000</w:t>
            </w:r>
          </w:p>
        </w:tc>
        <w:tc>
          <w:tcPr>
            <w:tcW w:w="1140" w:type="dxa"/>
            <w:tcBorders>
              <w:top w:val="nil"/>
              <w:left w:val="nil"/>
              <w:bottom w:val="nil"/>
              <w:right w:val="nil"/>
            </w:tcBorders>
            <w:shd w:val="clear" w:color="000000" w:fill="FFFFFF"/>
            <w:vAlign w:val="center"/>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/0,10%000</w:t>
            </w:r>
          </w:p>
        </w:tc>
        <w:tc>
          <w:tcPr>
            <w:tcW w:w="1140" w:type="dxa"/>
            <w:tcBorders>
              <w:top w:val="nil"/>
              <w:left w:val="nil"/>
              <w:bottom w:val="nil"/>
              <w:right w:val="nil"/>
            </w:tcBorders>
            <w:shd w:val="clear" w:color="000000" w:fill="FFFFFF"/>
            <w:vAlign w:val="center"/>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/0,10%000</w:t>
            </w:r>
          </w:p>
        </w:tc>
      </w:tr>
      <w:tr w:rsidR="00C35982" w:rsidRPr="0098512F" w:rsidTr="0082145B">
        <w:trPr>
          <w:trHeight w:val="70"/>
        </w:trPr>
        <w:tc>
          <w:tcPr>
            <w:tcW w:w="448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3. Относителен дял на обхванатите спрямо общият брой на подлежащите на планови имунизации деца от населението - имунизационен обхват, съгласно Националния имунизационен календар</w:t>
            </w:r>
          </w:p>
        </w:tc>
        <w:tc>
          <w:tcPr>
            <w:tcW w:w="1320" w:type="dxa"/>
            <w:tcBorders>
              <w:top w:val="nil"/>
              <w:left w:val="nil"/>
              <w:bottom w:val="nil"/>
              <w:right w:val="nil"/>
            </w:tcBorders>
            <w:shd w:val="clear" w:color="auto" w:fill="F2F2F2"/>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w:t>
            </w:r>
          </w:p>
        </w:tc>
        <w:tc>
          <w:tcPr>
            <w:tcW w:w="1120" w:type="dxa"/>
            <w:tcBorders>
              <w:top w:val="nil"/>
              <w:left w:val="nil"/>
              <w:bottom w:val="nil"/>
              <w:right w:val="nil"/>
            </w:tcBorders>
            <w:shd w:val="clear" w:color="000000" w:fill="FFFFFF"/>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93,00</w:t>
            </w:r>
          </w:p>
        </w:tc>
        <w:tc>
          <w:tcPr>
            <w:tcW w:w="112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93,05</w:t>
            </w:r>
          </w:p>
        </w:tc>
        <w:tc>
          <w:tcPr>
            <w:tcW w:w="114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94,00</w:t>
            </w:r>
          </w:p>
        </w:tc>
        <w:tc>
          <w:tcPr>
            <w:tcW w:w="114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94,00</w:t>
            </w:r>
          </w:p>
        </w:tc>
      </w:tr>
      <w:tr w:rsidR="00C35982" w:rsidRPr="0098512F" w:rsidTr="0082145B">
        <w:trPr>
          <w:trHeight w:val="70"/>
        </w:trPr>
        <w:tc>
          <w:tcPr>
            <w:tcW w:w="448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4. Регистрирана годишна заболеваемост от туберкулоза (нови болни и рецидиви, всички форми)</w:t>
            </w:r>
          </w:p>
        </w:tc>
        <w:tc>
          <w:tcPr>
            <w:tcW w:w="1320" w:type="dxa"/>
            <w:tcBorders>
              <w:top w:val="nil"/>
              <w:left w:val="nil"/>
              <w:bottom w:val="nil"/>
              <w:right w:val="nil"/>
            </w:tcBorders>
            <w:shd w:val="clear" w:color="auto" w:fill="F2F2F2"/>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честота на 100 000 население</w:t>
            </w:r>
          </w:p>
        </w:tc>
        <w:tc>
          <w:tcPr>
            <w:tcW w:w="1120" w:type="dxa"/>
            <w:tcBorders>
              <w:top w:val="nil"/>
              <w:left w:val="nil"/>
              <w:bottom w:val="nil"/>
              <w:right w:val="nil"/>
            </w:tcBorders>
            <w:shd w:val="clear" w:color="000000" w:fill="FFFFFF"/>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21,5</w:t>
            </w:r>
          </w:p>
        </w:tc>
        <w:tc>
          <w:tcPr>
            <w:tcW w:w="112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20,5</w:t>
            </w:r>
          </w:p>
        </w:tc>
        <w:tc>
          <w:tcPr>
            <w:tcW w:w="114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19,4</w:t>
            </w:r>
          </w:p>
        </w:tc>
        <w:tc>
          <w:tcPr>
            <w:tcW w:w="114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18,5</w:t>
            </w:r>
          </w:p>
        </w:tc>
      </w:tr>
      <w:tr w:rsidR="00C35982" w:rsidRPr="0098512F" w:rsidTr="0082145B">
        <w:trPr>
          <w:trHeight w:val="70"/>
        </w:trPr>
        <w:tc>
          <w:tcPr>
            <w:tcW w:w="448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5. Ниво на разпространението на ХИВ сред общото население - брой на ново регистрираните заболели от ХИВ/СПИН от общото население</w:t>
            </w:r>
          </w:p>
        </w:tc>
        <w:tc>
          <w:tcPr>
            <w:tcW w:w="1320" w:type="dxa"/>
            <w:tcBorders>
              <w:top w:val="nil"/>
              <w:left w:val="nil"/>
              <w:bottom w:val="nil"/>
              <w:right w:val="nil"/>
            </w:tcBorders>
            <w:shd w:val="clear" w:color="auto" w:fill="F2F2F2"/>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честота на 100 000 население</w:t>
            </w:r>
          </w:p>
        </w:tc>
        <w:tc>
          <w:tcPr>
            <w:tcW w:w="1120" w:type="dxa"/>
            <w:tcBorders>
              <w:top w:val="nil"/>
              <w:left w:val="nil"/>
              <w:bottom w:val="nil"/>
              <w:right w:val="nil"/>
            </w:tcBorders>
            <w:shd w:val="clear" w:color="000000" w:fill="FFFFFF"/>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3,6</w:t>
            </w:r>
          </w:p>
        </w:tc>
        <w:tc>
          <w:tcPr>
            <w:tcW w:w="112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3,8</w:t>
            </w:r>
          </w:p>
        </w:tc>
        <w:tc>
          <w:tcPr>
            <w:tcW w:w="114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4,0</w:t>
            </w:r>
          </w:p>
        </w:tc>
        <w:tc>
          <w:tcPr>
            <w:tcW w:w="1140" w:type="dxa"/>
            <w:tcBorders>
              <w:top w:val="nil"/>
              <w:left w:val="nil"/>
              <w:bottom w:val="nil"/>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4,2</w:t>
            </w:r>
          </w:p>
        </w:tc>
      </w:tr>
      <w:tr w:rsidR="00C35982" w:rsidRPr="0098512F" w:rsidTr="0082145B">
        <w:trPr>
          <w:trHeight w:val="1020"/>
        </w:trPr>
        <w:tc>
          <w:tcPr>
            <w:tcW w:w="4480" w:type="dxa"/>
            <w:tcBorders>
              <w:top w:val="nil"/>
              <w:left w:val="nil"/>
              <w:bottom w:val="single" w:sz="4" w:space="0" w:color="auto"/>
              <w:right w:val="nil"/>
            </w:tcBorders>
            <w:shd w:val="clear" w:color="000000" w:fill="FFFFFF"/>
            <w:hideMark/>
          </w:tcPr>
          <w:p w:rsidR="00C35982" w:rsidRPr="00B015A3" w:rsidRDefault="00C35982" w:rsidP="0082145B">
            <w:pPr>
              <w:widowControl w:val="0"/>
              <w:autoSpaceDE w:val="0"/>
              <w:autoSpaceDN w:val="0"/>
              <w:adjustRightInd w:val="0"/>
              <w:spacing w:after="0"/>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6. Относителен дял на преминали успешно лица, обхванати в програми за лечение с опиеви агонисти и агонисти-антагонисти, получаващи Метадон по Наредба № 34</w:t>
            </w:r>
            <w:r w:rsidR="00E042F1">
              <w:rPr>
                <w:rFonts w:asciiTheme="majorHAnsi" w:eastAsia="Times New Roman" w:hAnsiTheme="majorHAnsi" w:cstheme="majorHAnsi"/>
                <w:sz w:val="18"/>
                <w:szCs w:val="18"/>
              </w:rPr>
              <w:t xml:space="preserve"> от 2005 г.</w:t>
            </w:r>
          </w:p>
        </w:tc>
        <w:tc>
          <w:tcPr>
            <w:tcW w:w="1320" w:type="dxa"/>
            <w:tcBorders>
              <w:top w:val="nil"/>
              <w:left w:val="nil"/>
              <w:bottom w:val="single" w:sz="4" w:space="0" w:color="auto"/>
              <w:right w:val="nil"/>
            </w:tcBorders>
            <w:shd w:val="clear" w:color="auto" w:fill="F2F2F2"/>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w:t>
            </w:r>
          </w:p>
        </w:tc>
        <w:tc>
          <w:tcPr>
            <w:tcW w:w="1120" w:type="dxa"/>
            <w:tcBorders>
              <w:top w:val="nil"/>
              <w:left w:val="nil"/>
              <w:bottom w:val="single" w:sz="4" w:space="0" w:color="auto"/>
              <w:right w:val="nil"/>
            </w:tcBorders>
            <w:shd w:val="clear" w:color="000000" w:fill="FFFFFF"/>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6,5</w:t>
            </w:r>
          </w:p>
        </w:tc>
        <w:tc>
          <w:tcPr>
            <w:tcW w:w="1120" w:type="dxa"/>
            <w:tcBorders>
              <w:top w:val="nil"/>
              <w:left w:val="nil"/>
              <w:bottom w:val="single" w:sz="4" w:space="0" w:color="auto"/>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7</w:t>
            </w:r>
          </w:p>
        </w:tc>
        <w:tc>
          <w:tcPr>
            <w:tcW w:w="1140" w:type="dxa"/>
            <w:tcBorders>
              <w:top w:val="nil"/>
              <w:left w:val="nil"/>
              <w:bottom w:val="single" w:sz="4" w:space="0" w:color="auto"/>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7</w:t>
            </w:r>
          </w:p>
        </w:tc>
        <w:tc>
          <w:tcPr>
            <w:tcW w:w="1140" w:type="dxa"/>
            <w:tcBorders>
              <w:top w:val="nil"/>
              <w:left w:val="nil"/>
              <w:bottom w:val="single" w:sz="4" w:space="0" w:color="auto"/>
              <w:right w:val="nil"/>
            </w:tcBorders>
            <w:shd w:val="clear" w:color="000000" w:fill="FFFFFF"/>
            <w:hideMark/>
          </w:tcPr>
          <w:p w:rsidR="00C35982" w:rsidRPr="00B015A3" w:rsidRDefault="00C35982"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7</w:t>
            </w:r>
          </w:p>
        </w:tc>
      </w:tr>
    </w:tbl>
    <w:p w:rsidR="00C35982" w:rsidRDefault="00C35982" w:rsidP="00A82BFE">
      <w:pPr>
        <w:spacing w:before="120" w:after="0"/>
      </w:pPr>
    </w:p>
    <w:p w:rsidR="00C35982" w:rsidRPr="002E4153" w:rsidRDefault="00C35982" w:rsidP="0082145B">
      <w:pPr>
        <w:spacing w:before="120" w:after="0"/>
        <w:rPr>
          <w:rFonts w:eastAsia="Times New Roman" w:cs="Times New Roman"/>
        </w:rPr>
      </w:pPr>
      <w:r w:rsidRPr="002E4153">
        <w:rPr>
          <w:rFonts w:eastAsia="Times New Roman" w:cs="Times New Roman"/>
        </w:rPr>
        <w:t>За осъществяването на тази политика по държавния бюджет са разчетени средства за тригодишния период, основно по следните направления:</w:t>
      </w:r>
    </w:p>
    <w:p w:rsidR="00C35982" w:rsidRPr="002E4153" w:rsidRDefault="00C35982" w:rsidP="003403BF">
      <w:pPr>
        <w:numPr>
          <w:ilvl w:val="0"/>
          <w:numId w:val="25"/>
        </w:numPr>
        <w:spacing w:before="120" w:after="0"/>
        <w:ind w:left="567" w:hanging="283"/>
        <w:rPr>
          <w:rFonts w:eastAsia="Times New Roman" w:cs="Times New Roman"/>
        </w:rPr>
      </w:pPr>
      <w:r w:rsidRPr="002E4153">
        <w:rPr>
          <w:rFonts w:eastAsia="Times New Roman" w:cs="Times New Roman"/>
        </w:rPr>
        <w:t xml:space="preserve">За реализиране на национални програми, ориентирани към различни възрастови и социално-уязвими групи, по отношение ограничаване заболяемостта и смъртността от заразни заболявания и повишаване информираността на населението за най-честите социално-значими хронични незаразни заболявания – по </w:t>
      </w:r>
      <w:r>
        <w:rPr>
          <w:rFonts w:eastAsia="Times New Roman" w:cs="Times New Roman"/>
        </w:rPr>
        <w:t>4,5</w:t>
      </w:r>
      <w:r w:rsidRPr="002E4153">
        <w:rPr>
          <w:rFonts w:eastAsia="Times New Roman" w:cs="Times New Roman"/>
        </w:rPr>
        <w:t xml:space="preserve"> млн. лв.;</w:t>
      </w:r>
    </w:p>
    <w:p w:rsidR="00C35982" w:rsidRPr="002E4153" w:rsidRDefault="00C35982" w:rsidP="003403BF">
      <w:pPr>
        <w:numPr>
          <w:ilvl w:val="0"/>
          <w:numId w:val="25"/>
        </w:numPr>
        <w:spacing w:before="120" w:after="0"/>
        <w:ind w:left="567" w:hanging="283"/>
        <w:rPr>
          <w:rFonts w:eastAsia="Times New Roman" w:cs="Times New Roman"/>
        </w:rPr>
      </w:pPr>
      <w:r w:rsidRPr="002E4153">
        <w:rPr>
          <w:rFonts w:eastAsia="Times New Roman" w:cs="Times New Roman"/>
        </w:rPr>
        <w:t>За централна доставка на ваксини за задължителни и целеви имунизации и биопродукти за постекспозиционна профилактика – по 45,0 млн. лв.;</w:t>
      </w:r>
    </w:p>
    <w:p w:rsidR="00C35982" w:rsidRPr="002E4153" w:rsidRDefault="00C35982" w:rsidP="003403BF">
      <w:pPr>
        <w:numPr>
          <w:ilvl w:val="0"/>
          <w:numId w:val="25"/>
        </w:numPr>
        <w:spacing w:before="120" w:after="0"/>
        <w:ind w:left="567" w:hanging="283"/>
        <w:rPr>
          <w:rFonts w:eastAsia="Times New Roman" w:cs="Times New Roman"/>
        </w:rPr>
      </w:pPr>
      <w:r w:rsidRPr="002E4153">
        <w:rPr>
          <w:rFonts w:eastAsia="Times New Roman" w:cs="Times New Roman"/>
        </w:rPr>
        <w:t>За субсидии за лечебните заведения за болнична помощ за продължаващо лечение и рехабилитация на пациенти с туберкулоза, за амбулаторно проследяване и лечение на пациенти с ХИВ/СПИН и за субституиращи и поддържащи програми с метадон – по 11,</w:t>
      </w:r>
      <w:r>
        <w:rPr>
          <w:rFonts w:eastAsia="Times New Roman" w:cs="Times New Roman"/>
        </w:rPr>
        <w:t>7</w:t>
      </w:r>
      <w:r w:rsidRPr="002E4153">
        <w:rPr>
          <w:rFonts w:eastAsia="Times New Roman" w:cs="Times New Roman"/>
        </w:rPr>
        <w:t xml:space="preserve"> млн. лв.</w:t>
      </w:r>
    </w:p>
    <w:p w:rsidR="008C4F68" w:rsidRDefault="008C4F68" w:rsidP="00A82BFE">
      <w:pPr>
        <w:spacing w:before="120" w:after="0"/>
        <w:rPr>
          <w:highlight w:val="yellow"/>
        </w:rPr>
      </w:pPr>
    </w:p>
    <w:p w:rsidR="00E7639F" w:rsidRPr="00E10136" w:rsidRDefault="00E7639F" w:rsidP="00E7639F">
      <w:pPr>
        <w:pStyle w:val="Heading4"/>
        <w:rPr>
          <w:rFonts w:eastAsia="Times New Roman"/>
        </w:rPr>
      </w:pPr>
      <w:r w:rsidRPr="001A5A70">
        <w:rPr>
          <w:rFonts w:eastAsia="Times New Roman"/>
        </w:rPr>
        <w:t>Политика в областта на диагностиката и лечението</w:t>
      </w:r>
    </w:p>
    <w:p w:rsidR="0082145B" w:rsidRDefault="0082145B" w:rsidP="00F9639B">
      <w:pPr>
        <w:spacing w:before="120" w:after="0"/>
        <w:rPr>
          <w:rFonts w:eastAsia="Times New Roman"/>
        </w:rPr>
      </w:pPr>
    </w:p>
    <w:p w:rsidR="0082145B" w:rsidRDefault="0082145B" w:rsidP="0082145B">
      <w:pPr>
        <w:spacing w:before="120" w:after="0"/>
        <w:rPr>
          <w:rFonts w:eastAsia="Times New Roman" w:cs="Times New Roman"/>
        </w:rPr>
      </w:pPr>
      <w:r w:rsidRPr="002E4153">
        <w:rPr>
          <w:rFonts w:eastAsia="Times New Roman" w:cs="Times New Roman"/>
        </w:rPr>
        <w:t>Политиката е насочена към подобряване на здравното благополучие и качеството на живот на българските граждани и намаляване на здравните неравенства чрез подкрепа за специфични дейности в областта на диагностиката и лечението на заболявания и организацията на медицинската помощ извън обхвата на задължителното здравно осигуряване. Финансирането на политиката е основно със средства от държавния бюджет и от бюджета на Националната здравноосигурителна каса. Основен принос към реализацията на тази политика има Министерството на здравеопазването, Националната здравноосигурителна каса, центровете за спешна медицинска помощ, държавните психиатрични болници, центровете по трансфузионна хематология, домовете за медико-социални грижи за деца, Центърът за асистирана репродукция и лечебните заведения.</w:t>
      </w:r>
    </w:p>
    <w:p w:rsidR="0082145B" w:rsidRPr="007D6981" w:rsidRDefault="0082145B" w:rsidP="0082145B">
      <w:pPr>
        <w:spacing w:before="120" w:after="0"/>
        <w:rPr>
          <w:rFonts w:eastAsia="Times New Roman" w:cs="Times New Roman"/>
          <w:lang w:val="ru-RU"/>
        </w:rPr>
      </w:pPr>
      <w:r w:rsidRPr="00D83D2E">
        <w:rPr>
          <w:rFonts w:eastAsia="Times New Roman" w:cs="Times New Roman"/>
        </w:rPr>
        <w:t>Прилагането на интегриран подход между отделните политики – здравна, социална и икономическа политика е в основата на постигането на заложените цели в политиката в областта на диагностиката и лечението. Реализацията на политиката е в пряка зависимост от провежданата икономическа, финансова и данъчна политика. Осигуряването на специфични медицински услуги за деца и семейства и подобряването на психиатричната помощ е свързано с провежданите политики за деинституционализация и развитие на дългосрочни грижи от Министерство</w:t>
      </w:r>
      <w:r w:rsidR="003A0A4E">
        <w:rPr>
          <w:rFonts w:eastAsia="Times New Roman" w:cs="Times New Roman"/>
        </w:rPr>
        <w:t>то</w:t>
      </w:r>
      <w:r w:rsidRPr="00D83D2E">
        <w:rPr>
          <w:rFonts w:eastAsia="Times New Roman" w:cs="Times New Roman"/>
        </w:rPr>
        <w:t xml:space="preserve"> на труда и социалната политика. Развитието на системата за спешна помощ е пряко свързано с реализацията на инфраструктурен проект за модернизация на системата за спешна помощ по ОП </w:t>
      </w:r>
      <w:r>
        <w:rPr>
          <w:rFonts w:eastAsia="Times New Roman" w:cs="Times New Roman"/>
        </w:rPr>
        <w:t>„</w:t>
      </w:r>
      <w:r w:rsidRPr="00D83D2E">
        <w:rPr>
          <w:rFonts w:eastAsia="Times New Roman" w:cs="Times New Roman"/>
        </w:rPr>
        <w:t>Региони в растеж</w:t>
      </w:r>
      <w:r>
        <w:rPr>
          <w:rFonts w:eastAsia="Times New Roman" w:cs="Times New Roman"/>
        </w:rPr>
        <w:t>“</w:t>
      </w:r>
      <w:r w:rsidRPr="00D83D2E">
        <w:rPr>
          <w:rFonts w:eastAsia="Times New Roman" w:cs="Times New Roman"/>
        </w:rPr>
        <w:t xml:space="preserve"> 2014-2020 и ОП </w:t>
      </w:r>
      <w:r>
        <w:rPr>
          <w:rFonts w:eastAsia="Times New Roman" w:cs="Times New Roman"/>
        </w:rPr>
        <w:t>„</w:t>
      </w:r>
      <w:r w:rsidRPr="00D83D2E">
        <w:rPr>
          <w:rFonts w:eastAsia="Times New Roman" w:cs="Times New Roman"/>
        </w:rPr>
        <w:t>Човешки ресурси</w:t>
      </w:r>
      <w:r>
        <w:rPr>
          <w:rFonts w:eastAsia="Times New Roman" w:cs="Times New Roman"/>
        </w:rPr>
        <w:t>“</w:t>
      </w:r>
      <w:r w:rsidRPr="00D83D2E">
        <w:rPr>
          <w:rFonts w:eastAsia="Times New Roman" w:cs="Times New Roman"/>
        </w:rPr>
        <w:t xml:space="preserve"> 2014-2020.</w:t>
      </w:r>
    </w:p>
    <w:p w:rsidR="00926946" w:rsidRDefault="00926946" w:rsidP="00F9639B">
      <w:pPr>
        <w:spacing w:before="120" w:after="0"/>
        <w:rPr>
          <w:rFonts w:eastAsia="Times New Roman"/>
          <w:highlight w:val="yellow"/>
        </w:rPr>
      </w:pPr>
    </w:p>
    <w:p w:rsidR="00E7639F" w:rsidRPr="00E71A58" w:rsidRDefault="00E7639F" w:rsidP="00E7639F">
      <w:pPr>
        <w:jc w:val="left"/>
        <w:rPr>
          <w:rFonts w:cs="Times New Roman"/>
          <w:b/>
          <w:sz w:val="20"/>
          <w:szCs w:val="20"/>
        </w:rPr>
      </w:pPr>
      <w:r w:rsidRPr="00E71A58">
        <w:rPr>
          <w:rFonts w:cs="Times New Roman"/>
          <w:b/>
          <w:sz w:val="20"/>
          <w:szCs w:val="20"/>
        </w:rPr>
        <w:t>КЛЮЧОВИ ИНДИКАТОРИ ЗА ИЗПЪЛНЕНИЕ И ЦЕЛЕВИ СТОЙНОСТИ</w:t>
      </w:r>
    </w:p>
    <w:tbl>
      <w:tblPr>
        <w:tblW w:w="5000" w:type="pct"/>
        <w:tblCellMar>
          <w:left w:w="70" w:type="dxa"/>
          <w:right w:w="70" w:type="dxa"/>
        </w:tblCellMar>
        <w:tblLook w:val="04A0" w:firstRow="1" w:lastRow="0" w:firstColumn="1" w:lastColumn="0" w:noHBand="0" w:noVBand="1"/>
      </w:tblPr>
      <w:tblGrid>
        <w:gridCol w:w="3937"/>
        <w:gridCol w:w="1159"/>
        <w:gridCol w:w="985"/>
        <w:gridCol w:w="985"/>
        <w:gridCol w:w="1003"/>
        <w:gridCol w:w="1001"/>
      </w:tblGrid>
      <w:tr w:rsidR="0082145B" w:rsidRPr="00326835" w:rsidTr="0082145B">
        <w:trPr>
          <w:trHeight w:val="540"/>
          <w:tblHeader/>
        </w:trPr>
        <w:tc>
          <w:tcPr>
            <w:tcW w:w="2170" w:type="pct"/>
            <w:tcBorders>
              <w:top w:val="single" w:sz="4" w:space="0" w:color="auto"/>
              <w:left w:val="nil"/>
              <w:bottom w:val="nil"/>
              <w:right w:val="nil"/>
            </w:tcBorders>
            <w:shd w:val="clear" w:color="auto" w:fill="auto"/>
            <w:vAlign w:val="center"/>
            <w:hideMark/>
          </w:tcPr>
          <w:p w:rsidR="0082145B" w:rsidRPr="00326835" w:rsidRDefault="0082145B" w:rsidP="0082145B">
            <w:pPr>
              <w:spacing w:after="0"/>
              <w:jc w:val="center"/>
              <w:rPr>
                <w:rFonts w:eastAsia="Times New Roman" w:cs="Times New Roman"/>
                <w:b/>
                <w:bCs/>
                <w:i/>
                <w:iCs/>
                <w:color w:val="000000"/>
                <w:sz w:val="18"/>
                <w:szCs w:val="18"/>
              </w:rPr>
            </w:pPr>
            <w:r w:rsidRPr="00326835">
              <w:rPr>
                <w:rFonts w:eastAsia="Times New Roman" w:cs="Times New Roman"/>
                <w:b/>
                <w:bCs/>
                <w:i/>
                <w:iCs/>
                <w:color w:val="000000"/>
                <w:sz w:val="18"/>
                <w:szCs w:val="18"/>
              </w:rPr>
              <w:t>Политика в областта на</w:t>
            </w:r>
            <w:r w:rsidRPr="00326835">
              <w:rPr>
                <w:rFonts w:eastAsia="Times New Roman" w:cs="Times New Roman"/>
                <w:color w:val="000000"/>
                <w:sz w:val="18"/>
                <w:szCs w:val="18"/>
              </w:rPr>
              <w:t xml:space="preserve"> </w:t>
            </w:r>
            <w:r w:rsidRPr="00326835">
              <w:rPr>
                <w:rFonts w:eastAsia="Times New Roman" w:cs="Times New Roman"/>
                <w:b/>
                <w:bCs/>
                <w:i/>
                <w:iCs/>
                <w:color w:val="000000"/>
                <w:sz w:val="18"/>
                <w:szCs w:val="18"/>
              </w:rPr>
              <w:t>диагностиката и лечението</w:t>
            </w:r>
          </w:p>
        </w:tc>
        <w:tc>
          <w:tcPr>
            <w:tcW w:w="639" w:type="pct"/>
            <w:vMerge w:val="restart"/>
            <w:tcBorders>
              <w:top w:val="single" w:sz="4" w:space="0" w:color="auto"/>
              <w:left w:val="nil"/>
              <w:bottom w:val="single" w:sz="4" w:space="0" w:color="963634"/>
              <w:right w:val="nil"/>
            </w:tcBorders>
            <w:shd w:val="clear" w:color="auto" w:fill="F2F2F2"/>
            <w:vAlign w:val="center"/>
            <w:hideMark/>
          </w:tcPr>
          <w:p w:rsidR="0082145B" w:rsidRPr="00326835" w:rsidRDefault="0082145B" w:rsidP="0082145B">
            <w:pPr>
              <w:spacing w:after="0"/>
              <w:jc w:val="center"/>
              <w:rPr>
                <w:rFonts w:eastAsia="Times New Roman" w:cs="Times New Roman"/>
                <w:b/>
                <w:bCs/>
                <w:color w:val="000000"/>
                <w:sz w:val="18"/>
                <w:szCs w:val="18"/>
              </w:rPr>
            </w:pPr>
            <w:r w:rsidRPr="00326835">
              <w:rPr>
                <w:rFonts w:eastAsia="Times New Roman" w:cs="Times New Roman"/>
                <w:b/>
                <w:bCs/>
                <w:color w:val="000000"/>
                <w:sz w:val="18"/>
                <w:szCs w:val="18"/>
              </w:rPr>
              <w:t>Мерна единица</w:t>
            </w:r>
          </w:p>
        </w:tc>
        <w:tc>
          <w:tcPr>
            <w:tcW w:w="543" w:type="pct"/>
            <w:tcBorders>
              <w:top w:val="single" w:sz="4" w:space="0" w:color="auto"/>
              <w:left w:val="nil"/>
              <w:bottom w:val="single" w:sz="4" w:space="0" w:color="auto"/>
              <w:right w:val="nil"/>
            </w:tcBorders>
          </w:tcPr>
          <w:p w:rsidR="0082145B" w:rsidRPr="00326835" w:rsidRDefault="0082145B" w:rsidP="0082145B">
            <w:pPr>
              <w:spacing w:after="0"/>
              <w:rPr>
                <w:rFonts w:eastAsia="Times New Roman" w:cs="Times New Roman"/>
                <w:b/>
                <w:bCs/>
                <w:color w:val="000000"/>
                <w:sz w:val="18"/>
                <w:szCs w:val="18"/>
              </w:rPr>
            </w:pPr>
          </w:p>
        </w:tc>
        <w:tc>
          <w:tcPr>
            <w:tcW w:w="1648" w:type="pct"/>
            <w:gridSpan w:val="3"/>
            <w:tcBorders>
              <w:top w:val="single" w:sz="4" w:space="0" w:color="auto"/>
              <w:left w:val="nil"/>
              <w:bottom w:val="single" w:sz="4" w:space="0" w:color="auto"/>
              <w:right w:val="nil"/>
            </w:tcBorders>
            <w:shd w:val="clear" w:color="auto" w:fill="auto"/>
            <w:vAlign w:val="center"/>
            <w:hideMark/>
          </w:tcPr>
          <w:p w:rsidR="0082145B" w:rsidRPr="00326835" w:rsidRDefault="0082145B" w:rsidP="0082145B">
            <w:pPr>
              <w:spacing w:after="0"/>
              <w:rPr>
                <w:rFonts w:eastAsia="Times New Roman" w:cs="Times New Roman"/>
                <w:b/>
                <w:bCs/>
                <w:color w:val="000000"/>
                <w:sz w:val="18"/>
                <w:szCs w:val="18"/>
              </w:rPr>
            </w:pPr>
            <w:r w:rsidRPr="00326835">
              <w:rPr>
                <w:rFonts w:eastAsia="Times New Roman" w:cs="Times New Roman"/>
                <w:b/>
                <w:bCs/>
                <w:color w:val="000000"/>
                <w:sz w:val="18"/>
                <w:szCs w:val="18"/>
              </w:rPr>
              <w:t>Целева стойност</w:t>
            </w:r>
          </w:p>
        </w:tc>
      </w:tr>
      <w:tr w:rsidR="0082145B" w:rsidRPr="00326835" w:rsidTr="00034C85">
        <w:trPr>
          <w:trHeight w:val="540"/>
          <w:tblHeader/>
        </w:trPr>
        <w:tc>
          <w:tcPr>
            <w:tcW w:w="2170" w:type="pct"/>
            <w:tcBorders>
              <w:top w:val="nil"/>
              <w:left w:val="nil"/>
              <w:bottom w:val="single" w:sz="4" w:space="0" w:color="auto"/>
              <w:right w:val="nil"/>
            </w:tcBorders>
            <w:shd w:val="clear" w:color="auto" w:fill="auto"/>
            <w:vAlign w:val="center"/>
            <w:hideMark/>
          </w:tcPr>
          <w:p w:rsidR="0082145B" w:rsidRPr="00326835" w:rsidRDefault="0082145B" w:rsidP="0082145B">
            <w:pPr>
              <w:spacing w:after="0"/>
              <w:jc w:val="center"/>
              <w:rPr>
                <w:rFonts w:eastAsia="Times New Roman" w:cs="Times New Roman"/>
                <w:b/>
                <w:bCs/>
                <w:color w:val="000000"/>
                <w:sz w:val="18"/>
                <w:szCs w:val="18"/>
              </w:rPr>
            </w:pPr>
            <w:r w:rsidRPr="00326835">
              <w:rPr>
                <w:rFonts w:eastAsia="Times New Roman" w:cs="Times New Roman"/>
                <w:b/>
                <w:bCs/>
                <w:color w:val="000000"/>
                <w:sz w:val="18"/>
                <w:szCs w:val="18"/>
              </w:rPr>
              <w:t>Наименование на индикатора</w:t>
            </w:r>
          </w:p>
        </w:tc>
        <w:tc>
          <w:tcPr>
            <w:tcW w:w="639" w:type="pct"/>
            <w:vMerge/>
            <w:tcBorders>
              <w:top w:val="single" w:sz="4" w:space="0" w:color="auto"/>
              <w:left w:val="nil"/>
              <w:bottom w:val="single" w:sz="4" w:space="0" w:color="auto"/>
              <w:right w:val="nil"/>
            </w:tcBorders>
            <w:shd w:val="clear" w:color="auto" w:fill="F2F2F2"/>
            <w:vAlign w:val="center"/>
            <w:hideMark/>
          </w:tcPr>
          <w:p w:rsidR="0082145B" w:rsidRPr="00326835" w:rsidRDefault="0082145B" w:rsidP="0082145B">
            <w:pPr>
              <w:spacing w:after="0"/>
              <w:rPr>
                <w:rFonts w:eastAsia="Times New Roman" w:cs="Times New Roman"/>
                <w:b/>
                <w:bCs/>
                <w:color w:val="000000"/>
                <w:sz w:val="18"/>
                <w:szCs w:val="18"/>
              </w:rPr>
            </w:pPr>
          </w:p>
        </w:tc>
        <w:tc>
          <w:tcPr>
            <w:tcW w:w="543" w:type="pct"/>
            <w:tcBorders>
              <w:top w:val="nil"/>
              <w:left w:val="nil"/>
              <w:bottom w:val="single" w:sz="4" w:space="0" w:color="auto"/>
              <w:right w:val="nil"/>
            </w:tcBorders>
            <w:vAlign w:val="center"/>
          </w:tcPr>
          <w:p w:rsidR="0082145B" w:rsidRPr="00326835" w:rsidRDefault="0082145B" w:rsidP="0082145B">
            <w:pPr>
              <w:spacing w:after="0"/>
              <w:jc w:val="center"/>
              <w:rPr>
                <w:rFonts w:eastAsia="Times New Roman" w:cs="Times New Roman"/>
                <w:b/>
                <w:bCs/>
                <w:i/>
                <w:iCs/>
                <w:color w:val="000000"/>
                <w:sz w:val="18"/>
                <w:szCs w:val="18"/>
              </w:rPr>
            </w:pPr>
            <w:r w:rsidRPr="00326835">
              <w:rPr>
                <w:rFonts w:eastAsia="Times New Roman" w:cs="Times New Roman"/>
                <w:b/>
                <w:bCs/>
                <w:i/>
                <w:iCs/>
                <w:color w:val="000000"/>
                <w:sz w:val="18"/>
                <w:szCs w:val="18"/>
              </w:rPr>
              <w:t>Програма 2019 г.</w:t>
            </w:r>
          </w:p>
        </w:tc>
        <w:tc>
          <w:tcPr>
            <w:tcW w:w="543" w:type="pct"/>
            <w:tcBorders>
              <w:top w:val="nil"/>
              <w:left w:val="nil"/>
              <w:bottom w:val="single" w:sz="4" w:space="0" w:color="auto"/>
              <w:right w:val="nil"/>
            </w:tcBorders>
            <w:shd w:val="clear" w:color="auto" w:fill="auto"/>
            <w:vAlign w:val="center"/>
            <w:hideMark/>
          </w:tcPr>
          <w:p w:rsidR="0082145B" w:rsidRPr="00326835" w:rsidRDefault="0082145B" w:rsidP="0082145B">
            <w:pPr>
              <w:spacing w:after="0"/>
              <w:jc w:val="center"/>
              <w:rPr>
                <w:rFonts w:eastAsia="Times New Roman" w:cs="Times New Roman"/>
                <w:b/>
                <w:bCs/>
                <w:i/>
                <w:iCs/>
                <w:color w:val="000000"/>
                <w:sz w:val="18"/>
                <w:szCs w:val="18"/>
              </w:rPr>
            </w:pPr>
            <w:r w:rsidRPr="00326835">
              <w:rPr>
                <w:rFonts w:eastAsia="Times New Roman" w:cs="Times New Roman"/>
                <w:b/>
                <w:bCs/>
                <w:i/>
                <w:iCs/>
                <w:color w:val="000000"/>
                <w:sz w:val="18"/>
                <w:szCs w:val="18"/>
              </w:rPr>
              <w:t>Проект 2020 г.</w:t>
            </w:r>
          </w:p>
        </w:tc>
        <w:tc>
          <w:tcPr>
            <w:tcW w:w="553" w:type="pct"/>
            <w:tcBorders>
              <w:top w:val="nil"/>
              <w:left w:val="nil"/>
              <w:bottom w:val="single" w:sz="4" w:space="0" w:color="auto"/>
              <w:right w:val="nil"/>
            </w:tcBorders>
            <w:shd w:val="clear" w:color="auto" w:fill="auto"/>
            <w:vAlign w:val="center"/>
            <w:hideMark/>
          </w:tcPr>
          <w:p w:rsidR="0082145B" w:rsidRPr="00326835" w:rsidRDefault="0082145B" w:rsidP="0082145B">
            <w:pPr>
              <w:spacing w:after="0"/>
              <w:jc w:val="center"/>
              <w:rPr>
                <w:rFonts w:eastAsia="Times New Roman" w:cs="Times New Roman"/>
                <w:b/>
                <w:bCs/>
                <w:i/>
                <w:iCs/>
                <w:color w:val="000000"/>
                <w:sz w:val="18"/>
                <w:szCs w:val="18"/>
              </w:rPr>
            </w:pPr>
            <w:r w:rsidRPr="00326835">
              <w:rPr>
                <w:rFonts w:eastAsia="Times New Roman" w:cs="Times New Roman"/>
                <w:b/>
                <w:bCs/>
                <w:i/>
                <w:iCs/>
                <w:color w:val="000000"/>
                <w:sz w:val="18"/>
                <w:szCs w:val="18"/>
              </w:rPr>
              <w:t>Прогноза 2021 г.</w:t>
            </w:r>
          </w:p>
        </w:tc>
        <w:tc>
          <w:tcPr>
            <w:tcW w:w="552" w:type="pct"/>
            <w:tcBorders>
              <w:top w:val="nil"/>
              <w:left w:val="nil"/>
              <w:bottom w:val="single" w:sz="4" w:space="0" w:color="auto"/>
              <w:right w:val="nil"/>
            </w:tcBorders>
            <w:shd w:val="clear" w:color="auto" w:fill="auto"/>
            <w:vAlign w:val="center"/>
            <w:hideMark/>
          </w:tcPr>
          <w:p w:rsidR="0082145B" w:rsidRPr="00326835" w:rsidRDefault="0082145B" w:rsidP="0082145B">
            <w:pPr>
              <w:spacing w:after="0"/>
              <w:jc w:val="center"/>
              <w:rPr>
                <w:rFonts w:eastAsia="Times New Roman" w:cs="Times New Roman"/>
                <w:b/>
                <w:bCs/>
                <w:i/>
                <w:iCs/>
                <w:color w:val="000000"/>
                <w:sz w:val="18"/>
                <w:szCs w:val="18"/>
              </w:rPr>
            </w:pPr>
            <w:r w:rsidRPr="00326835">
              <w:rPr>
                <w:rFonts w:eastAsia="Times New Roman" w:cs="Times New Roman"/>
                <w:b/>
                <w:bCs/>
                <w:i/>
                <w:iCs/>
                <w:color w:val="000000"/>
                <w:sz w:val="18"/>
                <w:szCs w:val="18"/>
              </w:rPr>
              <w:t>Прогноза 2022 г.</w:t>
            </w:r>
          </w:p>
        </w:tc>
      </w:tr>
      <w:tr w:rsidR="0082145B" w:rsidRPr="00326835" w:rsidTr="00034C85">
        <w:trPr>
          <w:trHeight w:val="60"/>
        </w:trPr>
        <w:tc>
          <w:tcPr>
            <w:tcW w:w="2170" w:type="pct"/>
            <w:tcBorders>
              <w:top w:val="single" w:sz="4" w:space="0" w:color="auto"/>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 Смъртност при децата от 0-1 годишна възраст</w:t>
            </w:r>
          </w:p>
        </w:tc>
        <w:tc>
          <w:tcPr>
            <w:tcW w:w="639" w:type="pct"/>
            <w:tcBorders>
              <w:top w:val="single" w:sz="4" w:space="0" w:color="auto"/>
              <w:left w:val="nil"/>
              <w:bottom w:val="nil"/>
              <w:right w:val="nil"/>
            </w:tcBorders>
            <w:shd w:val="clear" w:color="auto" w:fill="F2F2F2"/>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бр./1000 (‰)</w:t>
            </w:r>
          </w:p>
        </w:tc>
        <w:tc>
          <w:tcPr>
            <w:tcW w:w="543" w:type="pct"/>
            <w:tcBorders>
              <w:top w:val="single" w:sz="4" w:space="0" w:color="auto"/>
              <w:left w:val="nil"/>
              <w:bottom w:val="nil"/>
              <w:right w:val="nil"/>
            </w:tcBorders>
            <w:shd w:val="clear" w:color="000000" w:fill="FFFFFF"/>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6</w:t>
            </w:r>
          </w:p>
        </w:tc>
        <w:tc>
          <w:tcPr>
            <w:tcW w:w="543" w:type="pct"/>
            <w:tcBorders>
              <w:top w:val="single" w:sz="4" w:space="0" w:color="auto"/>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5,5</w:t>
            </w:r>
          </w:p>
        </w:tc>
        <w:tc>
          <w:tcPr>
            <w:tcW w:w="553" w:type="pct"/>
            <w:tcBorders>
              <w:top w:val="single" w:sz="4" w:space="0" w:color="auto"/>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5,0</w:t>
            </w:r>
          </w:p>
        </w:tc>
        <w:tc>
          <w:tcPr>
            <w:tcW w:w="552" w:type="pct"/>
            <w:tcBorders>
              <w:top w:val="single" w:sz="4" w:space="0" w:color="auto"/>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4,5</w:t>
            </w:r>
          </w:p>
        </w:tc>
      </w:tr>
      <w:tr w:rsidR="0082145B" w:rsidRPr="00326835" w:rsidTr="0082145B">
        <w:trPr>
          <w:trHeight w:val="70"/>
        </w:trPr>
        <w:tc>
          <w:tcPr>
            <w:tcW w:w="2170"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2. Смъртност при децата от 1-9 годишна възраст</w:t>
            </w:r>
          </w:p>
        </w:tc>
        <w:tc>
          <w:tcPr>
            <w:tcW w:w="639" w:type="pct"/>
            <w:tcBorders>
              <w:top w:val="nil"/>
              <w:left w:val="nil"/>
              <w:bottom w:val="nil"/>
              <w:right w:val="nil"/>
            </w:tcBorders>
            <w:shd w:val="clear" w:color="auto" w:fill="F2F2F2"/>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бр./1000 (‰)</w:t>
            </w:r>
          </w:p>
        </w:tc>
        <w:tc>
          <w:tcPr>
            <w:tcW w:w="543" w:type="pct"/>
            <w:tcBorders>
              <w:top w:val="nil"/>
              <w:left w:val="nil"/>
              <w:bottom w:val="nil"/>
              <w:right w:val="nil"/>
            </w:tcBorders>
            <w:shd w:val="clear" w:color="000000" w:fill="FFFFFF"/>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0,18</w:t>
            </w:r>
          </w:p>
        </w:tc>
        <w:tc>
          <w:tcPr>
            <w:tcW w:w="54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0,16</w:t>
            </w:r>
          </w:p>
        </w:tc>
        <w:tc>
          <w:tcPr>
            <w:tcW w:w="55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0,15</w:t>
            </w:r>
          </w:p>
        </w:tc>
        <w:tc>
          <w:tcPr>
            <w:tcW w:w="552"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0,14</w:t>
            </w:r>
          </w:p>
        </w:tc>
      </w:tr>
      <w:tr w:rsidR="0082145B" w:rsidRPr="00326835" w:rsidTr="0082145B">
        <w:trPr>
          <w:trHeight w:val="135"/>
        </w:trPr>
        <w:tc>
          <w:tcPr>
            <w:tcW w:w="2170"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3. Средна продължителност на предстоящия живот на хората след н</w:t>
            </w:r>
            <w:r w:rsidR="00347827">
              <w:rPr>
                <w:rFonts w:asciiTheme="majorHAnsi" w:eastAsia="Times New Roman" w:hAnsiTheme="majorHAnsi" w:cstheme="majorHAnsi"/>
                <w:sz w:val="18"/>
                <w:szCs w:val="18"/>
              </w:rPr>
              <w:t>авършване на 65 годишна възраст</w:t>
            </w:r>
          </w:p>
        </w:tc>
        <w:tc>
          <w:tcPr>
            <w:tcW w:w="639" w:type="pct"/>
            <w:tcBorders>
              <w:top w:val="nil"/>
              <w:left w:val="nil"/>
              <w:bottom w:val="nil"/>
              <w:right w:val="nil"/>
            </w:tcBorders>
            <w:shd w:val="clear" w:color="auto" w:fill="F2F2F2"/>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бр. години</w:t>
            </w:r>
          </w:p>
        </w:tc>
        <w:tc>
          <w:tcPr>
            <w:tcW w:w="543" w:type="pct"/>
            <w:tcBorders>
              <w:top w:val="nil"/>
              <w:left w:val="nil"/>
              <w:bottom w:val="nil"/>
              <w:right w:val="nil"/>
            </w:tcBorders>
            <w:shd w:val="clear" w:color="000000" w:fill="FFFFFF"/>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16,4</w:t>
            </w:r>
          </w:p>
        </w:tc>
        <w:tc>
          <w:tcPr>
            <w:tcW w:w="54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16,6</w:t>
            </w:r>
          </w:p>
        </w:tc>
        <w:tc>
          <w:tcPr>
            <w:tcW w:w="55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16,8</w:t>
            </w:r>
          </w:p>
        </w:tc>
        <w:tc>
          <w:tcPr>
            <w:tcW w:w="552"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17,0</w:t>
            </w:r>
          </w:p>
        </w:tc>
      </w:tr>
      <w:tr w:rsidR="0082145B" w:rsidRPr="00326835" w:rsidTr="0082145B">
        <w:trPr>
          <w:trHeight w:val="300"/>
        </w:trPr>
        <w:tc>
          <w:tcPr>
            <w:tcW w:w="2170" w:type="pct"/>
            <w:vMerge w:val="restar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4. Смъртност от болести на органите на кръвообращението (I00 – I99)</w:t>
            </w:r>
          </w:p>
        </w:tc>
        <w:tc>
          <w:tcPr>
            <w:tcW w:w="639" w:type="pct"/>
            <w:tcBorders>
              <w:top w:val="nil"/>
              <w:left w:val="nil"/>
              <w:bottom w:val="nil"/>
              <w:right w:val="nil"/>
            </w:tcBorders>
            <w:shd w:val="clear" w:color="auto" w:fill="F2F2F2"/>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бр./100 000</w:t>
            </w:r>
          </w:p>
        </w:tc>
        <w:tc>
          <w:tcPr>
            <w:tcW w:w="543" w:type="pct"/>
            <w:tcBorders>
              <w:top w:val="nil"/>
              <w:left w:val="nil"/>
              <w:bottom w:val="nil"/>
              <w:right w:val="nil"/>
            </w:tcBorders>
            <w:shd w:val="clear" w:color="000000" w:fill="FFFFFF"/>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1015</w:t>
            </w:r>
          </w:p>
        </w:tc>
        <w:tc>
          <w:tcPr>
            <w:tcW w:w="54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1 013</w:t>
            </w:r>
          </w:p>
        </w:tc>
        <w:tc>
          <w:tcPr>
            <w:tcW w:w="55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1 011</w:t>
            </w:r>
          </w:p>
        </w:tc>
        <w:tc>
          <w:tcPr>
            <w:tcW w:w="552" w:type="pct"/>
            <w:vMerge w:val="restar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1 009</w:t>
            </w:r>
          </w:p>
        </w:tc>
      </w:tr>
      <w:tr w:rsidR="0082145B" w:rsidRPr="00326835" w:rsidTr="0082145B">
        <w:trPr>
          <w:trHeight w:val="70"/>
        </w:trPr>
        <w:tc>
          <w:tcPr>
            <w:tcW w:w="2170" w:type="pct"/>
            <w:vMerge/>
            <w:tcBorders>
              <w:top w:val="nil"/>
              <w:left w:val="nil"/>
              <w:bottom w:val="nil"/>
              <w:right w:val="nil"/>
            </w:tcBorders>
            <w:hideMark/>
          </w:tcPr>
          <w:p w:rsidR="0082145B" w:rsidRPr="00326835" w:rsidRDefault="0082145B" w:rsidP="0082145B">
            <w:pPr>
              <w:widowControl w:val="0"/>
              <w:autoSpaceDE w:val="0"/>
              <w:autoSpaceDN w:val="0"/>
              <w:adjustRightInd w:val="0"/>
              <w:spacing w:after="0"/>
              <w:rPr>
                <w:rFonts w:asciiTheme="majorHAnsi" w:eastAsia="Times New Roman" w:hAnsiTheme="majorHAnsi" w:cstheme="majorHAnsi"/>
                <w:sz w:val="18"/>
                <w:szCs w:val="18"/>
              </w:rPr>
            </w:pPr>
          </w:p>
        </w:tc>
        <w:tc>
          <w:tcPr>
            <w:tcW w:w="639" w:type="pct"/>
            <w:tcBorders>
              <w:top w:val="nil"/>
              <w:left w:val="nil"/>
              <w:bottom w:val="nil"/>
              <w:right w:val="nil"/>
            </w:tcBorders>
            <w:shd w:val="clear" w:color="auto" w:fill="F2F2F2"/>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(‰оо)</w:t>
            </w:r>
          </w:p>
        </w:tc>
        <w:tc>
          <w:tcPr>
            <w:tcW w:w="543" w:type="pct"/>
            <w:tcBorders>
              <w:top w:val="nil"/>
              <w:left w:val="nil"/>
              <w:bottom w:val="nil"/>
              <w:right w:val="nil"/>
            </w:tcBorders>
            <w:shd w:val="clear" w:color="000000" w:fill="FFFFFF"/>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p>
        </w:tc>
        <w:tc>
          <w:tcPr>
            <w:tcW w:w="54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p>
        </w:tc>
        <w:tc>
          <w:tcPr>
            <w:tcW w:w="55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p>
        </w:tc>
        <w:tc>
          <w:tcPr>
            <w:tcW w:w="552" w:type="pct"/>
            <w:vMerge/>
            <w:tcBorders>
              <w:top w:val="nil"/>
              <w:left w:val="nil"/>
              <w:bottom w:val="nil"/>
              <w:right w:val="nil"/>
            </w:tcBorders>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p>
        </w:tc>
      </w:tr>
      <w:tr w:rsidR="0082145B" w:rsidRPr="00326835" w:rsidTr="0082145B">
        <w:trPr>
          <w:trHeight w:val="300"/>
        </w:trPr>
        <w:tc>
          <w:tcPr>
            <w:tcW w:w="2170" w:type="pct"/>
            <w:vMerge w:val="restar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5. Смъртност от злокачествени новообразувания (С00 – С97)</w:t>
            </w:r>
          </w:p>
        </w:tc>
        <w:tc>
          <w:tcPr>
            <w:tcW w:w="639" w:type="pct"/>
            <w:tcBorders>
              <w:top w:val="nil"/>
              <w:left w:val="nil"/>
              <w:bottom w:val="nil"/>
              <w:right w:val="nil"/>
            </w:tcBorders>
            <w:shd w:val="clear" w:color="auto" w:fill="F2F2F2"/>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бр./100 000</w:t>
            </w:r>
          </w:p>
        </w:tc>
        <w:tc>
          <w:tcPr>
            <w:tcW w:w="543" w:type="pct"/>
            <w:tcBorders>
              <w:top w:val="nil"/>
              <w:left w:val="nil"/>
              <w:bottom w:val="nil"/>
              <w:right w:val="nil"/>
            </w:tcBorders>
            <w:shd w:val="clear" w:color="000000" w:fill="FFFFFF"/>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244,75</w:t>
            </w:r>
          </w:p>
        </w:tc>
        <w:tc>
          <w:tcPr>
            <w:tcW w:w="54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244,50</w:t>
            </w:r>
          </w:p>
        </w:tc>
        <w:tc>
          <w:tcPr>
            <w:tcW w:w="55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244,25</w:t>
            </w:r>
          </w:p>
        </w:tc>
        <w:tc>
          <w:tcPr>
            <w:tcW w:w="552"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244,00</w:t>
            </w:r>
          </w:p>
        </w:tc>
      </w:tr>
      <w:tr w:rsidR="0082145B" w:rsidRPr="00326835" w:rsidTr="0082145B">
        <w:trPr>
          <w:trHeight w:val="70"/>
        </w:trPr>
        <w:tc>
          <w:tcPr>
            <w:tcW w:w="2170" w:type="pct"/>
            <w:vMerge/>
            <w:tcBorders>
              <w:top w:val="nil"/>
              <w:left w:val="nil"/>
              <w:bottom w:val="nil"/>
              <w:right w:val="nil"/>
            </w:tcBorders>
            <w:hideMark/>
          </w:tcPr>
          <w:p w:rsidR="0082145B" w:rsidRPr="00326835" w:rsidRDefault="0082145B" w:rsidP="0082145B">
            <w:pPr>
              <w:widowControl w:val="0"/>
              <w:autoSpaceDE w:val="0"/>
              <w:autoSpaceDN w:val="0"/>
              <w:adjustRightInd w:val="0"/>
              <w:spacing w:after="0"/>
              <w:rPr>
                <w:rFonts w:asciiTheme="majorHAnsi" w:eastAsia="Times New Roman" w:hAnsiTheme="majorHAnsi" w:cstheme="majorHAnsi"/>
                <w:sz w:val="18"/>
                <w:szCs w:val="18"/>
              </w:rPr>
            </w:pPr>
          </w:p>
        </w:tc>
        <w:tc>
          <w:tcPr>
            <w:tcW w:w="639" w:type="pct"/>
            <w:tcBorders>
              <w:top w:val="nil"/>
              <w:left w:val="nil"/>
              <w:bottom w:val="nil"/>
              <w:right w:val="nil"/>
            </w:tcBorders>
            <w:shd w:val="clear" w:color="auto" w:fill="F2F2F2"/>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(‰оо)</w:t>
            </w:r>
          </w:p>
        </w:tc>
        <w:tc>
          <w:tcPr>
            <w:tcW w:w="543" w:type="pct"/>
            <w:tcBorders>
              <w:top w:val="nil"/>
              <w:left w:val="nil"/>
              <w:bottom w:val="nil"/>
              <w:right w:val="nil"/>
            </w:tcBorders>
            <w:shd w:val="clear" w:color="000000" w:fill="FFFFFF"/>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p>
        </w:tc>
        <w:tc>
          <w:tcPr>
            <w:tcW w:w="54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p>
        </w:tc>
        <w:tc>
          <w:tcPr>
            <w:tcW w:w="553"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p>
        </w:tc>
        <w:tc>
          <w:tcPr>
            <w:tcW w:w="552" w:type="pct"/>
            <w:tcBorders>
              <w:top w:val="nil"/>
              <w:left w:val="nil"/>
              <w:bottom w:val="nil"/>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p>
        </w:tc>
      </w:tr>
      <w:tr w:rsidR="0082145B" w:rsidRPr="00326835" w:rsidTr="0082145B">
        <w:trPr>
          <w:trHeight w:val="765"/>
        </w:trPr>
        <w:tc>
          <w:tcPr>
            <w:tcW w:w="2170" w:type="pct"/>
            <w:tcBorders>
              <w:top w:val="nil"/>
              <w:left w:val="nil"/>
              <w:bottom w:val="single" w:sz="4" w:space="0" w:color="auto"/>
              <w:right w:val="nil"/>
            </w:tcBorders>
            <w:shd w:val="clear" w:color="000000" w:fill="FFFFFF"/>
            <w:hideMark/>
          </w:tcPr>
          <w:p w:rsidR="0082145B" w:rsidRPr="00326835" w:rsidRDefault="0082145B" w:rsidP="0082145B">
            <w:pPr>
              <w:widowControl w:val="0"/>
              <w:autoSpaceDE w:val="0"/>
              <w:autoSpaceDN w:val="0"/>
              <w:adjustRightInd w:val="0"/>
              <w:spacing w:after="0"/>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6. Дял на разходите за извънболнична медицинска помощ спрямо общите здравноосигурителни плащания</w:t>
            </w:r>
          </w:p>
        </w:tc>
        <w:tc>
          <w:tcPr>
            <w:tcW w:w="639" w:type="pct"/>
            <w:tcBorders>
              <w:top w:val="nil"/>
              <w:left w:val="nil"/>
              <w:bottom w:val="single" w:sz="4" w:space="0" w:color="auto"/>
              <w:right w:val="nil"/>
            </w:tcBorders>
            <w:shd w:val="clear" w:color="auto" w:fill="F2F2F2"/>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w:t>
            </w:r>
          </w:p>
        </w:tc>
        <w:tc>
          <w:tcPr>
            <w:tcW w:w="543" w:type="pct"/>
            <w:tcBorders>
              <w:top w:val="nil"/>
              <w:left w:val="nil"/>
              <w:bottom w:val="single" w:sz="4" w:space="0" w:color="auto"/>
              <w:right w:val="nil"/>
            </w:tcBorders>
            <w:shd w:val="clear" w:color="000000" w:fill="FFFFFF"/>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13</w:t>
            </w:r>
          </w:p>
        </w:tc>
        <w:tc>
          <w:tcPr>
            <w:tcW w:w="543" w:type="pct"/>
            <w:tcBorders>
              <w:top w:val="nil"/>
              <w:left w:val="nil"/>
              <w:bottom w:val="single" w:sz="4" w:space="0" w:color="auto"/>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14</w:t>
            </w:r>
          </w:p>
        </w:tc>
        <w:tc>
          <w:tcPr>
            <w:tcW w:w="553" w:type="pct"/>
            <w:tcBorders>
              <w:top w:val="nil"/>
              <w:left w:val="nil"/>
              <w:bottom w:val="single" w:sz="4" w:space="0" w:color="auto"/>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15</w:t>
            </w:r>
          </w:p>
        </w:tc>
        <w:tc>
          <w:tcPr>
            <w:tcW w:w="552" w:type="pct"/>
            <w:tcBorders>
              <w:top w:val="nil"/>
              <w:left w:val="nil"/>
              <w:bottom w:val="single" w:sz="4" w:space="0" w:color="auto"/>
              <w:right w:val="nil"/>
            </w:tcBorders>
            <w:shd w:val="clear" w:color="000000" w:fill="FFFFFF"/>
            <w:hideMark/>
          </w:tcPr>
          <w:p w:rsidR="0082145B" w:rsidRPr="00326835" w:rsidRDefault="0082145B" w:rsidP="0082145B">
            <w:pPr>
              <w:widowControl w:val="0"/>
              <w:autoSpaceDE w:val="0"/>
              <w:autoSpaceDN w:val="0"/>
              <w:adjustRightInd w:val="0"/>
              <w:spacing w:after="0"/>
              <w:jc w:val="center"/>
              <w:rPr>
                <w:rFonts w:asciiTheme="majorHAnsi" w:eastAsia="Times New Roman" w:hAnsiTheme="majorHAnsi" w:cstheme="majorHAnsi"/>
                <w:sz w:val="18"/>
                <w:szCs w:val="18"/>
              </w:rPr>
            </w:pPr>
            <w:r w:rsidRPr="00326835">
              <w:rPr>
                <w:rFonts w:asciiTheme="majorHAnsi" w:eastAsia="Times New Roman" w:hAnsiTheme="majorHAnsi" w:cstheme="majorHAnsi"/>
                <w:sz w:val="18"/>
                <w:szCs w:val="18"/>
              </w:rPr>
              <w:t>16</w:t>
            </w:r>
          </w:p>
        </w:tc>
      </w:tr>
    </w:tbl>
    <w:p w:rsidR="00926946" w:rsidRDefault="00926946" w:rsidP="00F9639B">
      <w:pPr>
        <w:spacing w:before="120" w:after="0"/>
      </w:pPr>
    </w:p>
    <w:p w:rsidR="0082145B" w:rsidRPr="002E4153" w:rsidRDefault="0082145B" w:rsidP="0082145B">
      <w:pPr>
        <w:spacing w:before="120" w:after="0"/>
        <w:rPr>
          <w:rFonts w:eastAsia="Times New Roman" w:cs="Times New Roman"/>
        </w:rPr>
      </w:pPr>
      <w:r w:rsidRPr="002E4153">
        <w:rPr>
          <w:rFonts w:eastAsia="Times New Roman" w:cs="Times New Roman"/>
        </w:rPr>
        <w:t>Разчетените разходи за изпълнението на тази политика по консолидираната фискална програма за тригодишния период включват индикативни средства по следните основни дейности и направления:</w:t>
      </w:r>
    </w:p>
    <w:p w:rsidR="0082145B" w:rsidRPr="002E4153" w:rsidRDefault="0082145B" w:rsidP="003403BF">
      <w:pPr>
        <w:numPr>
          <w:ilvl w:val="0"/>
          <w:numId w:val="22"/>
        </w:numPr>
        <w:spacing w:before="120" w:after="0"/>
        <w:ind w:left="567" w:hanging="283"/>
        <w:rPr>
          <w:rFonts w:eastAsia="Times New Roman" w:cs="Times New Roman"/>
        </w:rPr>
      </w:pPr>
      <w:r w:rsidRPr="002E4153">
        <w:rPr>
          <w:rFonts w:eastAsia="Times New Roman" w:cs="Times New Roman"/>
        </w:rPr>
        <w:t>осигуряване на достъп на децата до 18 години до специализирани медицински дейности, извън обхвата на задължителното здравно осигуряване в страната и в чужбина – по 12,0 млн. лв.;</w:t>
      </w:r>
    </w:p>
    <w:p w:rsidR="00876729" w:rsidRDefault="0082145B" w:rsidP="00876729">
      <w:pPr>
        <w:numPr>
          <w:ilvl w:val="0"/>
          <w:numId w:val="22"/>
        </w:numPr>
        <w:spacing w:before="120" w:after="0"/>
        <w:ind w:left="567" w:hanging="283"/>
        <w:rPr>
          <w:rFonts w:eastAsia="Times New Roman" w:cs="Times New Roman"/>
        </w:rPr>
      </w:pPr>
      <w:r w:rsidRPr="002E4153">
        <w:rPr>
          <w:rFonts w:eastAsia="Times New Roman" w:cs="Times New Roman"/>
        </w:rPr>
        <w:t>осигуряване на достъп до програми за подкрепа на репродуктивните възможности и лечение на безплодието – по 20,0 млн. лв.;</w:t>
      </w:r>
    </w:p>
    <w:p w:rsidR="00876729" w:rsidRDefault="00876729" w:rsidP="00876729">
      <w:pPr>
        <w:numPr>
          <w:ilvl w:val="0"/>
          <w:numId w:val="22"/>
        </w:numPr>
        <w:spacing w:before="120" w:after="0"/>
        <w:ind w:left="567" w:hanging="283"/>
        <w:rPr>
          <w:rFonts w:eastAsia="Times New Roman" w:cs="Times New Roman"/>
        </w:rPr>
      </w:pPr>
      <w:r w:rsidRPr="00876729">
        <w:rPr>
          <w:rFonts w:eastAsia="Times New Roman" w:cs="Times New Roman"/>
        </w:rPr>
        <w:t>осигуряване на равнопоставен достъп на пациентите до спешна медицинска помощ в центровете за спешна медицинска помощ и в специализирани болнични спешни отделения, финансирани от държавния бюджет – за 2020 г. – 232,8 млн. лв., за 2021 г. и 2022 г. – по 233,7млн. лв.;</w:t>
      </w:r>
    </w:p>
    <w:p w:rsidR="00876729" w:rsidRDefault="00876729" w:rsidP="00876729">
      <w:pPr>
        <w:numPr>
          <w:ilvl w:val="0"/>
          <w:numId w:val="22"/>
        </w:numPr>
        <w:spacing w:before="120" w:after="0"/>
        <w:ind w:left="567" w:hanging="283"/>
        <w:rPr>
          <w:rFonts w:eastAsia="Times New Roman" w:cs="Times New Roman"/>
        </w:rPr>
      </w:pPr>
      <w:r w:rsidRPr="00876729">
        <w:rPr>
          <w:rFonts w:eastAsia="Times New Roman" w:cs="Times New Roman"/>
        </w:rPr>
        <w:t>плащания за болнична медицинска помощ в обхвата на задължителното здравно осигуряване, за стационарно лечение на пациенти с психични заболявания, за лечение и специализирани грижи за деца и за субсидии за лечебните заведения за болнична помощ за дейности, които са държавна отговорност</w:t>
      </w:r>
      <w:r w:rsidR="00B8126E">
        <w:rPr>
          <w:rFonts w:eastAsia="Times New Roman" w:cs="Times New Roman"/>
        </w:rPr>
        <w:t xml:space="preserve"> </w:t>
      </w:r>
      <w:r w:rsidRPr="00876729">
        <w:rPr>
          <w:rFonts w:eastAsia="Times New Roman" w:cs="Times New Roman"/>
        </w:rPr>
        <w:t>– 2 410,0 млн. лв. за 2020 г., за 2 683,0 млн. лв. за 2021 г. и 2 810,2 млн. лв. за 2022 г., като основният разход за тази дейност е предвиден по бюджета на Националната здравноосигурителна каса;</w:t>
      </w:r>
    </w:p>
    <w:p w:rsidR="00876729" w:rsidRPr="00876729" w:rsidRDefault="00876729" w:rsidP="00876729">
      <w:pPr>
        <w:numPr>
          <w:ilvl w:val="0"/>
          <w:numId w:val="22"/>
        </w:numPr>
        <w:spacing w:before="120" w:after="0"/>
        <w:ind w:left="567" w:hanging="283"/>
        <w:rPr>
          <w:rFonts w:eastAsia="Times New Roman" w:cs="Times New Roman"/>
        </w:rPr>
      </w:pPr>
      <w:r w:rsidRPr="00876729">
        <w:rPr>
          <w:rFonts w:eastAsia="Times New Roman" w:cs="Times New Roman"/>
        </w:rPr>
        <w:t>осигуряване на медицински изделия за вземане, диагностициране, преработване и съхраняване на кръв и кръвни съставки, както и реактивите за имунохематологична диагностика –</w:t>
      </w:r>
      <w:r w:rsidR="00B8126E">
        <w:rPr>
          <w:rFonts w:eastAsia="Times New Roman" w:cs="Times New Roman"/>
        </w:rPr>
        <w:t xml:space="preserve"> </w:t>
      </w:r>
      <w:r w:rsidR="00B8126E" w:rsidRPr="00876729">
        <w:rPr>
          <w:rFonts w:eastAsia="Times New Roman" w:cs="Times New Roman"/>
        </w:rPr>
        <w:t>14,2 млн. лв.</w:t>
      </w:r>
      <w:r w:rsidR="00B8126E">
        <w:rPr>
          <w:rFonts w:eastAsia="Times New Roman" w:cs="Times New Roman"/>
        </w:rPr>
        <w:t xml:space="preserve"> за 2020 г.</w:t>
      </w:r>
      <w:r w:rsidRPr="00876729">
        <w:rPr>
          <w:rFonts w:eastAsia="Times New Roman" w:cs="Times New Roman"/>
        </w:rPr>
        <w:t xml:space="preserve">, </w:t>
      </w:r>
      <w:r w:rsidR="00B8126E" w:rsidRPr="00876729">
        <w:rPr>
          <w:rFonts w:eastAsia="Times New Roman" w:cs="Times New Roman"/>
        </w:rPr>
        <w:t>20,3 млн.</w:t>
      </w:r>
      <w:r w:rsidR="00B8126E">
        <w:rPr>
          <w:rFonts w:eastAsia="Times New Roman" w:cs="Times New Roman"/>
        </w:rPr>
        <w:t xml:space="preserve"> </w:t>
      </w:r>
      <w:r w:rsidR="00B8126E" w:rsidRPr="00876729">
        <w:rPr>
          <w:rFonts w:eastAsia="Times New Roman" w:cs="Times New Roman"/>
        </w:rPr>
        <w:t xml:space="preserve">лв. </w:t>
      </w:r>
      <w:r w:rsidR="00B8126E">
        <w:rPr>
          <w:rFonts w:eastAsia="Times New Roman" w:cs="Times New Roman"/>
        </w:rPr>
        <w:t xml:space="preserve">за 2021 г. </w:t>
      </w:r>
      <w:r w:rsidRPr="00876729">
        <w:rPr>
          <w:rFonts w:eastAsia="Times New Roman" w:cs="Times New Roman"/>
        </w:rPr>
        <w:t xml:space="preserve">и </w:t>
      </w:r>
      <w:r w:rsidR="00B8126E" w:rsidRPr="00876729">
        <w:rPr>
          <w:rFonts w:eastAsia="Times New Roman" w:cs="Times New Roman"/>
        </w:rPr>
        <w:t>26,9 млн.</w:t>
      </w:r>
      <w:r w:rsidR="00B8126E">
        <w:rPr>
          <w:rFonts w:eastAsia="Times New Roman" w:cs="Times New Roman"/>
        </w:rPr>
        <w:t xml:space="preserve"> </w:t>
      </w:r>
      <w:r w:rsidR="00B8126E" w:rsidRPr="00876729">
        <w:rPr>
          <w:rFonts w:eastAsia="Times New Roman" w:cs="Times New Roman"/>
        </w:rPr>
        <w:t>лв.</w:t>
      </w:r>
      <w:r w:rsidR="003A0A4E">
        <w:rPr>
          <w:rFonts w:eastAsia="Times New Roman" w:cs="Times New Roman"/>
        </w:rPr>
        <w:t xml:space="preserve"> </w:t>
      </w:r>
      <w:r w:rsidR="00034C85">
        <w:rPr>
          <w:rFonts w:eastAsia="Times New Roman" w:cs="Times New Roman"/>
        </w:rPr>
        <w:t>за 2022 </w:t>
      </w:r>
      <w:r w:rsidR="00B8126E">
        <w:rPr>
          <w:rFonts w:eastAsia="Times New Roman" w:cs="Times New Roman"/>
        </w:rPr>
        <w:t>г.</w:t>
      </w:r>
    </w:p>
    <w:p w:rsidR="00B9642E" w:rsidRDefault="00B9642E" w:rsidP="00876729">
      <w:pPr>
        <w:rPr>
          <w:rFonts w:eastAsia="Times New Roman" w:cs="Times New Roman"/>
        </w:rPr>
      </w:pPr>
    </w:p>
    <w:p w:rsidR="00876729" w:rsidRPr="00790B53" w:rsidRDefault="003A0A4E" w:rsidP="00876729">
      <w:pPr>
        <w:rPr>
          <w:rFonts w:eastAsia="Times New Roman" w:cs="Times New Roman"/>
        </w:rPr>
      </w:pPr>
      <w:r>
        <w:rPr>
          <w:rFonts w:eastAsia="Times New Roman" w:cs="Times New Roman"/>
        </w:rPr>
        <w:t>В съответствие с определените приоритети и цели в Програмата за управление на правителството на Република България за периода 2017-2021 г., п</w:t>
      </w:r>
      <w:r w:rsidRPr="003B688D">
        <w:rPr>
          <w:rFonts w:eastAsia="Times New Roman" w:cs="Times New Roman"/>
        </w:rPr>
        <w:t xml:space="preserve">риоритетните инвестиционни проекти, предвидени за изпълнение </w:t>
      </w:r>
      <w:r>
        <w:rPr>
          <w:rFonts w:eastAsia="Times New Roman" w:cs="Times New Roman"/>
        </w:rPr>
        <w:t>в областта на диагностиката и лечението</w:t>
      </w:r>
      <w:r w:rsidR="00B9642E">
        <w:rPr>
          <w:rFonts w:eastAsia="Times New Roman" w:cs="Times New Roman"/>
        </w:rPr>
        <w:t>,</w:t>
      </w:r>
      <w:r>
        <w:rPr>
          <w:rFonts w:eastAsia="Times New Roman" w:cs="Times New Roman"/>
        </w:rPr>
        <w:t xml:space="preserve"> са свързани с развитие на електронното здравеопазване и п</w:t>
      </w:r>
      <w:r w:rsidRPr="003B688D">
        <w:rPr>
          <w:rFonts w:eastAsia="Times New Roman" w:cs="Times New Roman"/>
        </w:rPr>
        <w:t>одобряване на материалната база и достъп</w:t>
      </w:r>
      <w:r>
        <w:rPr>
          <w:rFonts w:eastAsia="Times New Roman" w:cs="Times New Roman"/>
        </w:rPr>
        <w:t>а</w:t>
      </w:r>
      <w:r w:rsidRPr="003B688D">
        <w:rPr>
          <w:rFonts w:eastAsia="Times New Roman" w:cs="Times New Roman"/>
        </w:rPr>
        <w:t xml:space="preserve"> до зд</w:t>
      </w:r>
      <w:r>
        <w:rPr>
          <w:rFonts w:eastAsia="Times New Roman" w:cs="Times New Roman"/>
        </w:rPr>
        <w:t>равни услуги на всички граждани</w:t>
      </w:r>
      <w:r w:rsidRPr="003B688D">
        <w:rPr>
          <w:rFonts w:eastAsia="Times New Roman" w:cs="Times New Roman"/>
        </w:rPr>
        <w:t>.</w:t>
      </w:r>
      <w:r>
        <w:rPr>
          <w:rFonts w:eastAsia="Times New Roman" w:cs="Times New Roman"/>
        </w:rPr>
        <w:t xml:space="preserve"> Основните инвестиционни проекти, които ще се осъществяват чрез</w:t>
      </w:r>
      <w:r w:rsidRPr="00D61B22">
        <w:rPr>
          <w:rFonts w:eastAsia="Times New Roman" w:cs="Times New Roman"/>
        </w:rPr>
        <w:t xml:space="preserve"> бюджета на Министерството на здравеопазването </w:t>
      </w:r>
      <w:r>
        <w:rPr>
          <w:rFonts w:eastAsia="Times New Roman" w:cs="Times New Roman"/>
        </w:rPr>
        <w:t>през</w:t>
      </w:r>
      <w:r w:rsidRPr="008D712B">
        <w:t xml:space="preserve"> </w:t>
      </w:r>
      <w:r>
        <w:rPr>
          <w:rFonts w:eastAsia="Times New Roman" w:cs="Times New Roman"/>
        </w:rPr>
        <w:t>периода 2020-</w:t>
      </w:r>
      <w:r w:rsidRPr="008D712B">
        <w:rPr>
          <w:rFonts w:eastAsia="Times New Roman" w:cs="Times New Roman"/>
        </w:rPr>
        <w:t>2022 г.</w:t>
      </w:r>
      <w:r w:rsidR="00B9642E">
        <w:rPr>
          <w:rFonts w:eastAsia="Times New Roman" w:cs="Times New Roman"/>
        </w:rPr>
        <w:t>,</w:t>
      </w:r>
      <w:r>
        <w:rPr>
          <w:rFonts w:eastAsia="Times New Roman" w:cs="Times New Roman"/>
        </w:rPr>
        <w:t xml:space="preserve"> са</w:t>
      </w:r>
      <w:r w:rsidR="00B9642E">
        <w:rPr>
          <w:rFonts w:eastAsia="Times New Roman" w:cs="Times New Roman"/>
        </w:rPr>
        <w:t xml:space="preserve"> както следва</w:t>
      </w:r>
      <w:r>
        <w:rPr>
          <w:rFonts w:eastAsia="Times New Roman" w:cs="Times New Roman"/>
        </w:rPr>
        <w:t>:</w:t>
      </w:r>
    </w:p>
    <w:p w:rsidR="00876729" w:rsidRPr="008D712B" w:rsidRDefault="00876729" w:rsidP="00876729">
      <w:pPr>
        <w:pStyle w:val="ListParagraph"/>
        <w:numPr>
          <w:ilvl w:val="0"/>
          <w:numId w:val="46"/>
        </w:numPr>
        <w:ind w:left="709" w:hanging="349"/>
        <w:rPr>
          <w:rFonts w:eastAsia="Times New Roman" w:cs="Times New Roman"/>
        </w:rPr>
      </w:pPr>
      <w:r w:rsidRPr="008D712B">
        <w:rPr>
          <w:rFonts w:eastAsia="Times New Roman" w:cs="Times New Roman"/>
        </w:rPr>
        <w:t xml:space="preserve">Закупуване на компютърни работни станции </w:t>
      </w:r>
      <w:r w:rsidRPr="000A5D99">
        <w:rPr>
          <w:rFonts w:eastAsia="Times New Roman" w:cs="Times New Roman"/>
        </w:rPr>
        <w:t xml:space="preserve">и разработване на софтуер </w:t>
      </w:r>
      <w:r w:rsidRPr="008D712B">
        <w:rPr>
          <w:rFonts w:eastAsia="Times New Roman" w:cs="Times New Roman"/>
        </w:rPr>
        <w:t xml:space="preserve">с оглед </w:t>
      </w:r>
      <w:r>
        <w:rPr>
          <w:rFonts w:eastAsia="Times New Roman" w:cs="Times New Roman"/>
        </w:rPr>
        <w:t xml:space="preserve">създаване </w:t>
      </w:r>
      <w:r w:rsidRPr="008D712B">
        <w:rPr>
          <w:rFonts w:eastAsia="Times New Roman" w:cs="Times New Roman"/>
        </w:rPr>
        <w:t xml:space="preserve">на Национална здравно - информационна система с обща стойност </w:t>
      </w:r>
      <w:r>
        <w:rPr>
          <w:rFonts w:eastAsia="Times New Roman" w:cs="Times New Roman"/>
        </w:rPr>
        <w:t>8,5</w:t>
      </w:r>
      <w:r w:rsidRPr="008D712B">
        <w:rPr>
          <w:rFonts w:eastAsia="Times New Roman" w:cs="Times New Roman"/>
        </w:rPr>
        <w:t xml:space="preserve"> млн.</w:t>
      </w:r>
      <w:r w:rsidR="00834F2C">
        <w:rPr>
          <w:rFonts w:eastAsia="Times New Roman" w:cs="Times New Roman"/>
        </w:rPr>
        <w:t xml:space="preserve"> </w:t>
      </w:r>
      <w:r w:rsidRPr="008D712B">
        <w:rPr>
          <w:rFonts w:eastAsia="Times New Roman" w:cs="Times New Roman"/>
        </w:rPr>
        <w:t>лв.;</w:t>
      </w:r>
    </w:p>
    <w:p w:rsidR="00876729" w:rsidRDefault="00876729" w:rsidP="00876729">
      <w:pPr>
        <w:pStyle w:val="ListParagraph"/>
        <w:numPr>
          <w:ilvl w:val="0"/>
          <w:numId w:val="46"/>
        </w:numPr>
        <w:ind w:left="709" w:hanging="349"/>
        <w:rPr>
          <w:rFonts w:eastAsia="Times New Roman" w:cs="Times New Roman"/>
        </w:rPr>
      </w:pPr>
      <w:r w:rsidRPr="008B5F35">
        <w:rPr>
          <w:rFonts w:eastAsia="Times New Roman" w:cs="Times New Roman"/>
        </w:rPr>
        <w:t>Основен ремонт на сградния фонд в част от 22 лечебни заведения за болнична помощ, е</w:t>
      </w:r>
      <w:r>
        <w:rPr>
          <w:rFonts w:eastAsia="Times New Roman" w:cs="Times New Roman"/>
        </w:rPr>
        <w:t>днолични акционерни дру</w:t>
      </w:r>
      <w:r w:rsidRPr="008D712B">
        <w:rPr>
          <w:rFonts w:eastAsia="Times New Roman" w:cs="Times New Roman"/>
        </w:rPr>
        <w:t>жества /ЕАД/ с държавно уча</w:t>
      </w:r>
      <w:r w:rsidR="002D673D">
        <w:rPr>
          <w:rFonts w:eastAsia="Times New Roman" w:cs="Times New Roman"/>
        </w:rPr>
        <w:t>стие в капитала с обща стойност</w:t>
      </w:r>
      <w:r w:rsidRPr="008D712B">
        <w:rPr>
          <w:rFonts w:eastAsia="Times New Roman" w:cs="Times New Roman"/>
        </w:rPr>
        <w:t xml:space="preserve"> 9,7 млн.</w:t>
      </w:r>
      <w:r w:rsidR="00834F2C">
        <w:rPr>
          <w:rFonts w:eastAsia="Times New Roman" w:cs="Times New Roman"/>
        </w:rPr>
        <w:t xml:space="preserve"> </w:t>
      </w:r>
      <w:r w:rsidRPr="008D712B">
        <w:rPr>
          <w:rFonts w:eastAsia="Times New Roman" w:cs="Times New Roman"/>
        </w:rPr>
        <w:t>лв.</w:t>
      </w:r>
      <w:r>
        <w:rPr>
          <w:rFonts w:eastAsia="Times New Roman" w:cs="Times New Roman"/>
        </w:rPr>
        <w:t>;</w:t>
      </w:r>
    </w:p>
    <w:p w:rsidR="00876729" w:rsidRPr="008D712B" w:rsidRDefault="00876729" w:rsidP="00876729">
      <w:pPr>
        <w:pStyle w:val="ListParagraph"/>
        <w:numPr>
          <w:ilvl w:val="0"/>
          <w:numId w:val="46"/>
        </w:numPr>
        <w:ind w:left="709" w:hanging="349"/>
        <w:rPr>
          <w:rFonts w:eastAsia="Times New Roman" w:cs="Times New Roman"/>
        </w:rPr>
      </w:pPr>
      <w:r w:rsidRPr="008D712B">
        <w:rPr>
          <w:rFonts w:eastAsia="Times New Roman" w:cs="Times New Roman"/>
        </w:rPr>
        <w:t>Закупуване на медицинска апаратура за диагностика и лечение в част от 22 лечебни заведения за болнична помощ, еднолични акционерни дружества /ЕАД/ с държавно участие в капитала</w:t>
      </w:r>
      <w:r>
        <w:rPr>
          <w:rFonts w:eastAsia="Times New Roman" w:cs="Times New Roman"/>
        </w:rPr>
        <w:t xml:space="preserve"> с обща стойност 10,1 млн.</w:t>
      </w:r>
      <w:r w:rsidR="00B8126E">
        <w:rPr>
          <w:rFonts w:eastAsia="Times New Roman" w:cs="Times New Roman"/>
        </w:rPr>
        <w:t xml:space="preserve"> </w:t>
      </w:r>
      <w:r>
        <w:rPr>
          <w:rFonts w:eastAsia="Times New Roman" w:cs="Times New Roman"/>
        </w:rPr>
        <w:t>лв.</w:t>
      </w:r>
    </w:p>
    <w:p w:rsidR="0082145B" w:rsidRPr="002E4153" w:rsidRDefault="0082145B" w:rsidP="0082145B">
      <w:pPr>
        <w:spacing w:before="120" w:after="0"/>
        <w:rPr>
          <w:rFonts w:eastAsia="Times New Roman" w:cs="Times New Roman"/>
        </w:rPr>
      </w:pPr>
      <w:r w:rsidRPr="002E4153">
        <w:rPr>
          <w:rFonts w:eastAsia="Times New Roman" w:cs="Times New Roman"/>
        </w:rPr>
        <w:t>Финансирането на тази политика се допълва и със средства по оперативните програми.</w:t>
      </w:r>
    </w:p>
    <w:p w:rsidR="00015C56" w:rsidRDefault="00015C56" w:rsidP="00EF2CE0">
      <w:pPr>
        <w:spacing w:before="240"/>
        <w:rPr>
          <w:highlight w:val="yellow"/>
        </w:rPr>
      </w:pPr>
    </w:p>
    <w:p w:rsidR="00E7639F" w:rsidRPr="006B0402" w:rsidRDefault="00E7639F" w:rsidP="00E7639F">
      <w:pPr>
        <w:pStyle w:val="Heading4"/>
        <w:rPr>
          <w:rFonts w:eastAsia="Times New Roman"/>
        </w:rPr>
      </w:pPr>
      <w:r w:rsidRPr="006B0402">
        <w:rPr>
          <w:rFonts w:eastAsia="Times New Roman"/>
        </w:rPr>
        <w:t>Политика в областта на лекарствените продукти и медицинските изделия</w:t>
      </w:r>
    </w:p>
    <w:p w:rsidR="0082145B" w:rsidRDefault="0082145B" w:rsidP="00F9639B">
      <w:pPr>
        <w:spacing w:before="120" w:after="0"/>
      </w:pPr>
    </w:p>
    <w:p w:rsidR="0082145B" w:rsidRPr="007D6981" w:rsidRDefault="0082145B" w:rsidP="0082145B">
      <w:pPr>
        <w:spacing w:before="120" w:after="0"/>
        <w:rPr>
          <w:rFonts w:eastAsia="Times New Roman" w:cs="Times New Roman"/>
          <w:lang w:val="ru-RU"/>
        </w:rPr>
      </w:pPr>
      <w:r w:rsidRPr="002E4153">
        <w:rPr>
          <w:rFonts w:eastAsia="Times New Roman" w:cs="Times New Roman"/>
        </w:rPr>
        <w:t>Основният обхват на политиката е осигуряване на лекарствени продукти, които отговарят на стандартите за качество, безопасност и ефикасност за задоволяване на потребностите на населението. Основен принос към реализацията на тази политика има</w:t>
      </w:r>
      <w:r w:rsidR="00E042F1">
        <w:rPr>
          <w:rFonts w:eastAsia="Times New Roman" w:cs="Times New Roman"/>
        </w:rPr>
        <w:t>т</w:t>
      </w:r>
      <w:r w:rsidRPr="002E4153">
        <w:rPr>
          <w:rFonts w:eastAsia="Times New Roman" w:cs="Times New Roman"/>
        </w:rPr>
        <w:t xml:space="preserve"> Министерството на здравеопазването, Националната здравноосигурителна каса, Изпълнителната агенция по лекарствата и Националният съвет по цени и реимбурсиране на лекарствените продукти.</w:t>
      </w:r>
    </w:p>
    <w:p w:rsidR="00B974F4" w:rsidRDefault="00B974F4" w:rsidP="00F9639B">
      <w:pPr>
        <w:spacing w:before="120" w:after="0"/>
        <w:rPr>
          <w:highlight w:val="yellow"/>
        </w:rPr>
      </w:pPr>
    </w:p>
    <w:p w:rsidR="00926946" w:rsidRPr="00CC42B3" w:rsidRDefault="00E7639F" w:rsidP="00CC42B3">
      <w:pPr>
        <w:jc w:val="left"/>
        <w:rPr>
          <w:rFonts w:cs="Times New Roman"/>
          <w:b/>
          <w:sz w:val="20"/>
          <w:szCs w:val="20"/>
        </w:rPr>
      </w:pPr>
      <w:r w:rsidRPr="00E71A58">
        <w:rPr>
          <w:rFonts w:cs="Times New Roman"/>
          <w:b/>
          <w:sz w:val="20"/>
          <w:szCs w:val="20"/>
        </w:rPr>
        <w:t>КЛЮЧОВИ ИНДИКАТОРИ З</w:t>
      </w:r>
      <w:r w:rsidR="00CC42B3">
        <w:rPr>
          <w:rFonts w:cs="Times New Roman"/>
          <w:b/>
          <w:sz w:val="20"/>
          <w:szCs w:val="20"/>
        </w:rPr>
        <w:t>А ИЗПЪЛНЕНИЕ И ЦЕЛЕВИ СТОЙНОСТИ</w:t>
      </w:r>
    </w:p>
    <w:tbl>
      <w:tblPr>
        <w:tblW w:w="5000" w:type="pct"/>
        <w:tblCellMar>
          <w:left w:w="70" w:type="dxa"/>
          <w:right w:w="70" w:type="dxa"/>
        </w:tblCellMar>
        <w:tblLook w:val="04A0" w:firstRow="1" w:lastRow="0" w:firstColumn="1" w:lastColumn="0" w:noHBand="0" w:noVBand="1"/>
      </w:tblPr>
      <w:tblGrid>
        <w:gridCol w:w="3937"/>
        <w:gridCol w:w="1159"/>
        <w:gridCol w:w="985"/>
        <w:gridCol w:w="985"/>
        <w:gridCol w:w="1003"/>
        <w:gridCol w:w="1001"/>
      </w:tblGrid>
      <w:tr w:rsidR="00CC42B3" w:rsidRPr="002C7884" w:rsidTr="00064BF8">
        <w:trPr>
          <w:trHeight w:val="540"/>
          <w:tblHeader/>
        </w:trPr>
        <w:tc>
          <w:tcPr>
            <w:tcW w:w="2170" w:type="pct"/>
            <w:tcBorders>
              <w:top w:val="single" w:sz="4" w:space="0" w:color="auto"/>
              <w:left w:val="nil"/>
              <w:bottom w:val="nil"/>
              <w:right w:val="nil"/>
            </w:tcBorders>
            <w:shd w:val="clear" w:color="auto" w:fill="auto"/>
            <w:vAlign w:val="center"/>
            <w:hideMark/>
          </w:tcPr>
          <w:p w:rsidR="00CC42B3" w:rsidRPr="002C7884" w:rsidRDefault="00CC42B3" w:rsidP="00064BF8">
            <w:pPr>
              <w:spacing w:after="0"/>
              <w:jc w:val="center"/>
              <w:rPr>
                <w:rFonts w:eastAsia="Times New Roman" w:cs="Times New Roman"/>
                <w:b/>
                <w:bCs/>
                <w:i/>
                <w:iCs/>
                <w:color w:val="000000"/>
                <w:sz w:val="18"/>
                <w:szCs w:val="18"/>
              </w:rPr>
            </w:pPr>
            <w:r w:rsidRPr="002C7884">
              <w:rPr>
                <w:rFonts w:eastAsia="Times New Roman" w:cs="Times New Roman"/>
                <w:b/>
                <w:bCs/>
                <w:i/>
                <w:iCs/>
                <w:color w:val="000000"/>
                <w:sz w:val="18"/>
                <w:szCs w:val="18"/>
              </w:rPr>
              <w:t>Политика в областта на</w:t>
            </w:r>
            <w:r w:rsidRPr="002C7884">
              <w:rPr>
                <w:rFonts w:eastAsia="Times New Roman" w:cs="Times New Roman"/>
                <w:color w:val="000000"/>
                <w:sz w:val="18"/>
                <w:szCs w:val="18"/>
              </w:rPr>
              <w:t xml:space="preserve"> </w:t>
            </w:r>
            <w:r w:rsidRPr="002C7884">
              <w:rPr>
                <w:rFonts w:eastAsia="Times New Roman" w:cs="Times New Roman"/>
                <w:b/>
                <w:bCs/>
                <w:i/>
                <w:iCs/>
                <w:color w:val="000000"/>
                <w:sz w:val="18"/>
                <w:szCs w:val="18"/>
              </w:rPr>
              <w:t>лекарствените продукти  и медицинските изделия</w:t>
            </w:r>
          </w:p>
        </w:tc>
        <w:tc>
          <w:tcPr>
            <w:tcW w:w="639" w:type="pct"/>
            <w:vMerge w:val="restart"/>
            <w:tcBorders>
              <w:top w:val="single" w:sz="4" w:space="0" w:color="auto"/>
              <w:left w:val="nil"/>
              <w:bottom w:val="single" w:sz="4" w:space="0" w:color="963634"/>
              <w:right w:val="nil"/>
            </w:tcBorders>
            <w:shd w:val="clear" w:color="auto" w:fill="F2F2F2"/>
            <w:vAlign w:val="center"/>
            <w:hideMark/>
          </w:tcPr>
          <w:p w:rsidR="00CC42B3" w:rsidRPr="002C7884" w:rsidRDefault="00CC42B3" w:rsidP="00064BF8">
            <w:pPr>
              <w:spacing w:after="0"/>
              <w:jc w:val="center"/>
              <w:rPr>
                <w:rFonts w:eastAsia="Times New Roman" w:cs="Times New Roman"/>
                <w:b/>
                <w:bCs/>
                <w:color w:val="000000"/>
                <w:sz w:val="18"/>
                <w:szCs w:val="18"/>
              </w:rPr>
            </w:pPr>
            <w:r w:rsidRPr="002C7884">
              <w:rPr>
                <w:rFonts w:eastAsia="Times New Roman" w:cs="Times New Roman"/>
                <w:b/>
                <w:bCs/>
                <w:color w:val="000000"/>
                <w:sz w:val="18"/>
                <w:szCs w:val="18"/>
              </w:rPr>
              <w:t>Мерна единица</w:t>
            </w:r>
          </w:p>
        </w:tc>
        <w:tc>
          <w:tcPr>
            <w:tcW w:w="543" w:type="pct"/>
            <w:tcBorders>
              <w:top w:val="single" w:sz="4" w:space="0" w:color="auto"/>
              <w:left w:val="nil"/>
              <w:bottom w:val="single" w:sz="4" w:space="0" w:color="auto"/>
              <w:right w:val="nil"/>
            </w:tcBorders>
          </w:tcPr>
          <w:p w:rsidR="00CC42B3" w:rsidRPr="002C7884" w:rsidRDefault="00CC42B3" w:rsidP="00064BF8">
            <w:pPr>
              <w:spacing w:after="0"/>
              <w:jc w:val="center"/>
              <w:rPr>
                <w:rFonts w:eastAsia="Times New Roman" w:cs="Times New Roman"/>
                <w:b/>
                <w:bCs/>
                <w:color w:val="000000"/>
                <w:sz w:val="18"/>
                <w:szCs w:val="18"/>
              </w:rPr>
            </w:pPr>
          </w:p>
        </w:tc>
        <w:tc>
          <w:tcPr>
            <w:tcW w:w="1648" w:type="pct"/>
            <w:gridSpan w:val="3"/>
            <w:tcBorders>
              <w:top w:val="single" w:sz="4" w:space="0" w:color="auto"/>
              <w:left w:val="nil"/>
              <w:bottom w:val="single" w:sz="4" w:space="0" w:color="auto"/>
              <w:right w:val="nil"/>
            </w:tcBorders>
            <w:shd w:val="clear" w:color="auto" w:fill="auto"/>
            <w:vAlign w:val="center"/>
            <w:hideMark/>
          </w:tcPr>
          <w:p w:rsidR="00CC42B3" w:rsidRPr="002C7884" w:rsidRDefault="00CC42B3" w:rsidP="00064BF8">
            <w:pPr>
              <w:spacing w:after="0"/>
              <w:jc w:val="center"/>
              <w:rPr>
                <w:rFonts w:eastAsia="Times New Roman" w:cs="Times New Roman"/>
                <w:b/>
                <w:bCs/>
                <w:color w:val="000000"/>
                <w:sz w:val="18"/>
                <w:szCs w:val="18"/>
              </w:rPr>
            </w:pPr>
            <w:r w:rsidRPr="002C7884">
              <w:rPr>
                <w:rFonts w:eastAsia="Times New Roman" w:cs="Times New Roman"/>
                <w:b/>
                <w:bCs/>
                <w:color w:val="000000"/>
                <w:sz w:val="18"/>
                <w:szCs w:val="18"/>
              </w:rPr>
              <w:t>Целева стойност</w:t>
            </w:r>
          </w:p>
        </w:tc>
      </w:tr>
      <w:tr w:rsidR="00CC42B3" w:rsidRPr="002C7884" w:rsidTr="00034C85">
        <w:trPr>
          <w:trHeight w:val="540"/>
          <w:tblHeader/>
        </w:trPr>
        <w:tc>
          <w:tcPr>
            <w:tcW w:w="2170" w:type="pct"/>
            <w:tcBorders>
              <w:top w:val="nil"/>
              <w:left w:val="nil"/>
              <w:bottom w:val="single" w:sz="4" w:space="0" w:color="auto"/>
              <w:right w:val="nil"/>
            </w:tcBorders>
            <w:shd w:val="clear" w:color="auto" w:fill="auto"/>
            <w:vAlign w:val="center"/>
            <w:hideMark/>
          </w:tcPr>
          <w:p w:rsidR="00CC42B3" w:rsidRPr="002C7884" w:rsidRDefault="00CC42B3" w:rsidP="00064BF8">
            <w:pPr>
              <w:spacing w:after="0"/>
              <w:jc w:val="center"/>
              <w:rPr>
                <w:rFonts w:eastAsia="Times New Roman" w:cs="Times New Roman"/>
                <w:b/>
                <w:bCs/>
                <w:color w:val="000000"/>
                <w:sz w:val="18"/>
                <w:szCs w:val="18"/>
              </w:rPr>
            </w:pPr>
            <w:r w:rsidRPr="002C7884">
              <w:rPr>
                <w:rFonts w:eastAsia="Times New Roman" w:cs="Times New Roman"/>
                <w:b/>
                <w:bCs/>
                <w:color w:val="000000"/>
                <w:sz w:val="18"/>
                <w:szCs w:val="18"/>
              </w:rPr>
              <w:t>Наименование на индикатора</w:t>
            </w:r>
          </w:p>
        </w:tc>
        <w:tc>
          <w:tcPr>
            <w:tcW w:w="639" w:type="pct"/>
            <w:vMerge/>
            <w:tcBorders>
              <w:top w:val="single" w:sz="4" w:space="0" w:color="auto"/>
              <w:left w:val="nil"/>
              <w:bottom w:val="single" w:sz="4" w:space="0" w:color="auto"/>
              <w:right w:val="nil"/>
            </w:tcBorders>
            <w:shd w:val="clear" w:color="auto" w:fill="F2F2F2"/>
            <w:vAlign w:val="center"/>
            <w:hideMark/>
          </w:tcPr>
          <w:p w:rsidR="00CC42B3" w:rsidRPr="002C7884" w:rsidRDefault="00CC42B3" w:rsidP="00064BF8">
            <w:pPr>
              <w:spacing w:after="0"/>
              <w:rPr>
                <w:rFonts w:eastAsia="Times New Roman" w:cs="Times New Roman"/>
                <w:b/>
                <w:bCs/>
                <w:color w:val="000000"/>
                <w:sz w:val="18"/>
                <w:szCs w:val="18"/>
              </w:rPr>
            </w:pPr>
          </w:p>
        </w:tc>
        <w:tc>
          <w:tcPr>
            <w:tcW w:w="543" w:type="pct"/>
            <w:tcBorders>
              <w:top w:val="nil"/>
              <w:left w:val="nil"/>
              <w:bottom w:val="single" w:sz="4" w:space="0" w:color="auto"/>
              <w:right w:val="nil"/>
            </w:tcBorders>
            <w:vAlign w:val="center"/>
          </w:tcPr>
          <w:p w:rsidR="00CC42B3" w:rsidRPr="002C7884" w:rsidRDefault="00CC42B3" w:rsidP="00064BF8">
            <w:pPr>
              <w:spacing w:after="0"/>
              <w:jc w:val="center"/>
              <w:rPr>
                <w:rFonts w:eastAsia="Times New Roman" w:cs="Times New Roman"/>
                <w:b/>
                <w:bCs/>
                <w:i/>
                <w:iCs/>
                <w:color w:val="000000"/>
                <w:sz w:val="18"/>
                <w:szCs w:val="18"/>
              </w:rPr>
            </w:pPr>
            <w:r w:rsidRPr="002C7884">
              <w:rPr>
                <w:rFonts w:eastAsia="Times New Roman" w:cs="Times New Roman"/>
                <w:b/>
                <w:bCs/>
                <w:i/>
                <w:iCs/>
                <w:color w:val="000000"/>
                <w:sz w:val="18"/>
                <w:szCs w:val="18"/>
              </w:rPr>
              <w:t>Програма 2019 г.</w:t>
            </w:r>
          </w:p>
        </w:tc>
        <w:tc>
          <w:tcPr>
            <w:tcW w:w="543" w:type="pct"/>
            <w:tcBorders>
              <w:top w:val="nil"/>
              <w:left w:val="nil"/>
              <w:bottom w:val="single" w:sz="4" w:space="0" w:color="auto"/>
              <w:right w:val="nil"/>
            </w:tcBorders>
            <w:shd w:val="clear" w:color="auto" w:fill="auto"/>
            <w:vAlign w:val="center"/>
            <w:hideMark/>
          </w:tcPr>
          <w:p w:rsidR="00CC42B3" w:rsidRPr="002C7884" w:rsidRDefault="00CC42B3" w:rsidP="00064BF8">
            <w:pPr>
              <w:spacing w:after="0"/>
              <w:jc w:val="center"/>
              <w:rPr>
                <w:rFonts w:eastAsia="Times New Roman" w:cs="Times New Roman"/>
                <w:b/>
                <w:bCs/>
                <w:i/>
                <w:iCs/>
                <w:color w:val="000000"/>
                <w:sz w:val="18"/>
                <w:szCs w:val="18"/>
              </w:rPr>
            </w:pPr>
            <w:r w:rsidRPr="002C7884">
              <w:rPr>
                <w:rFonts w:eastAsia="Times New Roman" w:cs="Times New Roman"/>
                <w:b/>
                <w:bCs/>
                <w:i/>
                <w:iCs/>
                <w:color w:val="000000"/>
                <w:sz w:val="18"/>
                <w:szCs w:val="18"/>
              </w:rPr>
              <w:t>Проект 2020 г.</w:t>
            </w:r>
          </w:p>
        </w:tc>
        <w:tc>
          <w:tcPr>
            <w:tcW w:w="553" w:type="pct"/>
            <w:tcBorders>
              <w:top w:val="nil"/>
              <w:left w:val="nil"/>
              <w:bottom w:val="single" w:sz="4" w:space="0" w:color="auto"/>
              <w:right w:val="nil"/>
            </w:tcBorders>
            <w:shd w:val="clear" w:color="auto" w:fill="auto"/>
            <w:vAlign w:val="center"/>
            <w:hideMark/>
          </w:tcPr>
          <w:p w:rsidR="00CC42B3" w:rsidRPr="002C7884" w:rsidRDefault="00CC42B3" w:rsidP="00064BF8">
            <w:pPr>
              <w:spacing w:after="0"/>
              <w:jc w:val="center"/>
              <w:rPr>
                <w:rFonts w:eastAsia="Times New Roman" w:cs="Times New Roman"/>
                <w:b/>
                <w:bCs/>
                <w:i/>
                <w:iCs/>
                <w:color w:val="000000"/>
                <w:sz w:val="18"/>
                <w:szCs w:val="18"/>
              </w:rPr>
            </w:pPr>
            <w:r w:rsidRPr="002C7884">
              <w:rPr>
                <w:rFonts w:eastAsia="Times New Roman" w:cs="Times New Roman"/>
                <w:b/>
                <w:bCs/>
                <w:i/>
                <w:iCs/>
                <w:color w:val="000000"/>
                <w:sz w:val="18"/>
                <w:szCs w:val="18"/>
              </w:rPr>
              <w:t>Прогноза 2021 г.</w:t>
            </w:r>
          </w:p>
        </w:tc>
        <w:tc>
          <w:tcPr>
            <w:tcW w:w="552" w:type="pct"/>
            <w:tcBorders>
              <w:top w:val="nil"/>
              <w:left w:val="nil"/>
              <w:bottom w:val="single" w:sz="4" w:space="0" w:color="auto"/>
              <w:right w:val="nil"/>
            </w:tcBorders>
            <w:shd w:val="clear" w:color="auto" w:fill="auto"/>
            <w:vAlign w:val="center"/>
            <w:hideMark/>
          </w:tcPr>
          <w:p w:rsidR="00CC42B3" w:rsidRPr="002C7884" w:rsidRDefault="00CC42B3" w:rsidP="00064BF8">
            <w:pPr>
              <w:spacing w:after="0"/>
              <w:jc w:val="center"/>
              <w:rPr>
                <w:rFonts w:eastAsia="Times New Roman" w:cs="Times New Roman"/>
                <w:b/>
                <w:bCs/>
                <w:i/>
                <w:iCs/>
                <w:color w:val="000000"/>
                <w:sz w:val="18"/>
                <w:szCs w:val="18"/>
              </w:rPr>
            </w:pPr>
            <w:r w:rsidRPr="002C7884">
              <w:rPr>
                <w:rFonts w:eastAsia="Times New Roman" w:cs="Times New Roman"/>
                <w:b/>
                <w:bCs/>
                <w:i/>
                <w:iCs/>
                <w:color w:val="000000"/>
                <w:sz w:val="18"/>
                <w:szCs w:val="18"/>
              </w:rPr>
              <w:t>Прогноза 2022 г.</w:t>
            </w:r>
          </w:p>
        </w:tc>
      </w:tr>
      <w:tr w:rsidR="00CC42B3" w:rsidRPr="002C7884" w:rsidTr="00034C85">
        <w:trPr>
          <w:trHeight w:val="510"/>
        </w:trPr>
        <w:tc>
          <w:tcPr>
            <w:tcW w:w="2170" w:type="pct"/>
            <w:tcBorders>
              <w:top w:val="single" w:sz="4" w:space="0" w:color="auto"/>
              <w:left w:val="nil"/>
              <w:bottom w:val="nil"/>
              <w:right w:val="nil"/>
            </w:tcBorders>
            <w:shd w:val="clear" w:color="000000" w:fill="FFFFFF"/>
            <w:hideMark/>
          </w:tcPr>
          <w:p w:rsidR="00CC42B3" w:rsidRPr="002C7884" w:rsidRDefault="00CC42B3" w:rsidP="00064BF8">
            <w:pPr>
              <w:widowControl w:val="0"/>
              <w:autoSpaceDE w:val="0"/>
              <w:autoSpaceDN w:val="0"/>
              <w:adjustRightInd w:val="0"/>
              <w:spacing w:after="0"/>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1. Публични разходи за лекарствени продукти като процент от БВП</w:t>
            </w:r>
          </w:p>
        </w:tc>
        <w:tc>
          <w:tcPr>
            <w:tcW w:w="639" w:type="pct"/>
            <w:tcBorders>
              <w:top w:val="single" w:sz="4" w:space="0" w:color="auto"/>
              <w:left w:val="nil"/>
              <w:bottom w:val="nil"/>
              <w:right w:val="nil"/>
            </w:tcBorders>
            <w:shd w:val="clear" w:color="auto" w:fill="F2F2F2"/>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w:t>
            </w:r>
          </w:p>
        </w:tc>
        <w:tc>
          <w:tcPr>
            <w:tcW w:w="543" w:type="pct"/>
            <w:tcBorders>
              <w:top w:val="single" w:sz="4" w:space="0" w:color="auto"/>
              <w:left w:val="nil"/>
              <w:bottom w:val="nil"/>
              <w:right w:val="nil"/>
            </w:tcBorders>
            <w:shd w:val="clear" w:color="000000" w:fill="FFFFFF"/>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1,00</w:t>
            </w:r>
          </w:p>
        </w:tc>
        <w:tc>
          <w:tcPr>
            <w:tcW w:w="543" w:type="pct"/>
            <w:tcBorders>
              <w:top w:val="single" w:sz="4" w:space="0" w:color="auto"/>
              <w:left w:val="nil"/>
              <w:bottom w:val="nil"/>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1,00</w:t>
            </w:r>
          </w:p>
        </w:tc>
        <w:tc>
          <w:tcPr>
            <w:tcW w:w="553" w:type="pct"/>
            <w:tcBorders>
              <w:top w:val="single" w:sz="4" w:space="0" w:color="auto"/>
              <w:left w:val="nil"/>
              <w:bottom w:val="nil"/>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1,00</w:t>
            </w:r>
          </w:p>
        </w:tc>
        <w:tc>
          <w:tcPr>
            <w:tcW w:w="552" w:type="pct"/>
            <w:tcBorders>
              <w:top w:val="single" w:sz="4" w:space="0" w:color="auto"/>
              <w:left w:val="nil"/>
              <w:bottom w:val="nil"/>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1,00</w:t>
            </w:r>
          </w:p>
        </w:tc>
      </w:tr>
      <w:tr w:rsidR="00CC42B3" w:rsidRPr="002C7884" w:rsidTr="00064BF8">
        <w:trPr>
          <w:trHeight w:val="510"/>
        </w:trPr>
        <w:tc>
          <w:tcPr>
            <w:tcW w:w="2170" w:type="pct"/>
            <w:tcBorders>
              <w:top w:val="nil"/>
              <w:left w:val="nil"/>
              <w:bottom w:val="nil"/>
              <w:right w:val="nil"/>
            </w:tcBorders>
            <w:shd w:val="clear" w:color="000000" w:fill="FFFFFF"/>
            <w:hideMark/>
          </w:tcPr>
          <w:p w:rsidR="00CC42B3" w:rsidRPr="002C7884" w:rsidRDefault="00CC42B3" w:rsidP="00064BF8">
            <w:pPr>
              <w:widowControl w:val="0"/>
              <w:autoSpaceDE w:val="0"/>
              <w:autoSpaceDN w:val="0"/>
              <w:adjustRightInd w:val="0"/>
              <w:spacing w:after="0"/>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2. Дял на генеричните лекарства в реимбурсния фармацевтичен пазар</w:t>
            </w:r>
          </w:p>
        </w:tc>
        <w:tc>
          <w:tcPr>
            <w:tcW w:w="639" w:type="pct"/>
            <w:tcBorders>
              <w:top w:val="nil"/>
              <w:left w:val="nil"/>
              <w:bottom w:val="nil"/>
              <w:right w:val="nil"/>
            </w:tcBorders>
            <w:shd w:val="clear" w:color="auto" w:fill="F2F2F2"/>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w:t>
            </w:r>
          </w:p>
        </w:tc>
        <w:tc>
          <w:tcPr>
            <w:tcW w:w="543" w:type="pct"/>
            <w:tcBorders>
              <w:top w:val="nil"/>
              <w:left w:val="nil"/>
              <w:bottom w:val="nil"/>
              <w:right w:val="nil"/>
            </w:tcBorders>
            <w:shd w:val="clear" w:color="000000" w:fill="FFFFFF"/>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70,00</w:t>
            </w:r>
          </w:p>
        </w:tc>
        <w:tc>
          <w:tcPr>
            <w:tcW w:w="543" w:type="pct"/>
            <w:tcBorders>
              <w:top w:val="nil"/>
              <w:left w:val="nil"/>
              <w:bottom w:val="nil"/>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70,00</w:t>
            </w:r>
          </w:p>
        </w:tc>
        <w:tc>
          <w:tcPr>
            <w:tcW w:w="553" w:type="pct"/>
            <w:tcBorders>
              <w:top w:val="nil"/>
              <w:left w:val="nil"/>
              <w:bottom w:val="nil"/>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75,00</w:t>
            </w:r>
          </w:p>
        </w:tc>
        <w:tc>
          <w:tcPr>
            <w:tcW w:w="552" w:type="pct"/>
            <w:tcBorders>
              <w:top w:val="nil"/>
              <w:left w:val="nil"/>
              <w:bottom w:val="nil"/>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75,00</w:t>
            </w:r>
          </w:p>
        </w:tc>
      </w:tr>
      <w:tr w:rsidR="00CC42B3" w:rsidRPr="002C7884" w:rsidTr="00064BF8">
        <w:trPr>
          <w:trHeight w:val="70"/>
        </w:trPr>
        <w:tc>
          <w:tcPr>
            <w:tcW w:w="2170" w:type="pct"/>
            <w:tcBorders>
              <w:top w:val="nil"/>
              <w:left w:val="nil"/>
              <w:bottom w:val="single" w:sz="4" w:space="0" w:color="auto"/>
              <w:right w:val="nil"/>
            </w:tcBorders>
            <w:shd w:val="clear" w:color="000000" w:fill="FFFFFF"/>
            <w:hideMark/>
          </w:tcPr>
          <w:p w:rsidR="00CC42B3" w:rsidRPr="002C7884" w:rsidRDefault="00CC42B3" w:rsidP="00064BF8">
            <w:pPr>
              <w:widowControl w:val="0"/>
              <w:autoSpaceDE w:val="0"/>
              <w:autoSpaceDN w:val="0"/>
              <w:adjustRightInd w:val="0"/>
              <w:spacing w:after="0"/>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3. Относителен дял на стойността заплатена за лекарствени продукти за домашно лечение от общите плащания за извън болнична помощ</w:t>
            </w:r>
          </w:p>
        </w:tc>
        <w:tc>
          <w:tcPr>
            <w:tcW w:w="639" w:type="pct"/>
            <w:tcBorders>
              <w:top w:val="nil"/>
              <w:left w:val="nil"/>
              <w:bottom w:val="single" w:sz="4" w:space="0" w:color="auto"/>
              <w:right w:val="nil"/>
            </w:tcBorders>
            <w:shd w:val="clear" w:color="auto" w:fill="F2F2F2"/>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w:t>
            </w:r>
          </w:p>
        </w:tc>
        <w:tc>
          <w:tcPr>
            <w:tcW w:w="543" w:type="pct"/>
            <w:tcBorders>
              <w:top w:val="nil"/>
              <w:left w:val="nil"/>
              <w:bottom w:val="single" w:sz="4" w:space="0" w:color="auto"/>
              <w:right w:val="nil"/>
            </w:tcBorders>
            <w:shd w:val="clear" w:color="000000" w:fill="FFFFFF"/>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54,00</w:t>
            </w:r>
          </w:p>
        </w:tc>
        <w:tc>
          <w:tcPr>
            <w:tcW w:w="543" w:type="pct"/>
            <w:tcBorders>
              <w:top w:val="nil"/>
              <w:left w:val="nil"/>
              <w:bottom w:val="single" w:sz="4" w:space="0" w:color="auto"/>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54,00</w:t>
            </w:r>
          </w:p>
        </w:tc>
        <w:tc>
          <w:tcPr>
            <w:tcW w:w="553" w:type="pct"/>
            <w:tcBorders>
              <w:top w:val="nil"/>
              <w:left w:val="nil"/>
              <w:bottom w:val="single" w:sz="4" w:space="0" w:color="auto"/>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58,40</w:t>
            </w:r>
          </w:p>
        </w:tc>
        <w:tc>
          <w:tcPr>
            <w:tcW w:w="552" w:type="pct"/>
            <w:tcBorders>
              <w:top w:val="nil"/>
              <w:left w:val="nil"/>
              <w:bottom w:val="single" w:sz="4" w:space="0" w:color="auto"/>
              <w:right w:val="nil"/>
            </w:tcBorders>
            <w:shd w:val="clear" w:color="000000" w:fill="FFFFFF"/>
            <w:hideMark/>
          </w:tcPr>
          <w:p w:rsidR="00CC42B3" w:rsidRPr="002C7884" w:rsidRDefault="00CC42B3" w:rsidP="00064BF8">
            <w:pPr>
              <w:widowControl w:val="0"/>
              <w:autoSpaceDE w:val="0"/>
              <w:autoSpaceDN w:val="0"/>
              <w:adjustRightInd w:val="0"/>
              <w:spacing w:after="0"/>
              <w:jc w:val="center"/>
              <w:rPr>
                <w:rFonts w:asciiTheme="majorHAnsi" w:eastAsia="Times New Roman" w:hAnsiTheme="majorHAnsi" w:cstheme="majorHAnsi"/>
                <w:sz w:val="18"/>
                <w:szCs w:val="18"/>
              </w:rPr>
            </w:pPr>
            <w:r w:rsidRPr="002C7884">
              <w:rPr>
                <w:rFonts w:asciiTheme="majorHAnsi" w:eastAsia="Times New Roman" w:hAnsiTheme="majorHAnsi" w:cstheme="majorHAnsi"/>
                <w:sz w:val="18"/>
                <w:szCs w:val="18"/>
              </w:rPr>
              <w:t>58,50</w:t>
            </w:r>
          </w:p>
        </w:tc>
      </w:tr>
    </w:tbl>
    <w:p w:rsidR="00CC42B3" w:rsidRPr="00CC42B3" w:rsidRDefault="00CC42B3" w:rsidP="00CC42B3">
      <w:pPr>
        <w:spacing w:before="240"/>
        <w:rPr>
          <w:rFonts w:eastAsia="Times New Roman" w:cs="Times New Roman"/>
        </w:rPr>
      </w:pPr>
      <w:r w:rsidRPr="002E4153">
        <w:rPr>
          <w:rFonts w:eastAsia="Times New Roman" w:cs="Times New Roman"/>
        </w:rPr>
        <w:t xml:space="preserve">Основният разход за реализирането на тази политика е разчетен по бюджета на Националната здравноосигурителна каса. За осигуряване на лекарствени продукти за домашно лечение, за лечение на злокачествени заболявания в условията на болничната помощ и за доставка на лекарствени продукти за </w:t>
      </w:r>
      <w:r w:rsidRPr="002E4153">
        <w:rPr>
          <w:rFonts w:eastAsia="Times New Roman" w:cs="Times New Roman"/>
          <w:iCs/>
        </w:rPr>
        <w:t xml:space="preserve">лечението на български граждани за заболявания, извън обхвата на задължителното здравно осигуряване, </w:t>
      </w:r>
      <w:r w:rsidRPr="002E4153">
        <w:rPr>
          <w:rFonts w:eastAsia="Times New Roman" w:cs="Times New Roman"/>
        </w:rPr>
        <w:t>по консолидираната фискална програма са разчетени индикативни средства в размер на 1 </w:t>
      </w:r>
      <w:r w:rsidRPr="00093F44">
        <w:rPr>
          <w:rFonts w:eastAsia="Times New Roman" w:cs="Times New Roman"/>
        </w:rPr>
        <w:t>269,7</w:t>
      </w:r>
      <w:r w:rsidR="004547B5">
        <w:rPr>
          <w:rFonts w:eastAsia="Times New Roman" w:cs="Times New Roman"/>
        </w:rPr>
        <w:t xml:space="preserve"> </w:t>
      </w:r>
      <w:r w:rsidRPr="002E4153">
        <w:rPr>
          <w:rFonts w:eastAsia="Times New Roman" w:cs="Times New Roman"/>
        </w:rPr>
        <w:t>млн. лв. за 20</w:t>
      </w:r>
      <w:r>
        <w:rPr>
          <w:rFonts w:eastAsia="Times New Roman" w:cs="Times New Roman"/>
        </w:rPr>
        <w:t>20</w:t>
      </w:r>
      <w:r w:rsidRPr="002E4153">
        <w:rPr>
          <w:rFonts w:eastAsia="Times New Roman" w:cs="Times New Roman"/>
        </w:rPr>
        <w:t xml:space="preserve"> г., 1 </w:t>
      </w:r>
      <w:r w:rsidRPr="00093F44">
        <w:rPr>
          <w:rFonts w:eastAsia="Times New Roman" w:cs="Times New Roman"/>
        </w:rPr>
        <w:t>355,5</w:t>
      </w:r>
      <w:r w:rsidRPr="002E4153">
        <w:rPr>
          <w:rFonts w:eastAsia="Times New Roman" w:cs="Times New Roman"/>
        </w:rPr>
        <w:t xml:space="preserve"> млн. лв. за 202</w:t>
      </w:r>
      <w:r>
        <w:rPr>
          <w:rFonts w:eastAsia="Times New Roman" w:cs="Times New Roman"/>
        </w:rPr>
        <w:t>1</w:t>
      </w:r>
      <w:r w:rsidRPr="002E4153">
        <w:rPr>
          <w:rFonts w:eastAsia="Times New Roman" w:cs="Times New Roman"/>
        </w:rPr>
        <w:t xml:space="preserve"> г. и 1 </w:t>
      </w:r>
      <w:r w:rsidRPr="00093F44">
        <w:rPr>
          <w:rFonts w:eastAsia="Times New Roman" w:cs="Times New Roman"/>
        </w:rPr>
        <w:t>428,8</w:t>
      </w:r>
      <w:r w:rsidRPr="002E4153">
        <w:rPr>
          <w:rFonts w:eastAsia="Times New Roman" w:cs="Times New Roman"/>
        </w:rPr>
        <w:t xml:space="preserve"> млн. лв. за 202</w:t>
      </w:r>
      <w:r>
        <w:rPr>
          <w:rFonts w:eastAsia="Times New Roman" w:cs="Times New Roman"/>
        </w:rPr>
        <w:t>2</w:t>
      </w:r>
      <w:r w:rsidRPr="002E4153">
        <w:rPr>
          <w:rFonts w:eastAsia="Times New Roman" w:cs="Times New Roman"/>
        </w:rPr>
        <w:t xml:space="preserve"> г.</w:t>
      </w:r>
    </w:p>
    <w:p w:rsidR="00482775" w:rsidRPr="00034C85" w:rsidRDefault="00482775" w:rsidP="00482775">
      <w:pPr>
        <w:spacing w:before="120" w:after="0"/>
        <w:rPr>
          <w:rFonts w:eastAsia="Times New Roman" w:cs="Times New Roman"/>
        </w:rPr>
      </w:pPr>
      <w:r w:rsidRPr="00034C85">
        <w:rPr>
          <w:rFonts w:eastAsia="Times New Roman" w:cs="Times New Roman"/>
        </w:rPr>
        <w:t xml:space="preserve">В проектобюджета за 2020 г. за делегираните от държавата дейности по </w:t>
      </w:r>
      <w:r w:rsidRPr="00034C85">
        <w:rPr>
          <w:rFonts w:eastAsia="Times New Roman" w:cs="Times New Roman"/>
          <w:b/>
          <w:i/>
        </w:rPr>
        <w:t>бюджетите на общините за здравеопазване</w:t>
      </w:r>
      <w:r w:rsidRPr="00034C85">
        <w:rPr>
          <w:rFonts w:eastAsia="Times New Roman" w:cs="Times New Roman"/>
        </w:rPr>
        <w:t xml:space="preserve"> са предвидени средства за текущи разходи в общ размер 170,0 млн. лв., като е предвидено увеличение с 14,9 млн. лв. спрямо ЗДБРБ за 2019 г. Разчетени са средства за увеличение на разходите за персонал с 10 на сто. Стандартите за медицинско обслужване в здравен кабинет са увеличени с 10%, а тези за яслена група към детска градина, детска ясла, детска кухня и за здравните медиатори с 11%. Стандартите за финансиране на общинските съвети по наркотичните вещества и превантивните информацио</w:t>
      </w:r>
      <w:r w:rsidR="00E0379B" w:rsidRPr="00034C85">
        <w:rPr>
          <w:rFonts w:eastAsia="Times New Roman" w:cs="Times New Roman"/>
        </w:rPr>
        <w:t>нни центрове към тях са увеличени</w:t>
      </w:r>
      <w:r w:rsidRPr="00034C85">
        <w:rPr>
          <w:rFonts w:eastAsia="Times New Roman" w:cs="Times New Roman"/>
        </w:rPr>
        <w:t xml:space="preserve"> с 8,7%.</w:t>
      </w:r>
    </w:p>
    <w:p w:rsidR="00482775" w:rsidRPr="00034C85" w:rsidRDefault="00482775" w:rsidP="00482775">
      <w:pPr>
        <w:spacing w:before="120" w:after="0"/>
        <w:rPr>
          <w:rFonts w:eastAsia="Times New Roman" w:cs="Times New Roman"/>
          <w:szCs w:val="24"/>
        </w:rPr>
      </w:pPr>
      <w:r w:rsidRPr="00034C85">
        <w:rPr>
          <w:rFonts w:eastAsia="Times New Roman" w:cs="Times New Roman"/>
          <w:szCs w:val="24"/>
        </w:rPr>
        <w:t>В прогнозата за 2021 г. за текущи разходи за делегираните от държавата дейности за здравеопазване са предвидени средства по бюджетите на общините в общ размер на 173,1 млн. лв., като е планирано увеличение с 3,1 млн. лв. спрямо проектобюджета за 2020 г. Предвижда се запазване на размера на средствата за 2022 г. на нивото от 2021 г.</w:t>
      </w:r>
    </w:p>
    <w:p w:rsidR="00B03B34" w:rsidRDefault="00083361" w:rsidP="00517D0A">
      <w:pPr>
        <w:pStyle w:val="Heading3"/>
        <w:ind w:left="0"/>
      </w:pPr>
      <w:bookmarkStart w:id="480" w:name="_Toc465070472"/>
      <w:bookmarkStart w:id="481" w:name="_Toc465205522"/>
      <w:r w:rsidRPr="0035221E">
        <w:t>Политика в областта на образованието и науката</w:t>
      </w:r>
      <w:bookmarkEnd w:id="480"/>
      <w:bookmarkEnd w:id="481"/>
    </w:p>
    <w:p w:rsidR="00E7639F" w:rsidRPr="00C965B8" w:rsidRDefault="00E7639F" w:rsidP="00E7639F">
      <w:pPr>
        <w:pStyle w:val="Heading4"/>
        <w:rPr>
          <w:rFonts w:eastAsia="Times New Roman"/>
        </w:rPr>
      </w:pPr>
      <w:r w:rsidRPr="00C965B8">
        <w:rPr>
          <w:rFonts w:eastAsia="Times New Roman"/>
        </w:rPr>
        <w:t xml:space="preserve">Политика в областта на всеобхватното, достъпно и качествено предучилищно и училищно образование. Учене през целия живот </w:t>
      </w:r>
    </w:p>
    <w:p w:rsidR="00F463C9" w:rsidRDefault="00F463C9" w:rsidP="00F463C9">
      <w:pPr>
        <w:spacing w:before="120" w:after="0"/>
        <w:rPr>
          <w:rFonts w:eastAsia="Times New Roman" w:cs="Times New Roman"/>
          <w:szCs w:val="24"/>
        </w:rPr>
      </w:pPr>
      <w:r w:rsidRPr="00B30D2B">
        <w:rPr>
          <w:rFonts w:eastAsia="Times New Roman" w:cs="Times New Roman"/>
          <w:szCs w:val="24"/>
        </w:rPr>
        <w:t>Осигуряването на достъп до предучилищно и училищно образование и намаляването на дела на отпадналите от училище и на преждевременно напусналите образователната система ученици са фактори с ключова значимост за създаване на благоприятни условия за личностна и професионална реализация, за намаляване на социалното изключване, подобряване на качествените характеристики и конкурентоспособността на работната сила и на благосъстоянието на гражданите. В тази връзка се обуславя и значимостта на предучилищното образование за развиване на умения, необходими както за училищно обучение и личностна реализация, така и за подобряване на качеството на работната сила в стратегическа перспектива. Политиките за достъп до качествено образование се осъществяват преимуществено чрез цялостен интегриран подход, базиран на обвързаните и съгласувани действия на институциите на национално и местно равнище. Целите на националната политика за учене през целия живот продължават да бъдат високото ниво на знанията, възможностите за иновации, адаптивността спрямо промените в естеството на работните процеси и пълноценното социално включване.</w:t>
      </w:r>
    </w:p>
    <w:p w:rsidR="00034C85" w:rsidRDefault="00034C85" w:rsidP="00F463C9">
      <w:pPr>
        <w:spacing w:before="120" w:after="0"/>
        <w:jc w:val="left"/>
        <w:rPr>
          <w:szCs w:val="24"/>
        </w:rPr>
      </w:pPr>
    </w:p>
    <w:p w:rsidR="00B974F4" w:rsidRPr="00B974F4" w:rsidRDefault="00E7639F" w:rsidP="00B974F4">
      <w:pPr>
        <w:spacing w:before="120"/>
        <w:jc w:val="left"/>
        <w:rPr>
          <w:rFonts w:cs="Times New Roman"/>
          <w:b/>
          <w:sz w:val="20"/>
          <w:szCs w:val="20"/>
        </w:rPr>
      </w:pPr>
      <w:r w:rsidRPr="00E71A58">
        <w:rPr>
          <w:rFonts w:cs="Times New Roman"/>
          <w:b/>
          <w:sz w:val="20"/>
          <w:szCs w:val="20"/>
        </w:rPr>
        <w:t>КЛЮЧОВИ ИНДИКАТОРИ ЗА ИЗПЪЛ</w:t>
      </w:r>
      <w:r w:rsidR="00B974F4">
        <w:rPr>
          <w:rFonts w:cs="Times New Roman"/>
          <w:b/>
          <w:sz w:val="20"/>
          <w:szCs w:val="20"/>
        </w:rPr>
        <w:t>НЕНИЕ И ЦЕЛЕВИ СТОЙНОСТИ</w:t>
      </w:r>
    </w:p>
    <w:tbl>
      <w:tblPr>
        <w:tblW w:w="5000" w:type="pct"/>
        <w:tblCellMar>
          <w:left w:w="70" w:type="dxa"/>
          <w:right w:w="70" w:type="dxa"/>
        </w:tblCellMar>
        <w:tblLook w:val="04A0" w:firstRow="1" w:lastRow="0" w:firstColumn="1" w:lastColumn="0" w:noHBand="0" w:noVBand="1"/>
      </w:tblPr>
      <w:tblGrid>
        <w:gridCol w:w="4135"/>
        <w:gridCol w:w="1315"/>
        <w:gridCol w:w="938"/>
        <w:gridCol w:w="894"/>
        <w:gridCol w:w="894"/>
        <w:gridCol w:w="894"/>
      </w:tblGrid>
      <w:tr w:rsidR="00F463C9" w:rsidRPr="00B30D2B" w:rsidTr="00064BF8">
        <w:trPr>
          <w:trHeight w:val="260"/>
          <w:tblHeader/>
        </w:trPr>
        <w:tc>
          <w:tcPr>
            <w:tcW w:w="2279" w:type="pct"/>
            <w:tcBorders>
              <w:top w:val="single" w:sz="4" w:space="0" w:color="auto"/>
              <w:left w:val="nil"/>
              <w:bottom w:val="nil"/>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Политика в областта на всеобхватното, достъпно и качествено предучилищно и училищно образование. Учене през целия живот</w:t>
            </w:r>
          </w:p>
        </w:tc>
        <w:tc>
          <w:tcPr>
            <w:tcW w:w="725" w:type="pct"/>
            <w:vMerge w:val="restart"/>
            <w:tcBorders>
              <w:top w:val="single" w:sz="4" w:space="0" w:color="auto"/>
              <w:left w:val="nil"/>
              <w:bottom w:val="nil"/>
              <w:right w:val="nil"/>
            </w:tcBorders>
            <w:shd w:val="clear" w:color="auto" w:fill="F2F2F2"/>
            <w:vAlign w:val="center"/>
            <w:hideMark/>
          </w:tcPr>
          <w:p w:rsidR="00F463C9" w:rsidRPr="00B30D2B" w:rsidRDefault="00F463C9" w:rsidP="00064BF8">
            <w:pPr>
              <w:spacing w:after="0"/>
              <w:jc w:val="center"/>
              <w:rPr>
                <w:rFonts w:eastAsia="Times New Roman" w:cs="Times New Roman"/>
                <w:b/>
                <w:bCs/>
                <w:color w:val="000000"/>
                <w:sz w:val="18"/>
                <w:szCs w:val="18"/>
              </w:rPr>
            </w:pPr>
            <w:r w:rsidRPr="00B30D2B">
              <w:rPr>
                <w:rFonts w:eastAsia="Times New Roman" w:cs="Times New Roman"/>
                <w:b/>
                <w:bCs/>
                <w:color w:val="000000"/>
                <w:sz w:val="18"/>
                <w:szCs w:val="18"/>
              </w:rPr>
              <w:t>Мерна единица</w:t>
            </w:r>
          </w:p>
        </w:tc>
        <w:tc>
          <w:tcPr>
            <w:tcW w:w="1996" w:type="pct"/>
            <w:gridSpan w:val="4"/>
            <w:tcBorders>
              <w:top w:val="single" w:sz="4" w:space="0" w:color="auto"/>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color w:val="000000"/>
                <w:sz w:val="18"/>
                <w:szCs w:val="18"/>
              </w:rPr>
            </w:pPr>
            <w:r w:rsidRPr="00B30D2B">
              <w:rPr>
                <w:rFonts w:eastAsia="Times New Roman" w:cs="Times New Roman"/>
                <w:b/>
                <w:bCs/>
                <w:color w:val="000000"/>
                <w:sz w:val="18"/>
                <w:szCs w:val="18"/>
              </w:rPr>
              <w:t>Целева стойност</w:t>
            </w:r>
          </w:p>
        </w:tc>
      </w:tr>
      <w:tr w:rsidR="00F463C9" w:rsidRPr="00B30D2B" w:rsidTr="00034C85">
        <w:trPr>
          <w:trHeight w:val="540"/>
          <w:tblHeader/>
        </w:trPr>
        <w:tc>
          <w:tcPr>
            <w:tcW w:w="2279"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color w:val="000000"/>
                <w:sz w:val="18"/>
                <w:szCs w:val="18"/>
              </w:rPr>
            </w:pPr>
            <w:r w:rsidRPr="00B30D2B">
              <w:rPr>
                <w:rFonts w:eastAsia="Times New Roman" w:cs="Times New Roman"/>
                <w:b/>
                <w:bCs/>
                <w:color w:val="000000"/>
                <w:sz w:val="18"/>
                <w:szCs w:val="18"/>
              </w:rPr>
              <w:t>Наименование на индикатора</w:t>
            </w:r>
          </w:p>
        </w:tc>
        <w:tc>
          <w:tcPr>
            <w:tcW w:w="725" w:type="pct"/>
            <w:vMerge/>
            <w:tcBorders>
              <w:top w:val="single" w:sz="4" w:space="0" w:color="auto"/>
              <w:left w:val="nil"/>
              <w:bottom w:val="single" w:sz="4" w:space="0" w:color="auto"/>
              <w:right w:val="nil"/>
            </w:tcBorders>
            <w:shd w:val="clear" w:color="auto" w:fill="F2F2F2"/>
            <w:vAlign w:val="center"/>
            <w:hideMark/>
          </w:tcPr>
          <w:p w:rsidR="00F463C9" w:rsidRPr="00B30D2B" w:rsidRDefault="00F463C9" w:rsidP="00064BF8">
            <w:pPr>
              <w:spacing w:after="0"/>
              <w:rPr>
                <w:rFonts w:eastAsia="Times New Roman" w:cs="Times New Roman"/>
                <w:b/>
                <w:bCs/>
                <w:color w:val="000000"/>
                <w:sz w:val="18"/>
                <w:szCs w:val="18"/>
              </w:rPr>
            </w:pPr>
          </w:p>
        </w:tc>
        <w:tc>
          <w:tcPr>
            <w:tcW w:w="517"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Програма 2019 г.</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Про</w:t>
            </w:r>
            <w:r w:rsidR="00CE2D55">
              <w:rPr>
                <w:rFonts w:eastAsia="Times New Roman" w:cs="Times New Roman"/>
                <w:b/>
                <w:bCs/>
                <w:i/>
                <w:iCs/>
                <w:color w:val="000000"/>
                <w:sz w:val="18"/>
                <w:szCs w:val="18"/>
              </w:rPr>
              <w:t>ект</w:t>
            </w:r>
            <w:r w:rsidRPr="00B30D2B">
              <w:rPr>
                <w:rFonts w:eastAsia="Times New Roman" w:cs="Times New Roman"/>
                <w:b/>
                <w:bCs/>
                <w:i/>
                <w:iCs/>
                <w:color w:val="000000"/>
                <w:sz w:val="18"/>
                <w:szCs w:val="18"/>
              </w:rPr>
              <w:t xml:space="preserve"> 2020 г.</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Прогноза 2021 г.</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Прогноза 2022 г.</w:t>
            </w:r>
          </w:p>
        </w:tc>
      </w:tr>
      <w:tr w:rsidR="00F463C9" w:rsidRPr="00B30D2B" w:rsidTr="00034C85">
        <w:trPr>
          <w:trHeight w:val="510"/>
        </w:trPr>
        <w:tc>
          <w:tcPr>
            <w:tcW w:w="2279" w:type="pct"/>
            <w:tcBorders>
              <w:top w:val="single" w:sz="4" w:space="0" w:color="auto"/>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r w:rsidRPr="00B30D2B">
              <w:rPr>
                <w:rFonts w:eastAsia="Times New Roman" w:cs="Times New Roman"/>
                <w:sz w:val="18"/>
                <w:szCs w:val="18"/>
              </w:rPr>
              <w:t>1. Дял на преждевременно напусналите образователната система</w:t>
            </w:r>
          </w:p>
        </w:tc>
        <w:tc>
          <w:tcPr>
            <w:tcW w:w="725" w:type="pct"/>
            <w:tcBorders>
              <w:top w:val="single" w:sz="4" w:space="0" w:color="auto"/>
              <w:left w:val="nil"/>
              <w:bottom w:val="nil"/>
              <w:right w:val="nil"/>
            </w:tcBorders>
            <w:shd w:val="clear" w:color="auto" w:fill="F2F2F2"/>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w:t>
            </w:r>
          </w:p>
        </w:tc>
        <w:tc>
          <w:tcPr>
            <w:tcW w:w="517" w:type="pct"/>
            <w:tcBorders>
              <w:top w:val="single" w:sz="4" w:space="0" w:color="auto"/>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11,6</w:t>
            </w:r>
          </w:p>
        </w:tc>
        <w:tc>
          <w:tcPr>
            <w:tcW w:w="493" w:type="pct"/>
            <w:tcBorders>
              <w:top w:val="single" w:sz="4" w:space="0" w:color="auto"/>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11</w:t>
            </w:r>
            <w:r>
              <w:rPr>
                <w:rFonts w:eastAsia="Times New Roman" w:cs="Times New Roman"/>
                <w:sz w:val="18"/>
                <w:szCs w:val="18"/>
              </w:rPr>
              <w:t>,0</w:t>
            </w:r>
          </w:p>
        </w:tc>
        <w:tc>
          <w:tcPr>
            <w:tcW w:w="493" w:type="pct"/>
            <w:tcBorders>
              <w:top w:val="single" w:sz="4" w:space="0" w:color="auto"/>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10,6</w:t>
            </w:r>
          </w:p>
        </w:tc>
        <w:tc>
          <w:tcPr>
            <w:tcW w:w="493" w:type="pct"/>
            <w:tcBorders>
              <w:top w:val="single" w:sz="4" w:space="0" w:color="auto"/>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под 10,6</w:t>
            </w:r>
          </w:p>
        </w:tc>
      </w:tr>
      <w:tr w:rsidR="00F463C9" w:rsidRPr="00B30D2B" w:rsidTr="00064BF8">
        <w:trPr>
          <w:trHeight w:val="1020"/>
        </w:trPr>
        <w:tc>
          <w:tcPr>
            <w:tcW w:w="2279"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r w:rsidRPr="00B30D2B">
              <w:rPr>
                <w:rFonts w:eastAsia="Times New Roman" w:cs="Times New Roman"/>
                <w:sz w:val="18"/>
                <w:szCs w:val="18"/>
              </w:rPr>
              <w:t>2. Дял на обхванатите в предучилищното възпитание и подготовка деца на възраст от 4 г. до постъпване в първи клас от 87,8% през 2012 г. на 90% през 2020 г.</w:t>
            </w:r>
          </w:p>
        </w:tc>
        <w:tc>
          <w:tcPr>
            <w:tcW w:w="725" w:type="pct"/>
            <w:tcBorders>
              <w:top w:val="nil"/>
              <w:left w:val="nil"/>
              <w:bottom w:val="nil"/>
              <w:right w:val="nil"/>
            </w:tcBorders>
            <w:shd w:val="clear" w:color="auto" w:fill="F2F2F2"/>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w:t>
            </w:r>
          </w:p>
        </w:tc>
        <w:tc>
          <w:tcPr>
            <w:tcW w:w="517"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88,9</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90</w:t>
            </w:r>
            <w:r>
              <w:rPr>
                <w:rFonts w:eastAsia="Times New Roman" w:cs="Times New Roman"/>
                <w:sz w:val="18"/>
                <w:szCs w:val="18"/>
              </w:rPr>
              <w:t>,0</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90,2</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над 90,2</w:t>
            </w:r>
          </w:p>
        </w:tc>
      </w:tr>
      <w:tr w:rsidR="00F463C9" w:rsidRPr="00B30D2B" w:rsidTr="00064BF8">
        <w:trPr>
          <w:trHeight w:val="300"/>
        </w:trPr>
        <w:tc>
          <w:tcPr>
            <w:tcW w:w="2279"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r w:rsidRPr="00B30D2B">
              <w:rPr>
                <w:rFonts w:eastAsia="Times New Roman" w:cs="Times New Roman"/>
                <w:sz w:val="18"/>
                <w:szCs w:val="18"/>
              </w:rPr>
              <w:t>3. Дял на 15 годишните със слаби постижения по:</w:t>
            </w:r>
          </w:p>
        </w:tc>
        <w:tc>
          <w:tcPr>
            <w:tcW w:w="725" w:type="pct"/>
            <w:tcBorders>
              <w:top w:val="nil"/>
              <w:left w:val="nil"/>
              <w:bottom w:val="nil"/>
              <w:right w:val="nil"/>
            </w:tcBorders>
            <w:shd w:val="clear" w:color="auto" w:fill="F2F2F2"/>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p>
        </w:tc>
        <w:tc>
          <w:tcPr>
            <w:tcW w:w="517"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 </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 </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r w:rsidRPr="00B30D2B">
              <w:rPr>
                <w:rFonts w:eastAsia="Times New Roman" w:cs="Times New Roman"/>
                <w:sz w:val="18"/>
                <w:szCs w:val="18"/>
              </w:rPr>
              <w:t> </w:t>
            </w:r>
          </w:p>
        </w:tc>
        <w:tc>
          <w:tcPr>
            <w:tcW w:w="493" w:type="pct"/>
            <w:tcBorders>
              <w:top w:val="nil"/>
              <w:left w:val="nil"/>
              <w:bottom w:val="nil"/>
              <w:right w:val="nil"/>
            </w:tcBorders>
            <w:shd w:val="clear" w:color="auto" w:fill="auto"/>
            <w:noWrap/>
            <w:vAlign w:val="bottom"/>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p>
        </w:tc>
      </w:tr>
      <w:tr w:rsidR="00F463C9" w:rsidRPr="00B30D2B" w:rsidTr="00064BF8">
        <w:trPr>
          <w:trHeight w:val="510"/>
        </w:trPr>
        <w:tc>
          <w:tcPr>
            <w:tcW w:w="2279"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r w:rsidRPr="00B30D2B">
              <w:rPr>
                <w:rFonts w:eastAsia="Times New Roman" w:cs="Times New Roman"/>
                <w:sz w:val="18"/>
                <w:szCs w:val="18"/>
              </w:rPr>
              <w:t>3.1. четене от 39,4% през 2012 г. на 30% през 2020 г.;</w:t>
            </w:r>
          </w:p>
        </w:tc>
        <w:tc>
          <w:tcPr>
            <w:tcW w:w="725" w:type="pct"/>
            <w:tcBorders>
              <w:top w:val="nil"/>
              <w:left w:val="nil"/>
              <w:bottom w:val="nil"/>
              <w:right w:val="nil"/>
            </w:tcBorders>
            <w:shd w:val="clear" w:color="auto" w:fill="F2F2F2"/>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w:t>
            </w:r>
          </w:p>
        </w:tc>
        <w:tc>
          <w:tcPr>
            <w:tcW w:w="517"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32,88</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30</w:t>
            </w:r>
            <w:r>
              <w:rPr>
                <w:rFonts w:eastAsia="Times New Roman" w:cs="Times New Roman"/>
                <w:sz w:val="18"/>
                <w:szCs w:val="18"/>
              </w:rPr>
              <w:t>,0</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28</w:t>
            </w:r>
            <w:r>
              <w:rPr>
                <w:rFonts w:eastAsia="Times New Roman" w:cs="Times New Roman"/>
                <w:sz w:val="18"/>
                <w:szCs w:val="18"/>
              </w:rPr>
              <w:t>,0</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под 28</w:t>
            </w:r>
          </w:p>
        </w:tc>
      </w:tr>
      <w:tr w:rsidR="00F463C9" w:rsidRPr="00B30D2B" w:rsidTr="00064BF8">
        <w:trPr>
          <w:trHeight w:val="510"/>
        </w:trPr>
        <w:tc>
          <w:tcPr>
            <w:tcW w:w="2279"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r w:rsidRPr="00B30D2B">
              <w:rPr>
                <w:rFonts w:eastAsia="Times New Roman" w:cs="Times New Roman"/>
                <w:sz w:val="18"/>
                <w:szCs w:val="18"/>
              </w:rPr>
              <w:t>3.2. математика от 43,8% през 2012 г. на 35% през 2020 г.;</w:t>
            </w:r>
          </w:p>
        </w:tc>
        <w:tc>
          <w:tcPr>
            <w:tcW w:w="725" w:type="pct"/>
            <w:tcBorders>
              <w:top w:val="nil"/>
              <w:left w:val="nil"/>
              <w:bottom w:val="nil"/>
              <w:right w:val="nil"/>
            </w:tcBorders>
            <w:shd w:val="clear" w:color="auto" w:fill="F2F2F2"/>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w:t>
            </w:r>
          </w:p>
        </w:tc>
        <w:tc>
          <w:tcPr>
            <w:tcW w:w="517"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37,20</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35</w:t>
            </w:r>
            <w:r>
              <w:rPr>
                <w:rFonts w:eastAsia="Times New Roman" w:cs="Times New Roman"/>
                <w:sz w:val="18"/>
                <w:szCs w:val="18"/>
              </w:rPr>
              <w:t>,0</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34,8</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под 34,8</w:t>
            </w:r>
          </w:p>
        </w:tc>
      </w:tr>
      <w:tr w:rsidR="00F463C9" w:rsidRPr="00B30D2B" w:rsidTr="00064BF8">
        <w:trPr>
          <w:trHeight w:val="510"/>
        </w:trPr>
        <w:tc>
          <w:tcPr>
            <w:tcW w:w="2279"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r w:rsidRPr="00B30D2B">
              <w:rPr>
                <w:rFonts w:eastAsia="Times New Roman" w:cs="Times New Roman"/>
                <w:sz w:val="18"/>
                <w:szCs w:val="18"/>
              </w:rPr>
              <w:t>3.3. природни науки от 36,9% през 2012 г. на 30,0% през 2020 г.</w:t>
            </w:r>
          </w:p>
        </w:tc>
        <w:tc>
          <w:tcPr>
            <w:tcW w:w="725" w:type="pct"/>
            <w:tcBorders>
              <w:top w:val="nil"/>
              <w:left w:val="nil"/>
              <w:bottom w:val="nil"/>
              <w:right w:val="nil"/>
            </w:tcBorders>
            <w:shd w:val="clear" w:color="auto" w:fill="F2F2F2"/>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w:t>
            </w:r>
          </w:p>
        </w:tc>
        <w:tc>
          <w:tcPr>
            <w:tcW w:w="517"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31,95</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30</w:t>
            </w:r>
            <w:r>
              <w:rPr>
                <w:rFonts w:eastAsia="Times New Roman" w:cs="Times New Roman"/>
                <w:sz w:val="18"/>
                <w:szCs w:val="18"/>
              </w:rPr>
              <w:t>,0</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28</w:t>
            </w:r>
            <w:r>
              <w:rPr>
                <w:rFonts w:eastAsia="Times New Roman" w:cs="Times New Roman"/>
                <w:sz w:val="18"/>
                <w:szCs w:val="18"/>
              </w:rPr>
              <w:t>,0</w:t>
            </w:r>
          </w:p>
        </w:tc>
        <w:tc>
          <w:tcPr>
            <w:tcW w:w="493" w:type="pct"/>
            <w:tcBorders>
              <w:top w:val="nil"/>
              <w:left w:val="nil"/>
              <w:bottom w:val="nil"/>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под 28</w:t>
            </w:r>
          </w:p>
        </w:tc>
      </w:tr>
      <w:tr w:rsidR="00F463C9" w:rsidRPr="00B30D2B" w:rsidTr="00064BF8">
        <w:trPr>
          <w:trHeight w:val="765"/>
        </w:trPr>
        <w:tc>
          <w:tcPr>
            <w:tcW w:w="2279" w:type="pct"/>
            <w:tcBorders>
              <w:top w:val="nil"/>
              <w:left w:val="nil"/>
              <w:bottom w:val="single" w:sz="4" w:space="0" w:color="auto"/>
              <w:right w:val="nil"/>
            </w:tcBorders>
            <w:shd w:val="clear" w:color="000000" w:fill="FFFFFF"/>
            <w:hideMark/>
          </w:tcPr>
          <w:p w:rsidR="00F463C9" w:rsidRPr="00B30D2B" w:rsidRDefault="00F463C9" w:rsidP="00064BF8">
            <w:pPr>
              <w:widowControl w:val="0"/>
              <w:autoSpaceDE w:val="0"/>
              <w:autoSpaceDN w:val="0"/>
              <w:adjustRightInd w:val="0"/>
              <w:spacing w:after="0"/>
              <w:rPr>
                <w:rFonts w:eastAsia="Times New Roman" w:cs="Times New Roman"/>
                <w:sz w:val="18"/>
                <w:szCs w:val="18"/>
              </w:rPr>
            </w:pPr>
            <w:r w:rsidRPr="00B30D2B">
              <w:rPr>
                <w:rFonts w:eastAsia="Times New Roman" w:cs="Times New Roman"/>
                <w:sz w:val="18"/>
                <w:szCs w:val="18"/>
              </w:rPr>
              <w:t xml:space="preserve">4. Участие на населението на 25-64 навършени години в образование и обучение от 1,7% през 2012 г. на повече от 5% през 2020 г. </w:t>
            </w:r>
          </w:p>
        </w:tc>
        <w:tc>
          <w:tcPr>
            <w:tcW w:w="725" w:type="pct"/>
            <w:tcBorders>
              <w:top w:val="nil"/>
              <w:left w:val="nil"/>
              <w:bottom w:val="single" w:sz="4" w:space="0" w:color="auto"/>
              <w:right w:val="nil"/>
            </w:tcBorders>
            <w:shd w:val="clear" w:color="auto" w:fill="F2F2F2"/>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w:t>
            </w:r>
          </w:p>
        </w:tc>
        <w:tc>
          <w:tcPr>
            <w:tcW w:w="517" w:type="pct"/>
            <w:tcBorders>
              <w:top w:val="nil"/>
              <w:left w:val="nil"/>
              <w:bottom w:val="single" w:sz="4" w:space="0" w:color="auto"/>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4,1</w:t>
            </w:r>
          </w:p>
        </w:tc>
        <w:tc>
          <w:tcPr>
            <w:tcW w:w="493" w:type="pct"/>
            <w:tcBorders>
              <w:top w:val="nil"/>
              <w:left w:val="nil"/>
              <w:bottom w:val="single" w:sz="4" w:space="0" w:color="auto"/>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5</w:t>
            </w:r>
            <w:r>
              <w:rPr>
                <w:rFonts w:eastAsia="Times New Roman" w:cs="Times New Roman"/>
                <w:sz w:val="18"/>
                <w:szCs w:val="18"/>
              </w:rPr>
              <w:t>,0</w:t>
            </w:r>
          </w:p>
        </w:tc>
        <w:tc>
          <w:tcPr>
            <w:tcW w:w="493" w:type="pct"/>
            <w:tcBorders>
              <w:top w:val="nil"/>
              <w:left w:val="nil"/>
              <w:bottom w:val="single" w:sz="4" w:space="0" w:color="auto"/>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5,1</w:t>
            </w:r>
          </w:p>
        </w:tc>
        <w:tc>
          <w:tcPr>
            <w:tcW w:w="493" w:type="pct"/>
            <w:tcBorders>
              <w:top w:val="nil"/>
              <w:left w:val="nil"/>
              <w:bottom w:val="single" w:sz="4" w:space="0" w:color="auto"/>
              <w:right w:val="nil"/>
            </w:tcBorders>
            <w:shd w:val="clear" w:color="000000" w:fill="FFFFFF"/>
            <w:hideMark/>
          </w:tcPr>
          <w:p w:rsidR="00F463C9" w:rsidRPr="00B30D2B" w:rsidRDefault="00F463C9" w:rsidP="00064BF8">
            <w:pPr>
              <w:widowControl w:val="0"/>
              <w:autoSpaceDE w:val="0"/>
              <w:autoSpaceDN w:val="0"/>
              <w:adjustRightInd w:val="0"/>
              <w:spacing w:after="0"/>
              <w:jc w:val="center"/>
              <w:rPr>
                <w:rFonts w:eastAsia="Times New Roman" w:cs="Times New Roman"/>
                <w:sz w:val="18"/>
                <w:szCs w:val="18"/>
              </w:rPr>
            </w:pPr>
            <w:r w:rsidRPr="00B30D2B">
              <w:rPr>
                <w:rFonts w:eastAsia="Times New Roman" w:cs="Times New Roman"/>
                <w:sz w:val="18"/>
                <w:szCs w:val="18"/>
              </w:rPr>
              <w:t>над 5,1</w:t>
            </w:r>
          </w:p>
        </w:tc>
      </w:tr>
    </w:tbl>
    <w:p w:rsidR="00B974F4" w:rsidRDefault="00B974F4" w:rsidP="00B974F4">
      <w:pPr>
        <w:spacing w:after="120"/>
        <w:rPr>
          <w:szCs w:val="24"/>
        </w:rPr>
      </w:pPr>
    </w:p>
    <w:p w:rsidR="00F463C9" w:rsidRPr="00B30D2B" w:rsidRDefault="00F463C9" w:rsidP="00F463C9">
      <w:pPr>
        <w:spacing w:before="120" w:after="120"/>
        <w:rPr>
          <w:rFonts w:eastAsia="Times New Roman" w:cs="Times New Roman"/>
          <w:szCs w:val="24"/>
        </w:rPr>
      </w:pPr>
      <w:r w:rsidRPr="00B30D2B">
        <w:rPr>
          <w:rFonts w:eastAsia="Times New Roman" w:cs="Times New Roman"/>
          <w:szCs w:val="24"/>
        </w:rPr>
        <w:t>Основно средствата от държавния бюджет за изпълнението на политиката включват четирите стълба на финансиране на системата съгласно Закона за предучилищното и училищното образование.</w:t>
      </w:r>
    </w:p>
    <w:p w:rsidR="00F463C9" w:rsidRPr="00B30D2B" w:rsidRDefault="00F463C9" w:rsidP="00F463C9">
      <w:pPr>
        <w:spacing w:after="120"/>
        <w:rPr>
          <w:rFonts w:eastAsia="Times New Roman" w:cs="Times New Roman"/>
          <w:szCs w:val="24"/>
        </w:rPr>
      </w:pPr>
      <w:r w:rsidRPr="00B30D2B">
        <w:rPr>
          <w:rFonts w:eastAsia="Times New Roman" w:cs="Times New Roman"/>
          <w:i/>
          <w:szCs w:val="24"/>
        </w:rPr>
        <w:t xml:space="preserve">Първият стълб </w:t>
      </w:r>
      <w:r w:rsidRPr="00B30D2B">
        <w:rPr>
          <w:rFonts w:eastAsia="Times New Roman" w:cs="Times New Roman"/>
          <w:szCs w:val="24"/>
        </w:rPr>
        <w:t xml:space="preserve">включва средствата за издръжка на дейностите по възпитание и обучение на децата и учениците, които се определят </w:t>
      </w:r>
      <w:r w:rsidR="00EE4879" w:rsidRPr="00B30D2B">
        <w:rPr>
          <w:rFonts w:eastAsia="Times New Roman" w:cs="Times New Roman"/>
          <w:szCs w:val="24"/>
        </w:rPr>
        <w:t xml:space="preserve">от Министерския съвет </w:t>
      </w:r>
      <w:r w:rsidRPr="00B30D2B">
        <w:rPr>
          <w:rFonts w:eastAsia="Times New Roman" w:cs="Times New Roman"/>
          <w:szCs w:val="24"/>
        </w:rPr>
        <w:t>въз основа на стандарти за финансиране, на броя на институциите, паралелките и на децата и учениците.</w:t>
      </w:r>
    </w:p>
    <w:p w:rsidR="00F463C9" w:rsidRPr="00B30D2B" w:rsidRDefault="003A0A4E" w:rsidP="00F463C9">
      <w:pPr>
        <w:spacing w:after="120"/>
        <w:rPr>
          <w:rFonts w:eastAsia="Times New Roman" w:cs="Times New Roman"/>
          <w:szCs w:val="24"/>
        </w:rPr>
      </w:pPr>
      <w:r>
        <w:rPr>
          <w:rFonts w:eastAsia="Times New Roman" w:cs="Times New Roman"/>
          <w:szCs w:val="24"/>
        </w:rPr>
        <w:t>П</w:t>
      </w:r>
      <w:r w:rsidRPr="00B30D2B">
        <w:rPr>
          <w:rFonts w:eastAsia="Times New Roman" w:cs="Times New Roman"/>
          <w:szCs w:val="24"/>
        </w:rPr>
        <w:t xml:space="preserve">редвижда </w:t>
      </w:r>
      <w:r>
        <w:rPr>
          <w:rFonts w:eastAsia="Times New Roman" w:cs="Times New Roman"/>
          <w:szCs w:val="24"/>
        </w:rPr>
        <w:t>се</w:t>
      </w:r>
      <w:r w:rsidRPr="00B30D2B">
        <w:rPr>
          <w:rFonts w:eastAsia="Times New Roman" w:cs="Times New Roman"/>
          <w:szCs w:val="24"/>
        </w:rPr>
        <w:t xml:space="preserve"> увеличение на средствата за издръжка на дейностите по възпитание и обучение на децата и учениците с 360,0 млн. лв. за 2020</w:t>
      </w:r>
      <w:r>
        <w:rPr>
          <w:rFonts w:eastAsia="Times New Roman" w:cs="Times New Roman"/>
          <w:szCs w:val="24"/>
        </w:rPr>
        <w:t xml:space="preserve"> г.</w:t>
      </w:r>
      <w:r w:rsidRPr="00B30D2B">
        <w:rPr>
          <w:rFonts w:eastAsia="Times New Roman" w:cs="Times New Roman"/>
          <w:szCs w:val="24"/>
        </w:rPr>
        <w:t xml:space="preserve"> и допълнителни 360,0 млн. лв. </w:t>
      </w:r>
      <w:r>
        <w:rPr>
          <w:rFonts w:eastAsia="Times New Roman" w:cs="Times New Roman"/>
          <w:szCs w:val="24"/>
        </w:rPr>
        <w:t xml:space="preserve">за </w:t>
      </w:r>
      <w:r w:rsidRPr="00B30D2B">
        <w:rPr>
          <w:rFonts w:eastAsia="Times New Roman" w:cs="Times New Roman"/>
          <w:szCs w:val="24"/>
        </w:rPr>
        <w:t>2021 г. С тези средства е предвидено увеличение на възнагражденията на педагогическите специалисти, като през 2021 г. ще бъде постигнато удвояване на средствата за възнаграждения спрямо 2017 г.</w:t>
      </w:r>
    </w:p>
    <w:p w:rsidR="00F463C9" w:rsidRPr="00B70154" w:rsidRDefault="00F463C9" w:rsidP="00F463C9">
      <w:pPr>
        <w:spacing w:after="120"/>
        <w:rPr>
          <w:rFonts w:eastAsia="Times New Roman" w:cs="Times New Roman"/>
          <w:szCs w:val="24"/>
        </w:rPr>
      </w:pPr>
      <w:r w:rsidRPr="00B70154">
        <w:rPr>
          <w:rFonts w:eastAsia="Times New Roman" w:cs="Times New Roman"/>
          <w:szCs w:val="24"/>
        </w:rPr>
        <w:t>Една от целите е да се привлекат млади хора към професията. Сега те са около 11% от общия брой на педагогическите специалисти, а през следващите 8 години пред</w:t>
      </w:r>
      <w:r w:rsidR="009A5CB2">
        <w:rPr>
          <w:rFonts w:eastAsia="Times New Roman" w:cs="Times New Roman"/>
          <w:szCs w:val="24"/>
        </w:rPr>
        <w:t>стои да се пенсионират около 36</w:t>
      </w:r>
      <w:r w:rsidRPr="00B70154">
        <w:rPr>
          <w:rFonts w:eastAsia="Times New Roman" w:cs="Times New Roman"/>
          <w:szCs w:val="24"/>
        </w:rPr>
        <w:t>% от български</w:t>
      </w:r>
      <w:r w:rsidR="00834F2C">
        <w:rPr>
          <w:rFonts w:eastAsia="Times New Roman" w:cs="Times New Roman"/>
          <w:szCs w:val="24"/>
        </w:rPr>
        <w:t>те</w:t>
      </w:r>
      <w:r w:rsidRPr="00B70154">
        <w:rPr>
          <w:rFonts w:eastAsia="Times New Roman" w:cs="Times New Roman"/>
          <w:szCs w:val="24"/>
        </w:rPr>
        <w:t xml:space="preserve"> учители.</w:t>
      </w:r>
    </w:p>
    <w:p w:rsidR="00F463C9" w:rsidRPr="00B30D2B" w:rsidRDefault="00F463C9" w:rsidP="00F463C9">
      <w:pPr>
        <w:spacing w:after="120"/>
        <w:rPr>
          <w:rFonts w:eastAsia="Times New Roman" w:cs="Times New Roman"/>
          <w:szCs w:val="24"/>
        </w:rPr>
      </w:pPr>
      <w:r w:rsidRPr="00B30D2B">
        <w:rPr>
          <w:rFonts w:eastAsia="Times New Roman" w:cs="Times New Roman"/>
          <w:szCs w:val="24"/>
        </w:rPr>
        <w:t xml:space="preserve">Като част от политиката по доходите на педагогическите специалисти за периода 2020-2022 г. се предвижда да се запази механизмът за предоставянето на допълнителни средства за работа с деца и ученици от уязвими групи. </w:t>
      </w:r>
    </w:p>
    <w:p w:rsidR="00F463C9" w:rsidRDefault="00F463C9" w:rsidP="00F463C9">
      <w:pPr>
        <w:spacing w:after="120"/>
        <w:rPr>
          <w:rFonts w:eastAsia="Times New Roman" w:cs="Times New Roman"/>
          <w:szCs w:val="24"/>
        </w:rPr>
      </w:pPr>
      <w:r w:rsidRPr="00B30D2B">
        <w:rPr>
          <w:rFonts w:eastAsia="Times New Roman" w:cs="Times New Roman"/>
          <w:szCs w:val="24"/>
        </w:rPr>
        <w:t xml:space="preserve">Като част от мерките за разширяване на професионалното образование за периода 2020-2022 г. е и включването на по-голям брой ученици в дуална форма на обучение. </w:t>
      </w:r>
    </w:p>
    <w:p w:rsidR="00F463C9" w:rsidRPr="00B30D2B" w:rsidRDefault="00F463C9" w:rsidP="00F463C9">
      <w:pPr>
        <w:spacing w:after="120"/>
        <w:rPr>
          <w:rFonts w:eastAsia="Times New Roman" w:cs="Times New Roman"/>
          <w:szCs w:val="24"/>
        </w:rPr>
      </w:pPr>
      <w:r w:rsidRPr="00B30D2B">
        <w:rPr>
          <w:rFonts w:eastAsia="Times New Roman" w:cs="Times New Roman"/>
          <w:i/>
          <w:szCs w:val="24"/>
        </w:rPr>
        <w:t>Вторият стълб</w:t>
      </w:r>
      <w:r w:rsidRPr="00B30D2B">
        <w:rPr>
          <w:rFonts w:eastAsia="Times New Roman" w:cs="Times New Roman"/>
          <w:szCs w:val="24"/>
        </w:rPr>
        <w:t xml:space="preserve"> включва средствата за подпомагане на равния достъп и подкрепа за личностно развитие. </w:t>
      </w:r>
    </w:p>
    <w:p w:rsidR="00F463C9" w:rsidRDefault="00F463C9" w:rsidP="00F463C9">
      <w:pPr>
        <w:spacing w:after="120"/>
        <w:rPr>
          <w:rFonts w:eastAsia="Times New Roman" w:cs="Times New Roman"/>
          <w:szCs w:val="24"/>
        </w:rPr>
      </w:pPr>
      <w:r w:rsidRPr="001476A8">
        <w:rPr>
          <w:rFonts w:eastAsia="Times New Roman" w:cs="Times New Roman"/>
          <w:szCs w:val="24"/>
        </w:rPr>
        <w:t>За периода 2020-202</w:t>
      </w:r>
      <w:r w:rsidR="005C5345">
        <w:rPr>
          <w:rFonts w:eastAsia="Times New Roman" w:cs="Times New Roman"/>
          <w:szCs w:val="24"/>
        </w:rPr>
        <w:t>2</w:t>
      </w:r>
      <w:r w:rsidRPr="001476A8">
        <w:rPr>
          <w:rFonts w:eastAsia="Times New Roman" w:cs="Times New Roman"/>
          <w:szCs w:val="24"/>
        </w:rPr>
        <w:t xml:space="preserve"> г. </w:t>
      </w:r>
      <w:r>
        <w:rPr>
          <w:rFonts w:eastAsia="Times New Roman" w:cs="Times New Roman"/>
          <w:szCs w:val="24"/>
        </w:rPr>
        <w:t>е</w:t>
      </w:r>
      <w:r w:rsidRPr="001476A8">
        <w:rPr>
          <w:rFonts w:eastAsia="Times New Roman" w:cs="Times New Roman"/>
          <w:szCs w:val="24"/>
        </w:rPr>
        <w:t xml:space="preserve"> предвиден</w:t>
      </w:r>
      <w:r>
        <w:rPr>
          <w:rFonts w:eastAsia="Times New Roman" w:cs="Times New Roman"/>
          <w:szCs w:val="24"/>
        </w:rPr>
        <w:t>о</w:t>
      </w:r>
      <w:r w:rsidRPr="001476A8">
        <w:rPr>
          <w:rFonts w:eastAsia="Times New Roman" w:cs="Times New Roman"/>
          <w:szCs w:val="24"/>
        </w:rPr>
        <w:t xml:space="preserve"> </w:t>
      </w:r>
      <w:r w:rsidRPr="00B30D2B">
        <w:rPr>
          <w:rFonts w:eastAsia="Times New Roman" w:cs="Times New Roman"/>
          <w:szCs w:val="24"/>
        </w:rPr>
        <w:t xml:space="preserve">да продължат дейностите по създадения Механизъм за съвместна работа на институциите по обхват и включване в образователната система на децата и учениците в задължителна предучилищна и училищна възраст, като до момента са върнати обратно или записани за първи път в образователната система </w:t>
      </w:r>
      <w:r w:rsidRPr="00B70154">
        <w:rPr>
          <w:rFonts w:eastAsia="Times New Roman" w:cs="Times New Roman"/>
          <w:szCs w:val="24"/>
        </w:rPr>
        <w:t xml:space="preserve">общо 44 хил. деца и ученици. </w:t>
      </w:r>
    </w:p>
    <w:p w:rsidR="00F463C9" w:rsidRDefault="00F463C9" w:rsidP="00F463C9">
      <w:pPr>
        <w:spacing w:after="120"/>
        <w:rPr>
          <w:rFonts w:eastAsia="Times New Roman" w:cs="Times New Roman"/>
          <w:szCs w:val="24"/>
        </w:rPr>
      </w:pPr>
      <w:r w:rsidRPr="00D82335">
        <w:rPr>
          <w:rFonts w:eastAsia="Times New Roman" w:cs="Times New Roman"/>
          <w:szCs w:val="24"/>
        </w:rPr>
        <w:t>За подобряване на условията в ученически</w:t>
      </w:r>
      <w:r w:rsidR="00EE4879">
        <w:rPr>
          <w:rFonts w:eastAsia="Times New Roman" w:cs="Times New Roman"/>
          <w:szCs w:val="24"/>
        </w:rPr>
        <w:t>те</w:t>
      </w:r>
      <w:r w:rsidRPr="00D82335">
        <w:rPr>
          <w:rFonts w:eastAsia="Times New Roman" w:cs="Times New Roman"/>
          <w:szCs w:val="24"/>
        </w:rPr>
        <w:t xml:space="preserve"> общежития към професионалните гимназии са предвидени 3,0 млн. лв. Подобрените условия за пребиваване в ученически </w:t>
      </w:r>
      <w:r w:rsidR="00EE4879">
        <w:rPr>
          <w:rFonts w:eastAsia="Times New Roman" w:cs="Times New Roman"/>
          <w:szCs w:val="24"/>
        </w:rPr>
        <w:t>общежития</w:t>
      </w:r>
      <w:r w:rsidRPr="00D82335">
        <w:rPr>
          <w:rFonts w:eastAsia="Times New Roman" w:cs="Times New Roman"/>
          <w:szCs w:val="24"/>
        </w:rPr>
        <w:t xml:space="preserve"> са предпоставка за повишаване на приема в професионалните гимназии. За икономическото развитие на страната е ключово важно да се привлекат повече деца в технически професионални гимназии за обезпечаване на секторите с най-голям ръст в БВП и износа. С оптимизацията на мрежата от професионални гимнази</w:t>
      </w:r>
      <w:r w:rsidR="00EA2053">
        <w:rPr>
          <w:rFonts w:eastAsia="Times New Roman" w:cs="Times New Roman"/>
          <w:szCs w:val="24"/>
        </w:rPr>
        <w:t>и</w:t>
      </w:r>
      <w:r w:rsidRPr="00D82335">
        <w:rPr>
          <w:rFonts w:eastAsia="Times New Roman" w:cs="Times New Roman"/>
          <w:szCs w:val="24"/>
        </w:rPr>
        <w:t xml:space="preserve"> по-голяма част от действащите имат областно и регионално значени</w:t>
      </w:r>
      <w:r w:rsidR="00EA2053">
        <w:rPr>
          <w:rFonts w:eastAsia="Times New Roman" w:cs="Times New Roman"/>
          <w:szCs w:val="24"/>
        </w:rPr>
        <w:t>е</w:t>
      </w:r>
      <w:r w:rsidRPr="00D82335">
        <w:rPr>
          <w:rFonts w:eastAsia="Times New Roman" w:cs="Times New Roman"/>
          <w:szCs w:val="24"/>
        </w:rPr>
        <w:t>, като обучават деца от повече населени места, до които не е възможно да се пътува ежедневно. В тях се обучават и ученици с относително по-нисък социален статус. Наблюденията показват, че изключително лошото състояние на общежитията е една от основните причини за неизбиране и отпадане от професионалните гимназии.</w:t>
      </w:r>
    </w:p>
    <w:p w:rsidR="00F463C9" w:rsidRDefault="00F463C9" w:rsidP="00F463C9">
      <w:pPr>
        <w:spacing w:after="120"/>
        <w:rPr>
          <w:rFonts w:eastAsia="Times New Roman" w:cs="Times New Roman"/>
          <w:szCs w:val="24"/>
        </w:rPr>
      </w:pPr>
      <w:r w:rsidRPr="001476A8">
        <w:rPr>
          <w:rFonts w:eastAsia="Times New Roman" w:cs="Times New Roman"/>
          <w:szCs w:val="24"/>
        </w:rPr>
        <w:t>За изготвяне на образователно</w:t>
      </w:r>
      <w:r w:rsidR="00C22539">
        <w:rPr>
          <w:rFonts w:eastAsia="Times New Roman" w:cs="Times New Roman"/>
          <w:szCs w:val="24"/>
        </w:rPr>
        <w:t>то</w:t>
      </w:r>
      <w:r w:rsidRPr="001476A8">
        <w:rPr>
          <w:rFonts w:eastAsia="Times New Roman" w:cs="Times New Roman"/>
          <w:szCs w:val="24"/>
        </w:rPr>
        <w:t xml:space="preserve"> съдържание за професионална подготовка са предвидени 2,0 млн. лв. За голяма част от дисциплините в професионална подготовка няма учебници, издадени последните 30 години, поради липсата на икономически интерес в издателствата да го правят и невъзможността да бъдат формирани авторски колективи. Със средствата ще се финансира изготвянето и издаването на електронни и книжни образователни ресурси.  </w:t>
      </w:r>
    </w:p>
    <w:p w:rsidR="00F463C9" w:rsidRPr="00034C85" w:rsidRDefault="00F463C9" w:rsidP="00034C85">
      <w:pPr>
        <w:spacing w:after="120"/>
        <w:rPr>
          <w:rFonts w:eastAsia="Times New Roman" w:cs="Times New Roman"/>
          <w:szCs w:val="24"/>
        </w:rPr>
      </w:pPr>
      <w:r w:rsidRPr="00505870">
        <w:rPr>
          <w:szCs w:val="24"/>
        </w:rPr>
        <w:t xml:space="preserve">Във връзка с нарастващия обем на безплатните превози на децата в задължителна предучилищна възраст и за учениците от населени места, в които няма детска градина или училище, до най-близката детска градина или училище, което провежда обучение в съответната група или в съответния клас, и обратно, се предвижда увеличение на размера на средствата за транспорт на деца и ученици по чл. 283, ал. 2 от Закона за </w:t>
      </w:r>
      <w:r w:rsidRPr="00034C85">
        <w:rPr>
          <w:rFonts w:eastAsia="Times New Roman" w:cs="Times New Roman"/>
          <w:szCs w:val="24"/>
        </w:rPr>
        <w:t>предучилищното и училищното образование спрямо 2019 г. на 44,0 млн. лв. за 2020 г., 44,5 млн. лв. за 2021 г. и 45,5 млн. лв. за 2022 г.</w:t>
      </w:r>
    </w:p>
    <w:p w:rsidR="00F463C9" w:rsidRPr="00B30D2B" w:rsidRDefault="00F463C9" w:rsidP="00F463C9">
      <w:pPr>
        <w:spacing w:after="120"/>
        <w:rPr>
          <w:rFonts w:eastAsia="Times New Roman" w:cs="Times New Roman"/>
          <w:szCs w:val="24"/>
        </w:rPr>
      </w:pPr>
      <w:r w:rsidRPr="00034C85">
        <w:rPr>
          <w:rFonts w:eastAsia="Times New Roman" w:cs="Times New Roman"/>
          <w:i/>
          <w:szCs w:val="24"/>
        </w:rPr>
        <w:t>Третият стълб</w:t>
      </w:r>
      <w:r w:rsidRPr="00B30D2B">
        <w:rPr>
          <w:rFonts w:eastAsia="Times New Roman" w:cs="Times New Roman"/>
          <w:szCs w:val="24"/>
        </w:rPr>
        <w:t xml:space="preserve"> включва средствата за развитие на детските градини, училищата и центровете за подкрепа за личностно развитие. </w:t>
      </w:r>
    </w:p>
    <w:p w:rsidR="00F463C9" w:rsidRPr="00942A82" w:rsidRDefault="00F463C9" w:rsidP="00F463C9">
      <w:pPr>
        <w:spacing w:after="120"/>
        <w:rPr>
          <w:rFonts w:eastAsia="Times New Roman" w:cs="Times New Roman"/>
          <w:szCs w:val="24"/>
        </w:rPr>
      </w:pPr>
      <w:r w:rsidRPr="00942A82">
        <w:rPr>
          <w:rFonts w:eastAsia="Times New Roman" w:cs="Times New Roman"/>
          <w:szCs w:val="24"/>
        </w:rPr>
        <w:t>За компенсирането на разходите за транспорт и/или наем на педагогическите специалисти от местоживеенето до местоработата се планират средства за пътуващи педагогически специалисти в 1 515 детски градини и училища. С тази мярка се обезпечава транспорт до друго населено място на 14 600 учители и заплащането на наем на 65 учители.</w:t>
      </w:r>
    </w:p>
    <w:p w:rsidR="00F463C9" w:rsidRPr="00B30D2B" w:rsidRDefault="00F463C9" w:rsidP="00F463C9">
      <w:pPr>
        <w:spacing w:after="120"/>
        <w:rPr>
          <w:rFonts w:eastAsia="Times New Roman" w:cs="Times New Roman"/>
          <w:szCs w:val="24"/>
        </w:rPr>
      </w:pPr>
      <w:r w:rsidRPr="00B30D2B">
        <w:rPr>
          <w:rFonts w:eastAsia="Times New Roman" w:cs="Times New Roman"/>
          <w:szCs w:val="24"/>
        </w:rPr>
        <w:t>Предвидено е средствата за стипендии за образователни резултати, които се предоставят на училищата на базата на постигнатите и запазени резултати от националните външни оценявания на учениците, да се запазят на 3,0 млн. лв.</w:t>
      </w:r>
    </w:p>
    <w:p w:rsidR="00F463C9" w:rsidRDefault="00F463C9" w:rsidP="00F463C9">
      <w:pPr>
        <w:spacing w:after="120"/>
        <w:rPr>
          <w:rFonts w:eastAsia="Times New Roman" w:cs="Times New Roman"/>
          <w:szCs w:val="24"/>
        </w:rPr>
      </w:pPr>
      <w:r w:rsidRPr="00B30D2B">
        <w:rPr>
          <w:rFonts w:eastAsia="Times New Roman" w:cs="Times New Roman"/>
          <w:i/>
          <w:szCs w:val="24"/>
        </w:rPr>
        <w:t>Четвъртият стълб</w:t>
      </w:r>
      <w:r w:rsidRPr="00B30D2B">
        <w:rPr>
          <w:rFonts w:eastAsia="Times New Roman" w:cs="Times New Roman"/>
          <w:szCs w:val="24"/>
        </w:rPr>
        <w:t xml:space="preserve"> включва разходите за реализиране на национални мерки и дейности, като приоритетно е предвидено да бъдат финансирани мерки за осигуряване на съвременна образователна среда и достъп до информационни технологии, повишаване квалификацията на педагогическите специалисти и обучението на българите в чужбина. </w:t>
      </w:r>
    </w:p>
    <w:p w:rsidR="00F463C9" w:rsidRDefault="00F463C9" w:rsidP="00F463C9">
      <w:pPr>
        <w:spacing w:after="120"/>
        <w:rPr>
          <w:rFonts w:eastAsia="Times New Roman" w:cs="Times New Roman"/>
          <w:szCs w:val="24"/>
        </w:rPr>
      </w:pPr>
      <w:r w:rsidRPr="009948F9">
        <w:rPr>
          <w:rFonts w:eastAsia="Times New Roman" w:cs="Times New Roman"/>
          <w:szCs w:val="24"/>
        </w:rPr>
        <w:t>За финансиране на нова програма за насърчаване на иновативните методи на преподаване са предвидени 4,0 млн. лв.  Неспособността да се мотивират учениците за учене с традиционните методи на преподаване е една от причините системата да не може да подобри резултатите за функционална грамотност. Програмата ще има за цел да стимулира училищата за въвеждане на иновативни методи чрез обучение, обмяна на практики, промени в организацията на класната  стая, оборудване на иновативни класни стаи и т. н.</w:t>
      </w:r>
    </w:p>
    <w:p w:rsidR="00F463C9" w:rsidRPr="009948F9" w:rsidRDefault="00F463C9" w:rsidP="00F463C9">
      <w:pPr>
        <w:spacing w:after="120"/>
        <w:rPr>
          <w:rFonts w:eastAsia="Times New Roman" w:cs="Times New Roman"/>
          <w:szCs w:val="24"/>
        </w:rPr>
      </w:pPr>
      <w:r w:rsidRPr="001476A8">
        <w:rPr>
          <w:rFonts w:eastAsia="Times New Roman" w:cs="Times New Roman"/>
          <w:szCs w:val="24"/>
        </w:rPr>
        <w:t>За програма за модернизиране на центровете за подкрепа за личностно развитие (ЦПЛР) и включването им (между)училищни дейности са предвидени 1,2 млн. лв. ЦПЛР са звена, които могат в значителна степен да съдействат за по-добро реализиране на политиките за разширяване на образователната среда на учениците, развитие на интересите им и мотивиране за учене и осигуряване на личностна подкрепа. За това е необходимо да се инвестира в подобряване на материалната им среда и в дейности за насърчаване на взаимодействие с училищата.</w:t>
      </w:r>
    </w:p>
    <w:p w:rsidR="00F463C9" w:rsidRPr="00942A82" w:rsidRDefault="00F463C9" w:rsidP="00F463C9">
      <w:pPr>
        <w:spacing w:after="120"/>
        <w:rPr>
          <w:rFonts w:eastAsia="Times New Roman" w:cs="Times New Roman"/>
          <w:szCs w:val="24"/>
        </w:rPr>
      </w:pPr>
      <w:r w:rsidRPr="00942A82">
        <w:rPr>
          <w:rFonts w:eastAsia="Times New Roman" w:cs="Times New Roman"/>
          <w:szCs w:val="24"/>
        </w:rPr>
        <w:t xml:space="preserve">За периода 2020-2022 г. се увеличава финансовата подкрепа, с която българската държава спомага за съхраняване на националното самосъзнание, култура и традиции и изучаването на български език и литература, история и география на България на около 30 464 деца, ученици и кандидат-студенти от българските общности в чужбина, обучаващи се в 370 училища-школи и клубове. </w:t>
      </w:r>
    </w:p>
    <w:p w:rsidR="00A276E4" w:rsidRPr="00F576DF" w:rsidRDefault="00A276E4" w:rsidP="00A276E4">
      <w:pPr>
        <w:spacing w:after="120"/>
        <w:rPr>
          <w:szCs w:val="24"/>
        </w:rPr>
      </w:pPr>
      <w:r w:rsidRPr="00F576DF">
        <w:rPr>
          <w:szCs w:val="24"/>
        </w:rPr>
        <w:t xml:space="preserve">В проектобюджета за 2020 г. за </w:t>
      </w:r>
      <w:r w:rsidRPr="00F576DF">
        <w:rPr>
          <w:b/>
          <w:i/>
          <w:szCs w:val="24"/>
        </w:rPr>
        <w:t xml:space="preserve">делегираните от държавата дейности по образование </w:t>
      </w:r>
      <w:r w:rsidRPr="00F576DF">
        <w:rPr>
          <w:szCs w:val="24"/>
        </w:rPr>
        <w:t>средствата за текущи разходи по бюджетите на общините са в общ размер от 2 690,9 млн. лв., като са увеличени с 341,5 млн. лв. спрямо ЗДБРБ за 2019 г. Увеличението е във връзка с политиката за увеличение на доходите на педагогическите специалисти в системата на предучилищното и училищното образование, увеличението на възнагражденията на непедагогическия в системата персонал с 10 на сто и свързания с това ръст на осигурителните вноски от работодателя.</w:t>
      </w:r>
    </w:p>
    <w:p w:rsidR="00A276E4" w:rsidRPr="003C3108" w:rsidRDefault="00A276E4" w:rsidP="00A276E4">
      <w:pPr>
        <w:spacing w:after="120"/>
        <w:rPr>
          <w:szCs w:val="24"/>
        </w:rPr>
      </w:pPr>
      <w:r w:rsidRPr="003C3108">
        <w:rPr>
          <w:szCs w:val="24"/>
        </w:rPr>
        <w:t>Стандартите за финансиране</w:t>
      </w:r>
      <w:r w:rsidR="00E0379B">
        <w:rPr>
          <w:szCs w:val="24"/>
        </w:rPr>
        <w:t xml:space="preserve"> на детските градини са увеличени</w:t>
      </w:r>
      <w:r w:rsidRPr="003C3108">
        <w:rPr>
          <w:szCs w:val="24"/>
        </w:rPr>
        <w:t xml:space="preserve"> средно с 1</w:t>
      </w:r>
      <w:r w:rsidR="0030648A">
        <w:rPr>
          <w:szCs w:val="24"/>
        </w:rPr>
        <w:t>6</w:t>
      </w:r>
      <w:r w:rsidRPr="003C3108">
        <w:rPr>
          <w:szCs w:val="24"/>
        </w:rPr>
        <w:t>%. Стандартите за неспециализираните училища, професионалните гимназии и паралелки за професионална подготовка – дневна форма на обучение и дуална система на обучение, на специалните училища и центровете за специална об</w:t>
      </w:r>
      <w:r w:rsidR="00E0379B">
        <w:rPr>
          <w:szCs w:val="24"/>
        </w:rPr>
        <w:t>разователна подкрепа са увеличени</w:t>
      </w:r>
      <w:r w:rsidRPr="003C3108">
        <w:rPr>
          <w:szCs w:val="24"/>
        </w:rPr>
        <w:t xml:space="preserve"> с 16%. Стандартите за ученик в други форми на обучение (вечерна, задочна, индивидуална и самостоятелна) са увеличени средно с 18%.  Нормат</w:t>
      </w:r>
      <w:r w:rsidR="00E0379B">
        <w:rPr>
          <w:szCs w:val="24"/>
        </w:rPr>
        <w:t>ивите за дете/ученик са увеличени</w:t>
      </w:r>
      <w:r w:rsidRPr="003C3108">
        <w:rPr>
          <w:szCs w:val="24"/>
        </w:rPr>
        <w:t xml:space="preserve"> средно с 15%, като някои от тях запазват нивото си от 2019 г. Допълващият стандарт за ученик в комбинирана форма н</w:t>
      </w:r>
      <w:r w:rsidR="00E0379B">
        <w:rPr>
          <w:szCs w:val="24"/>
        </w:rPr>
        <w:t>а обучение е увеличен</w:t>
      </w:r>
      <w:r w:rsidRPr="003C3108">
        <w:rPr>
          <w:szCs w:val="24"/>
        </w:rPr>
        <w:t xml:space="preserve"> с 19%, а този за ученик в дневна форма на обучение и дуална система на обучение в първи и </w:t>
      </w:r>
      <w:r w:rsidR="00E0379B">
        <w:rPr>
          <w:szCs w:val="24"/>
        </w:rPr>
        <w:t>втори гимназиален етап е увеличен</w:t>
      </w:r>
      <w:r w:rsidRPr="003C3108">
        <w:rPr>
          <w:szCs w:val="24"/>
        </w:rPr>
        <w:t xml:space="preserve"> с 5%. За 2020 г. се въвежда нов допълващ стандарт за ученик с разширено изучаване на музика. Допълващите стандарти за материална база и за поддръжка на автобуси запазват нивото си от 2019 г.</w:t>
      </w:r>
    </w:p>
    <w:p w:rsidR="00A276E4" w:rsidRPr="003C3108" w:rsidRDefault="00A276E4" w:rsidP="00A276E4">
      <w:pPr>
        <w:spacing w:after="120"/>
        <w:rPr>
          <w:szCs w:val="24"/>
        </w:rPr>
      </w:pPr>
      <w:r w:rsidRPr="00F576DF">
        <w:rPr>
          <w:szCs w:val="24"/>
        </w:rPr>
        <w:t xml:space="preserve">В прогнозата за 2021 г. за текущи разходи за делегираните от държавата дейности по образование са предвидени средства по бюджетите на общините в общ размер на 3 032,2 </w:t>
      </w:r>
      <w:r w:rsidRPr="003C3108">
        <w:rPr>
          <w:szCs w:val="24"/>
        </w:rPr>
        <w:t>млн. лв., като е планирано увеличение с 341,4 млн. лв. спрямо проектобюджета за 2020 г. С допълнителните средства ще продължи реализацията на мерките за подобряване на социалния статус на педагогическите специалисти, чрез увеличение на техните възнаграждения. Предвижда се запазване на размера на средствата за 2022 г. на нивото от 2021 г.</w:t>
      </w:r>
    </w:p>
    <w:p w:rsidR="00F463C9" w:rsidRDefault="00F463C9" w:rsidP="00B974F4">
      <w:pPr>
        <w:spacing w:after="120"/>
        <w:rPr>
          <w:szCs w:val="24"/>
        </w:rPr>
      </w:pPr>
    </w:p>
    <w:p w:rsidR="00E7639F" w:rsidRPr="00CE3E89" w:rsidRDefault="00E7639F" w:rsidP="00767C8F">
      <w:pPr>
        <w:pStyle w:val="Heading4"/>
        <w:rPr>
          <w:rFonts w:eastAsia="Times New Roman"/>
        </w:rPr>
      </w:pPr>
      <w:r w:rsidRPr="00CE3E89">
        <w:rPr>
          <w:rFonts w:eastAsia="Times New Roman"/>
        </w:rPr>
        <w:t>Политика в областта на равен достъп до качествено висше образование и развитие на научния потенциал</w:t>
      </w:r>
    </w:p>
    <w:p w:rsidR="00F463C9" w:rsidRDefault="00F463C9" w:rsidP="00F9639B">
      <w:pPr>
        <w:spacing w:before="120" w:after="0"/>
        <w:rPr>
          <w:szCs w:val="24"/>
        </w:rPr>
      </w:pPr>
    </w:p>
    <w:p w:rsidR="00F463C9" w:rsidRPr="00B30D2B" w:rsidRDefault="00F463C9" w:rsidP="00F463C9">
      <w:pPr>
        <w:spacing w:after="120"/>
        <w:rPr>
          <w:rFonts w:eastAsia="Times New Roman" w:cs="Times New Roman"/>
          <w:szCs w:val="24"/>
        </w:rPr>
      </w:pPr>
      <w:r w:rsidRPr="00B30D2B">
        <w:rPr>
          <w:rFonts w:eastAsia="Times New Roman" w:cs="Times New Roman"/>
          <w:szCs w:val="24"/>
        </w:rPr>
        <w:t>Политиката в областта на равния достъп до качествено висше образование цели насърчаване на усилията на автономните висши училища за непрекъснато развитие на качеството на предлаганото висше образование, подпомагането им при въвеждането, развитието и усъвършенстването на вътрешните системи за оценяване и поддържане на качеството на обучение и на академичния състав, създаване на условия за усвояване на добрите практики на висшите училища от държавите</w:t>
      </w:r>
      <w:r w:rsidR="00520971">
        <w:rPr>
          <w:rFonts w:eastAsia="Times New Roman" w:cs="Times New Roman"/>
          <w:szCs w:val="24"/>
        </w:rPr>
        <w:t xml:space="preserve"> </w:t>
      </w:r>
      <w:r w:rsidRPr="00B30D2B">
        <w:rPr>
          <w:rFonts w:eastAsia="Times New Roman" w:cs="Times New Roman"/>
          <w:szCs w:val="24"/>
        </w:rPr>
        <w:t>членки на ЕС, осигуряване на условия за достъп до качествено висше образование, целящо успешна реализация през целия живот.</w:t>
      </w:r>
    </w:p>
    <w:p w:rsidR="00F463C9" w:rsidRPr="00B30D2B" w:rsidRDefault="00F463C9" w:rsidP="00F463C9">
      <w:pPr>
        <w:spacing w:after="120"/>
        <w:rPr>
          <w:rFonts w:eastAsia="Times New Roman" w:cs="Times New Roman"/>
          <w:szCs w:val="24"/>
        </w:rPr>
      </w:pPr>
      <w:r w:rsidRPr="00B30D2B">
        <w:rPr>
          <w:rFonts w:eastAsia="Times New Roman" w:cs="Times New Roman"/>
          <w:szCs w:val="24"/>
        </w:rPr>
        <w:t>Визията за развитието на науката в България се свързва с повишаване на качеството и международната разпознаваемост на научноизследователската и иновационна дейност.</w:t>
      </w:r>
    </w:p>
    <w:p w:rsidR="002920E5" w:rsidRDefault="002920E5" w:rsidP="00B974F4">
      <w:pPr>
        <w:spacing w:before="240"/>
        <w:jc w:val="left"/>
        <w:rPr>
          <w:rFonts w:cs="Times New Roman"/>
          <w:b/>
          <w:sz w:val="20"/>
          <w:szCs w:val="20"/>
        </w:rPr>
      </w:pPr>
    </w:p>
    <w:p w:rsidR="00B974F4" w:rsidRDefault="00E7639F" w:rsidP="00B974F4">
      <w:pPr>
        <w:spacing w:before="240"/>
        <w:jc w:val="left"/>
        <w:rPr>
          <w:rFonts w:cs="Times New Roman"/>
          <w:b/>
          <w:sz w:val="20"/>
          <w:szCs w:val="20"/>
        </w:rPr>
      </w:pPr>
      <w:r w:rsidRPr="00E71A58">
        <w:rPr>
          <w:rFonts w:cs="Times New Roman"/>
          <w:b/>
          <w:sz w:val="20"/>
          <w:szCs w:val="20"/>
        </w:rPr>
        <w:t>КЛЮЧОВИ ИНДИКАТОРИ ЗА ИЗПЪЛНЕНИЕ И ЦЕЛЕВИ СТОЙНОСТИ</w:t>
      </w:r>
    </w:p>
    <w:tbl>
      <w:tblPr>
        <w:tblW w:w="5000" w:type="pct"/>
        <w:tblCellMar>
          <w:left w:w="70" w:type="dxa"/>
          <w:right w:w="70" w:type="dxa"/>
        </w:tblCellMar>
        <w:tblLook w:val="04A0" w:firstRow="1" w:lastRow="0" w:firstColumn="1" w:lastColumn="0" w:noHBand="0" w:noVBand="1"/>
      </w:tblPr>
      <w:tblGrid>
        <w:gridCol w:w="4137"/>
        <w:gridCol w:w="1313"/>
        <w:gridCol w:w="938"/>
        <w:gridCol w:w="894"/>
        <w:gridCol w:w="894"/>
        <w:gridCol w:w="894"/>
      </w:tblGrid>
      <w:tr w:rsidR="00F463C9" w:rsidRPr="00B30D2B" w:rsidTr="00F11BBA">
        <w:trPr>
          <w:trHeight w:val="301"/>
          <w:tblHeader/>
        </w:trPr>
        <w:tc>
          <w:tcPr>
            <w:tcW w:w="2280" w:type="pct"/>
            <w:tcBorders>
              <w:top w:val="single" w:sz="4" w:space="0" w:color="auto"/>
              <w:left w:val="nil"/>
              <w:bottom w:val="nil"/>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 xml:space="preserve">Политика в областта на равен достъп до качествено висше образование и развитие на научния потенциал </w:t>
            </w:r>
          </w:p>
        </w:tc>
        <w:tc>
          <w:tcPr>
            <w:tcW w:w="724" w:type="pct"/>
            <w:vMerge w:val="restart"/>
            <w:tcBorders>
              <w:top w:val="single" w:sz="4" w:space="0" w:color="auto"/>
              <w:left w:val="nil"/>
              <w:bottom w:val="nil"/>
              <w:right w:val="nil"/>
            </w:tcBorders>
            <w:shd w:val="clear" w:color="000000" w:fill="F2F2F2"/>
            <w:vAlign w:val="center"/>
            <w:hideMark/>
          </w:tcPr>
          <w:p w:rsidR="00F463C9" w:rsidRPr="00B30D2B" w:rsidRDefault="00F463C9" w:rsidP="00064BF8">
            <w:pPr>
              <w:spacing w:after="0"/>
              <w:jc w:val="center"/>
              <w:rPr>
                <w:rFonts w:eastAsia="Times New Roman" w:cs="Times New Roman"/>
                <w:b/>
                <w:bCs/>
                <w:color w:val="000000"/>
                <w:sz w:val="18"/>
                <w:szCs w:val="18"/>
              </w:rPr>
            </w:pPr>
            <w:r w:rsidRPr="00B30D2B">
              <w:rPr>
                <w:rFonts w:eastAsia="Times New Roman" w:cs="Times New Roman"/>
                <w:b/>
                <w:bCs/>
                <w:color w:val="000000"/>
                <w:sz w:val="18"/>
                <w:szCs w:val="18"/>
              </w:rPr>
              <w:t>Мерна единица</w:t>
            </w:r>
          </w:p>
        </w:tc>
        <w:tc>
          <w:tcPr>
            <w:tcW w:w="1995" w:type="pct"/>
            <w:gridSpan w:val="4"/>
            <w:tcBorders>
              <w:top w:val="single" w:sz="4" w:space="0" w:color="auto"/>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color w:val="000000"/>
                <w:sz w:val="18"/>
                <w:szCs w:val="18"/>
              </w:rPr>
            </w:pPr>
            <w:r w:rsidRPr="00B30D2B">
              <w:rPr>
                <w:rFonts w:eastAsia="Times New Roman" w:cs="Times New Roman"/>
                <w:b/>
                <w:bCs/>
                <w:color w:val="000000"/>
                <w:sz w:val="18"/>
                <w:szCs w:val="18"/>
              </w:rPr>
              <w:t>Целева стойност</w:t>
            </w:r>
          </w:p>
        </w:tc>
      </w:tr>
      <w:tr w:rsidR="00F463C9" w:rsidRPr="00B30D2B" w:rsidTr="00034C85">
        <w:trPr>
          <w:trHeight w:val="540"/>
          <w:tblHeader/>
        </w:trPr>
        <w:tc>
          <w:tcPr>
            <w:tcW w:w="2280"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color w:val="000000"/>
                <w:sz w:val="18"/>
                <w:szCs w:val="18"/>
              </w:rPr>
            </w:pPr>
            <w:r w:rsidRPr="00B30D2B">
              <w:rPr>
                <w:rFonts w:eastAsia="Times New Roman" w:cs="Times New Roman"/>
                <w:b/>
                <w:bCs/>
                <w:color w:val="000000"/>
                <w:sz w:val="18"/>
                <w:szCs w:val="18"/>
              </w:rPr>
              <w:t>Наименование на индикатора</w:t>
            </w:r>
          </w:p>
        </w:tc>
        <w:tc>
          <w:tcPr>
            <w:tcW w:w="724" w:type="pct"/>
            <w:vMerge/>
            <w:tcBorders>
              <w:top w:val="single" w:sz="4" w:space="0" w:color="auto"/>
              <w:left w:val="nil"/>
              <w:bottom w:val="single" w:sz="4" w:space="0" w:color="auto"/>
              <w:right w:val="nil"/>
            </w:tcBorders>
            <w:vAlign w:val="center"/>
            <w:hideMark/>
          </w:tcPr>
          <w:p w:rsidR="00F463C9" w:rsidRPr="00B30D2B" w:rsidRDefault="00F463C9" w:rsidP="00064BF8">
            <w:pPr>
              <w:spacing w:after="0"/>
              <w:rPr>
                <w:rFonts w:eastAsia="Times New Roman" w:cs="Times New Roman"/>
                <w:b/>
                <w:bCs/>
                <w:color w:val="000000"/>
                <w:sz w:val="18"/>
                <w:szCs w:val="18"/>
              </w:rPr>
            </w:pPr>
          </w:p>
        </w:tc>
        <w:tc>
          <w:tcPr>
            <w:tcW w:w="517"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Програма 2019 г.</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Про</w:t>
            </w:r>
            <w:r w:rsidR="00CE2D55">
              <w:rPr>
                <w:rFonts w:eastAsia="Times New Roman" w:cs="Times New Roman"/>
                <w:b/>
                <w:bCs/>
                <w:i/>
                <w:iCs/>
                <w:color w:val="000000"/>
                <w:sz w:val="18"/>
                <w:szCs w:val="18"/>
              </w:rPr>
              <w:t>ект</w:t>
            </w:r>
            <w:r w:rsidRPr="00B30D2B">
              <w:rPr>
                <w:rFonts w:eastAsia="Times New Roman" w:cs="Times New Roman"/>
                <w:b/>
                <w:bCs/>
                <w:i/>
                <w:iCs/>
                <w:color w:val="000000"/>
                <w:sz w:val="18"/>
                <w:szCs w:val="18"/>
              </w:rPr>
              <w:t xml:space="preserve"> 2020 г.</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Прогноза 2021 г.</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b/>
                <w:bCs/>
                <w:i/>
                <w:iCs/>
                <w:color w:val="000000"/>
                <w:sz w:val="18"/>
                <w:szCs w:val="18"/>
              </w:rPr>
            </w:pPr>
            <w:r w:rsidRPr="00B30D2B">
              <w:rPr>
                <w:rFonts w:eastAsia="Times New Roman" w:cs="Times New Roman"/>
                <w:b/>
                <w:bCs/>
                <w:i/>
                <w:iCs/>
                <w:color w:val="000000"/>
                <w:sz w:val="18"/>
                <w:szCs w:val="18"/>
              </w:rPr>
              <w:t>Прогноза 2022 г.</w:t>
            </w:r>
          </w:p>
        </w:tc>
      </w:tr>
      <w:tr w:rsidR="00F463C9" w:rsidRPr="00B30D2B" w:rsidTr="00034C85">
        <w:trPr>
          <w:trHeight w:val="510"/>
        </w:trPr>
        <w:tc>
          <w:tcPr>
            <w:tcW w:w="2280" w:type="pct"/>
            <w:tcBorders>
              <w:top w:val="single" w:sz="4" w:space="0" w:color="auto"/>
              <w:left w:val="nil"/>
              <w:bottom w:val="nil"/>
              <w:right w:val="nil"/>
            </w:tcBorders>
            <w:shd w:val="clear" w:color="auto" w:fill="auto"/>
            <w:vAlign w:val="center"/>
            <w:hideMark/>
          </w:tcPr>
          <w:p w:rsidR="00F463C9" w:rsidRPr="00B30D2B" w:rsidRDefault="00F463C9" w:rsidP="00064BF8">
            <w:pPr>
              <w:spacing w:after="0"/>
              <w:rPr>
                <w:rFonts w:eastAsia="Times New Roman" w:cs="Times New Roman"/>
                <w:color w:val="000000"/>
                <w:sz w:val="18"/>
                <w:szCs w:val="18"/>
              </w:rPr>
            </w:pPr>
            <w:r w:rsidRPr="00B30D2B">
              <w:rPr>
                <w:rFonts w:eastAsia="Times New Roman" w:cs="Times New Roman"/>
                <w:color w:val="000000"/>
                <w:sz w:val="18"/>
                <w:szCs w:val="18"/>
              </w:rPr>
              <w:t>1. Дял на 30-34 годишните със завършено висше образование (36</w:t>
            </w:r>
            <w:r>
              <w:rPr>
                <w:rFonts w:eastAsia="Times New Roman" w:cs="Times New Roman"/>
                <w:color w:val="000000"/>
                <w:sz w:val="18"/>
                <w:szCs w:val="18"/>
              </w:rPr>
              <w:t>,0</w:t>
            </w:r>
            <w:r w:rsidRPr="00B30D2B">
              <w:rPr>
                <w:rFonts w:eastAsia="Times New Roman" w:cs="Times New Roman"/>
                <w:color w:val="000000"/>
                <w:sz w:val="18"/>
                <w:szCs w:val="18"/>
              </w:rPr>
              <w:t>%)</w:t>
            </w:r>
          </w:p>
        </w:tc>
        <w:tc>
          <w:tcPr>
            <w:tcW w:w="724" w:type="pct"/>
            <w:tcBorders>
              <w:top w:val="single" w:sz="4" w:space="0" w:color="auto"/>
              <w:left w:val="nil"/>
              <w:bottom w:val="nil"/>
              <w:right w:val="nil"/>
            </w:tcBorders>
            <w:shd w:val="clear" w:color="000000" w:fill="F2F2F2"/>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w:t>
            </w:r>
          </w:p>
        </w:tc>
        <w:tc>
          <w:tcPr>
            <w:tcW w:w="517" w:type="pct"/>
            <w:tcBorders>
              <w:top w:val="single" w:sz="4" w:space="0" w:color="auto"/>
              <w:left w:val="nil"/>
              <w:bottom w:val="nil"/>
              <w:right w:val="nil"/>
            </w:tcBorders>
            <w:shd w:val="clear" w:color="auto" w:fill="auto"/>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35</w:t>
            </w:r>
            <w:r>
              <w:rPr>
                <w:rFonts w:eastAsia="Times New Roman" w:cs="Times New Roman"/>
                <w:color w:val="000000"/>
                <w:sz w:val="18"/>
                <w:szCs w:val="18"/>
              </w:rPr>
              <w:t>,0</w:t>
            </w:r>
          </w:p>
        </w:tc>
        <w:tc>
          <w:tcPr>
            <w:tcW w:w="493" w:type="pct"/>
            <w:tcBorders>
              <w:top w:val="single" w:sz="4" w:space="0" w:color="auto"/>
              <w:left w:val="nil"/>
              <w:bottom w:val="nil"/>
              <w:right w:val="nil"/>
            </w:tcBorders>
            <w:shd w:val="clear" w:color="auto" w:fill="auto"/>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36</w:t>
            </w:r>
            <w:r>
              <w:rPr>
                <w:rFonts w:eastAsia="Times New Roman" w:cs="Times New Roman"/>
                <w:color w:val="000000"/>
                <w:sz w:val="18"/>
                <w:szCs w:val="18"/>
              </w:rPr>
              <w:t>,0</w:t>
            </w:r>
          </w:p>
        </w:tc>
        <w:tc>
          <w:tcPr>
            <w:tcW w:w="493" w:type="pct"/>
            <w:tcBorders>
              <w:top w:val="single" w:sz="4" w:space="0" w:color="auto"/>
              <w:left w:val="nil"/>
              <w:bottom w:val="nil"/>
              <w:right w:val="nil"/>
            </w:tcBorders>
            <w:shd w:val="clear" w:color="auto" w:fill="auto"/>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36,2</w:t>
            </w:r>
          </w:p>
        </w:tc>
        <w:tc>
          <w:tcPr>
            <w:tcW w:w="493" w:type="pct"/>
            <w:tcBorders>
              <w:top w:val="single" w:sz="4" w:space="0" w:color="auto"/>
              <w:left w:val="nil"/>
              <w:bottom w:val="nil"/>
              <w:right w:val="nil"/>
            </w:tcBorders>
            <w:shd w:val="clear" w:color="000000" w:fill="FFFFFF"/>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над 36,2</w:t>
            </w:r>
          </w:p>
        </w:tc>
      </w:tr>
      <w:tr w:rsidR="00F463C9" w:rsidRPr="00B30D2B" w:rsidTr="00064BF8">
        <w:trPr>
          <w:trHeight w:val="510"/>
        </w:trPr>
        <w:tc>
          <w:tcPr>
            <w:tcW w:w="2280"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rPr>
                <w:rFonts w:eastAsia="Times New Roman" w:cs="Times New Roman"/>
                <w:color w:val="000000"/>
                <w:sz w:val="18"/>
                <w:szCs w:val="18"/>
              </w:rPr>
            </w:pPr>
            <w:r w:rsidRPr="00B30D2B">
              <w:rPr>
                <w:rFonts w:eastAsia="Times New Roman" w:cs="Times New Roman"/>
                <w:color w:val="000000"/>
                <w:sz w:val="18"/>
                <w:szCs w:val="18"/>
              </w:rPr>
              <w:t>2. Инвестиции в научноизследователската и развойна дейност (НИРД) в размер от БВП (1,5%)</w:t>
            </w:r>
          </w:p>
        </w:tc>
        <w:tc>
          <w:tcPr>
            <w:tcW w:w="724" w:type="pct"/>
            <w:tcBorders>
              <w:top w:val="nil"/>
              <w:left w:val="nil"/>
              <w:bottom w:val="single" w:sz="4" w:space="0" w:color="auto"/>
              <w:right w:val="nil"/>
            </w:tcBorders>
            <w:shd w:val="clear" w:color="000000" w:fill="F2F2F2"/>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w:t>
            </w:r>
          </w:p>
        </w:tc>
        <w:tc>
          <w:tcPr>
            <w:tcW w:w="517"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1,3</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1,5</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1,6</w:t>
            </w:r>
          </w:p>
        </w:tc>
        <w:tc>
          <w:tcPr>
            <w:tcW w:w="493" w:type="pct"/>
            <w:tcBorders>
              <w:top w:val="nil"/>
              <w:left w:val="nil"/>
              <w:bottom w:val="single" w:sz="4" w:space="0" w:color="auto"/>
              <w:right w:val="nil"/>
            </w:tcBorders>
            <w:shd w:val="clear" w:color="auto" w:fill="auto"/>
            <w:vAlign w:val="center"/>
            <w:hideMark/>
          </w:tcPr>
          <w:p w:rsidR="00F463C9" w:rsidRPr="00B30D2B" w:rsidRDefault="00F463C9" w:rsidP="00064BF8">
            <w:pPr>
              <w:spacing w:after="0"/>
              <w:jc w:val="center"/>
              <w:rPr>
                <w:rFonts w:eastAsia="Times New Roman" w:cs="Times New Roman"/>
                <w:color w:val="000000"/>
                <w:sz w:val="18"/>
                <w:szCs w:val="18"/>
              </w:rPr>
            </w:pPr>
            <w:r w:rsidRPr="00B30D2B">
              <w:rPr>
                <w:rFonts w:eastAsia="Times New Roman" w:cs="Times New Roman"/>
                <w:color w:val="000000"/>
                <w:sz w:val="18"/>
                <w:szCs w:val="18"/>
              </w:rPr>
              <w:t>над 1,6</w:t>
            </w:r>
          </w:p>
        </w:tc>
      </w:tr>
    </w:tbl>
    <w:p w:rsidR="00F463C9" w:rsidRPr="00B30D2B" w:rsidRDefault="00F463C9" w:rsidP="00F463C9">
      <w:pPr>
        <w:spacing w:before="120" w:after="120"/>
        <w:rPr>
          <w:rFonts w:eastAsia="Times New Roman" w:cs="Times New Roman"/>
          <w:szCs w:val="24"/>
        </w:rPr>
      </w:pPr>
      <w:r w:rsidRPr="00B30D2B">
        <w:rPr>
          <w:rFonts w:eastAsia="Times New Roman" w:cs="Times New Roman"/>
          <w:szCs w:val="24"/>
        </w:rPr>
        <w:t xml:space="preserve">Разходите за изпълнението на политиката включват средства за издръжка на обучението и за подпомагане на студенти и докторанти и институционалното и програмно-конкурсното финансиране на научноизследователската дейност. </w:t>
      </w:r>
    </w:p>
    <w:p w:rsidR="00F463C9" w:rsidRPr="000A360D" w:rsidRDefault="00F463C9" w:rsidP="00F463C9">
      <w:pPr>
        <w:spacing w:after="120"/>
        <w:rPr>
          <w:rFonts w:eastAsia="Times New Roman" w:cs="Times New Roman"/>
          <w:color w:val="000000" w:themeColor="text1"/>
          <w:szCs w:val="24"/>
        </w:rPr>
      </w:pPr>
      <w:r w:rsidRPr="00B30D2B">
        <w:rPr>
          <w:rFonts w:eastAsia="Times New Roman" w:cs="Times New Roman"/>
          <w:szCs w:val="24"/>
        </w:rPr>
        <w:t>За периода 2020-2022 г. са предвидени допълнителни средства в размер на</w:t>
      </w:r>
      <w:r>
        <w:rPr>
          <w:rFonts w:eastAsia="Times New Roman" w:cs="Times New Roman"/>
          <w:szCs w:val="24"/>
        </w:rPr>
        <w:t xml:space="preserve"> 41,1 </w:t>
      </w:r>
      <w:r w:rsidRPr="00B30D2B">
        <w:rPr>
          <w:rFonts w:eastAsia="Times New Roman" w:cs="Times New Roman"/>
          <w:szCs w:val="24"/>
        </w:rPr>
        <w:t>млн. лв. за издръжка на обучението на студенти и докторанти. В съответствие със Закона за висшето образование ежегодно се увеличават средствата за издръжка на обучението, формирани въз основа на комплексната оценка на качеството на обучението. От въвеждането на този модел на финансиране на висшето образование през 2011 г., относителният дял на средствата за издръжка на обучението, формиран в резултат на оценка на качеството на обучението и съответствието му с потребностите на пазара на труда</w:t>
      </w:r>
      <w:r w:rsidRPr="000A360D">
        <w:rPr>
          <w:rFonts w:eastAsia="Times New Roman" w:cs="Times New Roman"/>
          <w:color w:val="000000" w:themeColor="text1"/>
          <w:szCs w:val="24"/>
        </w:rPr>
        <w:t xml:space="preserve">, нараства от 2,28% през 2011 г. на 55,46% през 2019 г.  </w:t>
      </w:r>
    </w:p>
    <w:p w:rsidR="00F463C9" w:rsidRPr="00B30D2B" w:rsidRDefault="003A0A4E" w:rsidP="00F463C9">
      <w:pPr>
        <w:spacing w:after="120"/>
        <w:rPr>
          <w:rFonts w:eastAsia="Times New Roman" w:cs="Times New Roman"/>
          <w:szCs w:val="24"/>
        </w:rPr>
      </w:pPr>
      <w:r w:rsidRPr="006A3366">
        <w:rPr>
          <w:rFonts w:eastAsia="Times New Roman" w:cs="Times New Roman"/>
          <w:szCs w:val="24"/>
        </w:rPr>
        <w:t>От</w:t>
      </w:r>
      <w:r w:rsidRPr="00326A4C">
        <w:rPr>
          <w:rFonts w:eastAsia="Times New Roman" w:cs="Times New Roman"/>
          <w:szCs w:val="24"/>
        </w:rPr>
        <w:t xml:space="preserve"> учебната 2018/2019 година е въведен механизъм за определяне броя на</w:t>
      </w:r>
      <w:r w:rsidRPr="00B30D2B">
        <w:rPr>
          <w:rFonts w:eastAsia="Times New Roman" w:cs="Times New Roman"/>
          <w:szCs w:val="24"/>
        </w:rPr>
        <w:t xml:space="preserve"> приеманите за обучение студенти и докторанти в държавните висши училища</w:t>
      </w:r>
      <w:r>
        <w:rPr>
          <w:rFonts w:eastAsia="Times New Roman" w:cs="Times New Roman"/>
          <w:szCs w:val="24"/>
        </w:rPr>
        <w:t>, който е разработен</w:t>
      </w:r>
      <w:r w:rsidRPr="00B30D2B">
        <w:rPr>
          <w:rFonts w:eastAsia="Times New Roman" w:cs="Times New Roman"/>
          <w:szCs w:val="24"/>
        </w:rPr>
        <w:t xml:space="preserve"> на базата на комплексна оценка за качеството на обучението и съответствието му с потребностите на пазара на труда. </w:t>
      </w:r>
      <w:r w:rsidR="00F463C9" w:rsidRPr="00B30D2B">
        <w:rPr>
          <w:rFonts w:eastAsia="Times New Roman" w:cs="Times New Roman"/>
          <w:szCs w:val="24"/>
        </w:rPr>
        <w:t xml:space="preserve"> </w:t>
      </w:r>
    </w:p>
    <w:p w:rsidR="00F463C9" w:rsidRPr="00B30D2B" w:rsidRDefault="00F463C9" w:rsidP="00F463C9">
      <w:pPr>
        <w:spacing w:after="120"/>
        <w:rPr>
          <w:rFonts w:eastAsia="Times New Roman" w:cs="Times New Roman"/>
          <w:szCs w:val="24"/>
        </w:rPr>
      </w:pPr>
      <w:r w:rsidRPr="00B30D2B">
        <w:rPr>
          <w:rFonts w:eastAsia="Times New Roman" w:cs="Times New Roman"/>
          <w:szCs w:val="24"/>
        </w:rPr>
        <w:t xml:space="preserve">За периода 2020-2022 г. се предвижда запазване на общия размер на държавната гаранция за новоотпуснати кредити в размер на 50,0 млн. лв. Кредитирането на студенти и докторанти, като част от студентското подпомагане, дава възможност за повишаване на образованието на млади хора, които нямат възможност да осигурят сами средства за такси за обучение и средства за издръжка на обучението си. </w:t>
      </w:r>
    </w:p>
    <w:p w:rsidR="00F463C9" w:rsidRPr="00B30D2B" w:rsidRDefault="00F463C9" w:rsidP="00F463C9">
      <w:pPr>
        <w:spacing w:after="120"/>
        <w:rPr>
          <w:rFonts w:eastAsia="Times New Roman" w:cs="Times New Roman"/>
          <w:szCs w:val="24"/>
        </w:rPr>
      </w:pPr>
      <w:r w:rsidRPr="00B30D2B">
        <w:rPr>
          <w:rFonts w:eastAsia="Times New Roman" w:cs="Times New Roman"/>
          <w:szCs w:val="24"/>
        </w:rPr>
        <w:t>Визията за развитието на науката в България за периода 2020-2022 г. се свързва с повишаване на качеството и международната разпознаваемост на научноизследователската и иновационна дейност. Акцентът се поставя върху финансиране на научни изследвания в приоритетни и конкурентни области за решаване на важни обществено значими предизвикателства, подпомагане на млади учени и осъществяване на съвместни научни изследвания с български учени в чужбина и привличане на водещи учени от чужбина. Средствата ще се разпределят между научните звена и колективи въз основа на оценка на научната им дейност и резултатите от нея чрез механизъм за диференциран ръст на средствата.</w:t>
      </w:r>
    </w:p>
    <w:p w:rsidR="00F463C9" w:rsidRPr="00B30D2B" w:rsidRDefault="00F463C9" w:rsidP="00F463C9">
      <w:pPr>
        <w:spacing w:after="120"/>
        <w:rPr>
          <w:rFonts w:eastAsia="Times New Roman" w:cs="Times New Roman"/>
          <w:szCs w:val="24"/>
        </w:rPr>
      </w:pPr>
      <w:r w:rsidRPr="00B30D2B">
        <w:rPr>
          <w:rFonts w:eastAsia="Times New Roman" w:cs="Times New Roman"/>
          <w:szCs w:val="24"/>
        </w:rPr>
        <w:t xml:space="preserve">Важен стимул за поддържане на високо научно ниво на изследователите е въвеждането на диференцирано заплащане, обвързано с постигнатите научни резултати. </w:t>
      </w:r>
    </w:p>
    <w:p w:rsidR="00F463C9" w:rsidRPr="00B30D2B" w:rsidRDefault="00F463C9" w:rsidP="00F463C9">
      <w:pPr>
        <w:spacing w:after="120"/>
        <w:rPr>
          <w:rFonts w:eastAsia="Times New Roman" w:cs="Times New Roman"/>
          <w:szCs w:val="24"/>
        </w:rPr>
      </w:pPr>
      <w:r w:rsidRPr="00B30D2B">
        <w:rPr>
          <w:rFonts w:eastAsia="Times New Roman" w:cs="Times New Roman"/>
          <w:szCs w:val="24"/>
        </w:rPr>
        <w:t>Предвижда се да продължи изпълнението на Националната стратегия за развитие на научните изследвания в Република България 2017-2030 г., Оперативния план към нея за периода 2018-2022 година и Националната пътна карта за научна инфраструктура.</w:t>
      </w:r>
    </w:p>
    <w:p w:rsidR="00F463C9" w:rsidRPr="00F463C9" w:rsidRDefault="00F463C9" w:rsidP="00F463C9">
      <w:pPr>
        <w:spacing w:after="120"/>
        <w:rPr>
          <w:rFonts w:eastAsia="Times New Roman" w:cs="Times New Roman"/>
          <w:szCs w:val="24"/>
        </w:rPr>
      </w:pPr>
      <w:r w:rsidRPr="00B30D2B">
        <w:rPr>
          <w:rFonts w:eastAsia="Times New Roman" w:cs="Times New Roman"/>
          <w:szCs w:val="24"/>
        </w:rPr>
        <w:t>За периода 2020-2022 г. средствата по Оперативна програма „Наука и образование за интелигентен растеж 2014-2020“ ще са насочени главно към развитие на върхови и пазарно-ориентирани научни изследвания, укрепване на съществуващите и инвестиции в нови научни инфраструктури /центрове за върхови постижения, центрове за компетентност и регионални научни центрове/ с цел развитие на регионална интелигентна специализация и осигуряване на необходим достъп до европейски и международни научни инфраструктури.</w:t>
      </w:r>
    </w:p>
    <w:p w:rsidR="00083361" w:rsidRDefault="00083361" w:rsidP="00517D0A">
      <w:pPr>
        <w:pStyle w:val="Heading3"/>
        <w:ind w:left="0"/>
      </w:pPr>
      <w:bookmarkStart w:id="482" w:name="_Toc465070473"/>
      <w:bookmarkStart w:id="483" w:name="_Toc465205523"/>
      <w:r w:rsidRPr="009D2915">
        <w:t>Политика в областта на отбраната</w:t>
      </w:r>
      <w:bookmarkEnd w:id="482"/>
      <w:bookmarkEnd w:id="483"/>
      <w:r w:rsidRPr="009D2915">
        <w:t xml:space="preserve"> </w:t>
      </w:r>
    </w:p>
    <w:p w:rsidR="00F463C9" w:rsidRPr="00CC79D7" w:rsidRDefault="00F463C9" w:rsidP="00F463C9">
      <w:pPr>
        <w:spacing w:after="120"/>
        <w:rPr>
          <w:rFonts w:eastAsia="Times New Roman" w:cs="Times New Roman"/>
          <w:szCs w:val="24"/>
        </w:rPr>
      </w:pPr>
      <w:r w:rsidRPr="00CC79D7">
        <w:rPr>
          <w:rFonts w:eastAsia="Times New Roman" w:cs="Times New Roman"/>
          <w:szCs w:val="24"/>
        </w:rPr>
        <w:t>Политиката в областта на отбраната е свързана с поддържането на модерни, боеспособни и оперативно съвместими въоръжени сили. За нейното реализиране ще се поддържа и развива ефективно и ефикасно планиране на отбраната, базирано на способности, в съответствие с процеса на отбранително планиране на НАТО, Координирания годишен преглед на отбраната в ЕС и в контекста на Постоянното структурирано сътрудничество в отбраната на ЕС. Целта е изграждане, поддържане и използване на необходимите способности на българските въоръжени сили за изпълнение на задачите по отбрана на страната в рамките на колективната отбрана на НАТО, принос към колективната отбрана на Алианса, участие в ръководени от НАТО и ЕС операции и мисии, а също така и принос към националната сигурност в мирно време.</w:t>
      </w:r>
    </w:p>
    <w:p w:rsidR="00F463C9" w:rsidRPr="00CC79D7" w:rsidRDefault="00F463C9" w:rsidP="00F463C9">
      <w:pPr>
        <w:spacing w:after="120"/>
        <w:rPr>
          <w:rFonts w:eastAsia="Times New Roman" w:cs="Times New Roman"/>
          <w:snapToGrid w:val="0"/>
          <w:szCs w:val="24"/>
        </w:rPr>
      </w:pPr>
      <w:r w:rsidRPr="00CC79D7">
        <w:rPr>
          <w:rFonts w:eastAsia="Times New Roman" w:cs="Times New Roman"/>
          <w:szCs w:val="24"/>
        </w:rPr>
        <w:t xml:space="preserve">През прогнозния период ще се провежда активна отбранителна политика на Република България в НАТО, Европейския съюз и други международни и регионални формати и ефективно участие в системата на колективната отбрана на НАТО, Общата политика за сигурност и отбрана на Европейския съюз (ОПСО на ЕС) и в рамките на други международни и регионални инициативи в подкрепа на мира и стабилността в света. Република България ще продължи участието си в процеса на вземане на решения, както и в процеса на изграждане на отбранителни способности на НАТО и ЕС. Освен това, </w:t>
      </w:r>
      <w:r w:rsidRPr="00CC79D7">
        <w:rPr>
          <w:rFonts w:eastAsia="Times New Roman" w:cs="Times New Roman"/>
          <w:snapToGrid w:val="0"/>
          <w:szCs w:val="24"/>
        </w:rPr>
        <w:t xml:space="preserve">Република България ще продължи съвместната работа и сътрудничество със страните от ЕС в рамките на Постоянното структурирано сътрудничество в областта на отбраната на ЕС </w:t>
      </w:r>
      <w:r w:rsidRPr="00CC79D7">
        <w:rPr>
          <w:rFonts w:eastAsia="Times New Roman" w:cs="Times New Roman"/>
          <w:szCs w:val="24"/>
        </w:rPr>
        <w:t>(</w:t>
      </w:r>
      <w:r w:rsidRPr="00CC79D7">
        <w:rPr>
          <w:rFonts w:eastAsia="Times New Roman" w:cs="Times New Roman"/>
          <w:szCs w:val="24"/>
          <w:lang w:val="en-US"/>
        </w:rPr>
        <w:t>PESCO</w:t>
      </w:r>
      <w:r w:rsidRPr="00CC79D7">
        <w:rPr>
          <w:rFonts w:eastAsia="Times New Roman" w:cs="Times New Roman"/>
          <w:szCs w:val="24"/>
        </w:rPr>
        <w:t xml:space="preserve">) </w:t>
      </w:r>
      <w:r w:rsidRPr="00CC79D7">
        <w:rPr>
          <w:rFonts w:eastAsia="Times New Roman" w:cs="Times New Roman"/>
          <w:snapToGrid w:val="0"/>
          <w:szCs w:val="24"/>
        </w:rPr>
        <w:t>и Европейската агенция за отбрана, както и Европейски</w:t>
      </w:r>
      <w:r w:rsidR="00D4577F">
        <w:rPr>
          <w:rFonts w:eastAsia="Times New Roman" w:cs="Times New Roman"/>
          <w:snapToGrid w:val="0"/>
          <w:szCs w:val="24"/>
        </w:rPr>
        <w:t>я</w:t>
      </w:r>
      <w:r w:rsidRPr="00CC79D7">
        <w:rPr>
          <w:rFonts w:eastAsia="Times New Roman" w:cs="Times New Roman"/>
          <w:snapToGrid w:val="0"/>
          <w:szCs w:val="24"/>
        </w:rPr>
        <w:t xml:space="preserve"> фонд за отбрана и Европейска</w:t>
      </w:r>
      <w:r w:rsidR="00D4577F">
        <w:rPr>
          <w:rFonts w:eastAsia="Times New Roman" w:cs="Times New Roman"/>
          <w:snapToGrid w:val="0"/>
          <w:szCs w:val="24"/>
        </w:rPr>
        <w:t>та</w:t>
      </w:r>
      <w:r w:rsidRPr="00CC79D7">
        <w:rPr>
          <w:rFonts w:eastAsia="Times New Roman" w:cs="Times New Roman"/>
          <w:snapToGrid w:val="0"/>
          <w:szCs w:val="24"/>
        </w:rPr>
        <w:t xml:space="preserve"> програма за индустриално развитие в областта на отбраната.</w:t>
      </w:r>
    </w:p>
    <w:p w:rsidR="00F463C9" w:rsidRPr="00CC79D7" w:rsidRDefault="00F463C9" w:rsidP="00F463C9">
      <w:pPr>
        <w:spacing w:after="120"/>
        <w:rPr>
          <w:rFonts w:eastAsia="Times New Roman" w:cs="Times New Roman"/>
          <w:szCs w:val="24"/>
        </w:rPr>
      </w:pPr>
      <w:r w:rsidRPr="00CC79D7">
        <w:rPr>
          <w:rFonts w:eastAsia="Times New Roman" w:cs="Times New Roman"/>
          <w:szCs w:val="24"/>
        </w:rPr>
        <w:t>Правителствената политика в областта на отбраната се изпълнява от Министерството на отбраната чрез реализирането на следните две политики:</w:t>
      </w:r>
    </w:p>
    <w:p w:rsidR="00F463C9" w:rsidRPr="00CC79D7" w:rsidRDefault="00F463C9" w:rsidP="003403BF">
      <w:pPr>
        <w:numPr>
          <w:ilvl w:val="0"/>
          <w:numId w:val="47"/>
        </w:numPr>
        <w:spacing w:after="120"/>
        <w:ind w:left="567" w:hanging="283"/>
        <w:rPr>
          <w:rFonts w:eastAsia="Times New Roman" w:cs="Times New Roman"/>
          <w:szCs w:val="24"/>
        </w:rPr>
      </w:pPr>
      <w:r w:rsidRPr="00CC79D7">
        <w:rPr>
          <w:rFonts w:eastAsia="Times New Roman" w:cs="Times New Roman"/>
          <w:szCs w:val="24"/>
        </w:rPr>
        <w:t>Политика в областта на отбранителните способности, чиято основна цел е възстановяване и поддържане на ключови компоненти от системата за отбрана на страната и ВС за гарантиране на териториалната цялост (сухоземни, въздушни и морски граници) чрез изграждане на оперативно съвместими и модерни въоръжени сили с единна система за командване и управление, структура, численост, въоръжение, техника, подготовка и инфраструктура за мирно време и при кризи;</w:t>
      </w:r>
    </w:p>
    <w:p w:rsidR="00F463C9" w:rsidRPr="00CC79D7" w:rsidRDefault="00F463C9" w:rsidP="003403BF">
      <w:pPr>
        <w:numPr>
          <w:ilvl w:val="0"/>
          <w:numId w:val="47"/>
        </w:numPr>
        <w:spacing w:after="120"/>
        <w:ind w:left="567" w:hanging="283"/>
        <w:rPr>
          <w:rFonts w:eastAsia="Times New Roman" w:cs="Times New Roman"/>
          <w:szCs w:val="24"/>
        </w:rPr>
      </w:pPr>
      <w:r w:rsidRPr="00CC79D7">
        <w:rPr>
          <w:rFonts w:eastAsia="Times New Roman" w:cs="Times New Roman"/>
          <w:szCs w:val="24"/>
        </w:rPr>
        <w:t>Политика в областта на съюзната и международната сигурност, чиято основна цел е участие във формиране на политиките на НАТО и ЕС по сигурността и отбраната и адекватен принос към реализирането им.</w:t>
      </w:r>
    </w:p>
    <w:p w:rsidR="00834F2C" w:rsidRPr="00834F2C" w:rsidRDefault="00834F2C" w:rsidP="00834F2C">
      <w:pPr>
        <w:spacing w:after="120"/>
        <w:rPr>
          <w:rFonts w:eastAsia="Times New Roman" w:cs="Times New Roman"/>
          <w:szCs w:val="24"/>
        </w:rPr>
      </w:pPr>
      <w:r w:rsidRPr="00834F2C">
        <w:rPr>
          <w:rFonts w:eastAsia="Times New Roman" w:cs="Times New Roman"/>
          <w:szCs w:val="24"/>
        </w:rPr>
        <w:t>Разходите за отбрана са съобразени с Националния план за повишаване на разходите за отбрана на 2 на сто от БВП на Република България до 2024 г., одобрен с РМС                          № 3/04.01.2018 г., с което ще се предостави възможност за изпълнение на Програмата за развитие на отбранителните способности на въоръжените сили на Република България 2020, приета с Решение на Народното събрание от 25.11.2015 г. Осигурени са средства за поддържане и развитие на националните отбранителни способности и способностите, свързани с колективната отбрана, в т.ч. средства за изпълнение на одобрените от Народното събрание инвестиционни проекти за модернизация на Българската армия, а именно: придобиването на многофункционален модулен патрулен кораб за ВМС и основна бойна техника за изграждане на батальонни бойни групи от състава на механизирана бригада. Допълнително са предвидени средства за изпълнение на международните договори във връзка с придобиването на нов тип боен самолет (транспорт и застраховки)</w:t>
      </w:r>
      <w:r w:rsidR="00CF2156">
        <w:rPr>
          <w:rFonts w:eastAsia="Times New Roman" w:cs="Times New Roman"/>
          <w:szCs w:val="24"/>
        </w:rPr>
        <w:t>,</w:t>
      </w:r>
      <w:r w:rsidRPr="00834F2C">
        <w:rPr>
          <w:rFonts w:eastAsia="Times New Roman" w:cs="Times New Roman"/>
          <w:szCs w:val="24"/>
        </w:rPr>
        <w:t xml:space="preserve"> за изграждане на интегрирана система и инфраструктура за усвояване, експлоатация и осигуряване на новия тип боен самолет</w:t>
      </w:r>
      <w:r w:rsidR="00CF2156" w:rsidRPr="00CF2156">
        <w:rPr>
          <w:rFonts w:eastAsia="Times New Roman" w:cs="Times New Roman"/>
          <w:szCs w:val="24"/>
        </w:rPr>
        <w:t xml:space="preserve"> и за проекти за модернизация на Българската армия</w:t>
      </w:r>
      <w:r w:rsidRPr="00834F2C">
        <w:rPr>
          <w:rFonts w:eastAsia="Times New Roman" w:cs="Times New Roman"/>
          <w:szCs w:val="24"/>
        </w:rPr>
        <w:t>.</w:t>
      </w:r>
    </w:p>
    <w:p w:rsidR="00834F2C" w:rsidRPr="00834F2C" w:rsidRDefault="00BA0BE3" w:rsidP="00834F2C">
      <w:pPr>
        <w:spacing w:after="120"/>
        <w:rPr>
          <w:rFonts w:eastAsia="Times New Roman" w:cs="Times New Roman"/>
          <w:szCs w:val="24"/>
        </w:rPr>
      </w:pPr>
      <w:r w:rsidRPr="00034C85">
        <w:rPr>
          <w:rFonts w:eastAsia="Times New Roman" w:cs="Times New Roman"/>
          <w:szCs w:val="24"/>
        </w:rPr>
        <w:t xml:space="preserve">Общо разходите по функционален принцип за група „Отбрана” в проекта за 2020 г. са в размер на </w:t>
      </w:r>
      <w:r w:rsidRPr="00AD2E9D">
        <w:rPr>
          <w:rFonts w:eastAsia="Times New Roman" w:cs="Times New Roman"/>
          <w:szCs w:val="24"/>
        </w:rPr>
        <w:t>1 </w:t>
      </w:r>
      <w:r w:rsidR="00CF2156" w:rsidRPr="00AD2E9D">
        <w:rPr>
          <w:rFonts w:eastAsia="Times New Roman" w:cs="Times New Roman"/>
          <w:szCs w:val="24"/>
        </w:rPr>
        <w:t>8</w:t>
      </w:r>
      <w:r w:rsidRPr="00AD2E9D">
        <w:rPr>
          <w:rFonts w:eastAsia="Times New Roman" w:cs="Times New Roman"/>
          <w:szCs w:val="24"/>
        </w:rPr>
        <w:t>91,9</w:t>
      </w:r>
      <w:r w:rsidRPr="00034C85">
        <w:rPr>
          <w:rFonts w:eastAsia="Times New Roman" w:cs="Times New Roman"/>
          <w:szCs w:val="24"/>
        </w:rPr>
        <w:t xml:space="preserve"> м</w:t>
      </w:r>
      <w:r w:rsidR="00B225AF">
        <w:rPr>
          <w:rFonts w:eastAsia="Times New Roman" w:cs="Times New Roman"/>
          <w:szCs w:val="24"/>
        </w:rPr>
        <w:t xml:space="preserve">лн. лв., което представлява </w:t>
      </w:r>
      <w:r w:rsidR="00B225AF" w:rsidRPr="00AD2E9D">
        <w:rPr>
          <w:rFonts w:eastAsia="Times New Roman" w:cs="Times New Roman"/>
          <w:szCs w:val="24"/>
        </w:rPr>
        <w:t>1,</w:t>
      </w:r>
      <w:r w:rsidR="00CF2156" w:rsidRPr="00AD2E9D">
        <w:rPr>
          <w:rFonts w:eastAsia="Times New Roman" w:cs="Times New Roman"/>
          <w:szCs w:val="24"/>
        </w:rPr>
        <w:t>5</w:t>
      </w:r>
      <w:r w:rsidRPr="00034C85">
        <w:rPr>
          <w:rFonts w:eastAsia="Times New Roman" w:cs="Times New Roman"/>
          <w:szCs w:val="24"/>
        </w:rPr>
        <w:t>% от БВП.</w:t>
      </w:r>
      <w:r w:rsidR="00834F2C" w:rsidRPr="00034C85">
        <w:rPr>
          <w:rFonts w:eastAsia="Times New Roman" w:cs="Times New Roman"/>
          <w:szCs w:val="24"/>
        </w:rPr>
        <w:t xml:space="preserve"> За целите на представяне на финансова информация за разходите за отбрана към НАТО, Министерството на отбраната включва разходите по бюджета на Министерството на отбраната</w:t>
      </w:r>
      <w:r w:rsidR="00CF2156">
        <w:rPr>
          <w:rFonts w:eastAsia="Times New Roman" w:cs="Times New Roman"/>
          <w:szCs w:val="24"/>
        </w:rPr>
        <w:t>,</w:t>
      </w:r>
      <w:r w:rsidR="00834F2C" w:rsidRPr="00034C85">
        <w:rPr>
          <w:rFonts w:eastAsia="Times New Roman" w:cs="Times New Roman"/>
          <w:szCs w:val="24"/>
        </w:rPr>
        <w:t xml:space="preserve"> трансферите на държавните висши военни училища, които са предвидени освен по група „Отбрана“ и по други функции</w:t>
      </w:r>
      <w:r w:rsidR="00CF2156" w:rsidRPr="00CF2156">
        <w:rPr>
          <w:rFonts w:eastAsia="Times New Roman" w:cs="Times New Roman"/>
          <w:szCs w:val="24"/>
        </w:rPr>
        <w:t>, както и разходите по централния бюджет за финансиране на проекти в областта на отбраната</w:t>
      </w:r>
      <w:r w:rsidR="00834F2C" w:rsidRPr="00034C85">
        <w:rPr>
          <w:rFonts w:eastAsia="Times New Roman" w:cs="Times New Roman"/>
          <w:szCs w:val="24"/>
        </w:rPr>
        <w:t xml:space="preserve">. В  проекта за 2020 г. общо </w:t>
      </w:r>
      <w:r w:rsidR="00834F2C" w:rsidRPr="00834F2C">
        <w:rPr>
          <w:rFonts w:eastAsia="Times New Roman" w:cs="Times New Roman"/>
          <w:szCs w:val="24"/>
        </w:rPr>
        <w:t xml:space="preserve">разходите за отбрана възлизат на </w:t>
      </w:r>
      <w:r w:rsidR="00CF2156">
        <w:rPr>
          <w:rFonts w:eastAsia="Times New Roman" w:cs="Times New Roman"/>
          <w:szCs w:val="24"/>
        </w:rPr>
        <w:t>2</w:t>
      </w:r>
      <w:r w:rsidR="00834F2C" w:rsidRPr="00834F2C">
        <w:rPr>
          <w:rFonts w:eastAsia="Times New Roman" w:cs="Times New Roman"/>
          <w:szCs w:val="24"/>
        </w:rPr>
        <w:t xml:space="preserve"> </w:t>
      </w:r>
      <w:r w:rsidR="00CF2156">
        <w:rPr>
          <w:rFonts w:eastAsia="Times New Roman" w:cs="Times New Roman"/>
          <w:szCs w:val="24"/>
        </w:rPr>
        <w:t>0</w:t>
      </w:r>
      <w:r w:rsidR="00834F2C" w:rsidRPr="00834F2C">
        <w:rPr>
          <w:rFonts w:eastAsia="Times New Roman" w:cs="Times New Roman"/>
          <w:szCs w:val="24"/>
        </w:rPr>
        <w:t>41,0 млн. лв., което  представлява 1,</w:t>
      </w:r>
      <w:r w:rsidR="00CF2156">
        <w:rPr>
          <w:rFonts w:eastAsia="Times New Roman" w:cs="Times New Roman"/>
          <w:szCs w:val="24"/>
        </w:rPr>
        <w:t>61</w:t>
      </w:r>
      <w:r w:rsidR="00834F2C" w:rsidRPr="00834F2C">
        <w:rPr>
          <w:rFonts w:eastAsia="Times New Roman" w:cs="Times New Roman"/>
          <w:szCs w:val="24"/>
        </w:rPr>
        <w:t>% от БВП,</w:t>
      </w:r>
      <w:r w:rsidR="00CF2156">
        <w:rPr>
          <w:rFonts w:eastAsia="Times New Roman" w:cs="Times New Roman"/>
          <w:szCs w:val="24"/>
        </w:rPr>
        <w:t xml:space="preserve"> </w:t>
      </w:r>
      <w:r w:rsidR="00CF2156" w:rsidRPr="00CF2156">
        <w:rPr>
          <w:rFonts w:eastAsia="Times New Roman" w:cs="Times New Roman"/>
          <w:szCs w:val="24"/>
        </w:rPr>
        <w:t xml:space="preserve">в съответствие с определения процент по </w:t>
      </w:r>
      <w:r w:rsidR="00CF2156" w:rsidRPr="00CF2156">
        <w:rPr>
          <w:rFonts w:eastAsia="Times New Roman" w:cs="Times New Roman"/>
          <w:bCs/>
          <w:szCs w:val="24"/>
        </w:rPr>
        <w:t>Националния план за повишаване на разходите за отбрана на 2 на сто от БВП на Република България до 2024 г</w:t>
      </w:r>
      <w:r w:rsidR="00CF2156">
        <w:rPr>
          <w:rFonts w:eastAsia="Times New Roman" w:cs="Times New Roman"/>
          <w:bCs/>
          <w:szCs w:val="24"/>
        </w:rPr>
        <w:t>.</w:t>
      </w:r>
    </w:p>
    <w:p w:rsidR="00834F2C" w:rsidRDefault="00834F2C" w:rsidP="00834F2C">
      <w:pPr>
        <w:spacing w:after="120"/>
        <w:rPr>
          <w:rFonts w:eastAsia="Times New Roman" w:cs="Times New Roman"/>
          <w:szCs w:val="24"/>
        </w:rPr>
      </w:pPr>
      <w:r w:rsidRPr="00834F2C">
        <w:rPr>
          <w:rFonts w:eastAsia="Times New Roman" w:cs="Times New Roman"/>
          <w:szCs w:val="24"/>
        </w:rPr>
        <w:t>Съгласно класификацията на НАТО в разходите за отбрана следва да се включват и разходите за пенсии, но същите не са включени във финансовата информация, предоставяна към НАТО.</w:t>
      </w:r>
    </w:p>
    <w:p w:rsidR="00E7639F" w:rsidRPr="00313586" w:rsidRDefault="009A0611" w:rsidP="00313586">
      <w:pPr>
        <w:pStyle w:val="Caption"/>
      </w:pPr>
      <w:bookmarkStart w:id="484" w:name="_Toc23337529"/>
      <w:r w:rsidRPr="006100EB">
        <w:t xml:space="preserve">Табл. </w:t>
      </w:r>
      <w:r w:rsidR="006100EB" w:rsidRPr="00313586">
        <w:fldChar w:fldCharType="begin"/>
      </w:r>
      <w:r w:rsidR="006100EB" w:rsidRPr="006100EB">
        <w:instrText xml:space="preserve"> STYLEREF 1 \s </w:instrText>
      </w:r>
      <w:r w:rsidR="006100EB" w:rsidRPr="00313586">
        <w:fldChar w:fldCharType="separate"/>
      </w:r>
      <w:r w:rsidR="0034195B">
        <w:rPr>
          <w:noProof/>
        </w:rPr>
        <w:t>III</w:t>
      </w:r>
      <w:r w:rsidR="006100EB" w:rsidRPr="00313586">
        <w:fldChar w:fldCharType="end"/>
      </w:r>
      <w:r w:rsidRPr="006100EB">
        <w:noBreakHyphen/>
      </w:r>
      <w:r w:rsidR="006100EB" w:rsidRPr="00313586">
        <w:fldChar w:fldCharType="begin"/>
      </w:r>
      <w:r w:rsidR="006100EB" w:rsidRPr="006100EB">
        <w:instrText xml:space="preserve"> SEQ Табл. \* ARABIC \s 1 </w:instrText>
      </w:r>
      <w:r w:rsidR="006100EB" w:rsidRPr="00313586">
        <w:fldChar w:fldCharType="separate"/>
      </w:r>
      <w:r w:rsidR="0034195B">
        <w:rPr>
          <w:noProof/>
        </w:rPr>
        <w:t>3</w:t>
      </w:r>
      <w:r w:rsidR="006100EB" w:rsidRPr="00313586">
        <w:fldChar w:fldCharType="end"/>
      </w:r>
      <w:r w:rsidRPr="006100EB">
        <w:t>:</w:t>
      </w:r>
      <w:r w:rsidR="00E7639F" w:rsidRPr="006100EB">
        <w:t xml:space="preserve"> Разхо</w:t>
      </w:r>
      <w:r w:rsidR="009F0F9A" w:rsidRPr="006100EB">
        <w:t xml:space="preserve">ди за отбрана за периода </w:t>
      </w:r>
      <w:r w:rsidR="00065D2A" w:rsidRPr="00065D2A">
        <w:t>2019-2022</w:t>
      </w:r>
      <w:r w:rsidR="00E7639F" w:rsidRPr="006100EB">
        <w:t xml:space="preserve"> г.</w:t>
      </w:r>
      <w:bookmarkEnd w:id="484"/>
    </w:p>
    <w:p w:rsidR="00E7639F" w:rsidRPr="00CD66D5" w:rsidRDefault="00F57A60" w:rsidP="00F57A60">
      <w:pPr>
        <w:tabs>
          <w:tab w:val="left" w:pos="557"/>
          <w:tab w:val="left" w:pos="4181"/>
          <w:tab w:val="left" w:pos="5461"/>
          <w:tab w:val="left" w:pos="6741"/>
          <w:tab w:val="left" w:pos="8021"/>
        </w:tabs>
        <w:spacing w:after="0"/>
        <w:ind w:left="55"/>
        <w:jc w:val="right"/>
        <w:rPr>
          <w:rFonts w:eastAsia="Times New Roman" w:cs="Times New Roman"/>
          <w:b/>
          <w:bCs/>
          <w:sz w:val="20"/>
          <w:szCs w:val="20"/>
        </w:rPr>
      </w:pPr>
      <w:r>
        <w:rPr>
          <w:rFonts w:eastAsia="Times New Roman" w:cs="Times New Roman"/>
          <w:b/>
          <w:bCs/>
          <w:sz w:val="20"/>
          <w:szCs w:val="20"/>
        </w:rPr>
        <w:t>(</w:t>
      </w:r>
      <w:r w:rsidR="00523154">
        <w:rPr>
          <w:rFonts w:eastAsia="Times New Roman" w:cs="Times New Roman"/>
          <w:b/>
          <w:bCs/>
          <w:sz w:val="20"/>
          <w:szCs w:val="20"/>
        </w:rPr>
        <w:t>млн.</w:t>
      </w:r>
      <w:r w:rsidR="00046403">
        <w:rPr>
          <w:rFonts w:eastAsia="Times New Roman" w:cs="Times New Roman"/>
          <w:b/>
          <w:bCs/>
          <w:sz w:val="20"/>
          <w:szCs w:val="20"/>
        </w:rPr>
        <w:t xml:space="preserve"> </w:t>
      </w:r>
      <w:r w:rsidR="00523154">
        <w:rPr>
          <w:rFonts w:eastAsia="Times New Roman" w:cs="Times New Roman"/>
          <w:b/>
          <w:bCs/>
          <w:sz w:val="20"/>
          <w:szCs w:val="20"/>
        </w:rPr>
        <w:t>лв.</w:t>
      </w:r>
      <w:r>
        <w:rPr>
          <w:rFonts w:eastAsia="Times New Roman" w:cs="Times New Roman"/>
          <w:b/>
          <w:bCs/>
          <w:sz w:val="20"/>
          <w:szCs w:val="20"/>
        </w:rPr>
        <w:t>)</w:t>
      </w:r>
    </w:p>
    <w:tbl>
      <w:tblPr>
        <w:tblW w:w="5031" w:type="pct"/>
        <w:tblBorders>
          <w:top w:val="single" w:sz="4" w:space="0" w:color="auto"/>
          <w:bottom w:val="single" w:sz="4" w:space="0" w:color="auto"/>
        </w:tblBorders>
        <w:tblLayout w:type="fixed"/>
        <w:tblCellMar>
          <w:left w:w="70" w:type="dxa"/>
          <w:right w:w="70" w:type="dxa"/>
        </w:tblCellMar>
        <w:tblLook w:val="04A0" w:firstRow="1" w:lastRow="0" w:firstColumn="1" w:lastColumn="0" w:noHBand="0" w:noVBand="1"/>
      </w:tblPr>
      <w:tblGrid>
        <w:gridCol w:w="488"/>
        <w:gridCol w:w="2966"/>
        <w:gridCol w:w="1017"/>
        <w:gridCol w:w="1623"/>
        <w:gridCol w:w="1013"/>
        <w:gridCol w:w="1013"/>
        <w:gridCol w:w="1006"/>
      </w:tblGrid>
      <w:tr w:rsidR="003F5405" w:rsidRPr="00091C3A" w:rsidTr="00034C85">
        <w:trPr>
          <w:trHeight w:val="60"/>
          <w:tblHeader/>
        </w:trPr>
        <w:tc>
          <w:tcPr>
            <w:tcW w:w="268" w:type="pct"/>
            <w:tcBorders>
              <w:top w:val="single" w:sz="4" w:space="0" w:color="auto"/>
              <w:bottom w:val="single" w:sz="4" w:space="0" w:color="auto"/>
            </w:tcBorders>
            <w:shd w:val="clear" w:color="auto" w:fill="auto"/>
            <w:vAlign w:val="bottom"/>
            <w:hideMark/>
          </w:tcPr>
          <w:p w:rsidR="003F5405" w:rsidRPr="00091C3A" w:rsidRDefault="003F5405" w:rsidP="00064BF8">
            <w:pPr>
              <w:spacing w:after="0"/>
              <w:jc w:val="center"/>
              <w:rPr>
                <w:rFonts w:eastAsia="Times New Roman" w:cs="Times New Roman"/>
                <w:b/>
                <w:bCs/>
                <w:sz w:val="18"/>
                <w:szCs w:val="18"/>
              </w:rPr>
            </w:pPr>
            <w:r w:rsidRPr="00091C3A">
              <w:rPr>
                <w:rFonts w:eastAsia="Times New Roman" w:cs="Times New Roman"/>
                <w:b/>
                <w:bCs/>
                <w:sz w:val="18"/>
                <w:szCs w:val="18"/>
              </w:rPr>
              <w:t>№ по ред</w:t>
            </w:r>
          </w:p>
        </w:tc>
        <w:tc>
          <w:tcPr>
            <w:tcW w:w="1625" w:type="pct"/>
            <w:tcBorders>
              <w:top w:val="single" w:sz="4" w:space="0" w:color="auto"/>
              <w:bottom w:val="single" w:sz="4" w:space="0" w:color="auto"/>
            </w:tcBorders>
            <w:shd w:val="clear" w:color="auto" w:fill="auto"/>
            <w:noWrap/>
            <w:vAlign w:val="center"/>
            <w:hideMark/>
          </w:tcPr>
          <w:p w:rsidR="003F5405" w:rsidRPr="00091C3A" w:rsidRDefault="003F5405" w:rsidP="00064BF8">
            <w:pPr>
              <w:spacing w:after="0"/>
              <w:contextualSpacing/>
              <w:jc w:val="center"/>
              <w:rPr>
                <w:rFonts w:eastAsia="Times New Roman" w:cs="Times New Roman"/>
                <w:b/>
                <w:bCs/>
                <w:sz w:val="18"/>
                <w:szCs w:val="18"/>
              </w:rPr>
            </w:pPr>
            <w:r w:rsidRPr="00091C3A">
              <w:rPr>
                <w:rFonts w:eastAsia="Times New Roman" w:cs="Times New Roman"/>
                <w:b/>
                <w:bCs/>
                <w:sz w:val="18"/>
                <w:szCs w:val="18"/>
              </w:rPr>
              <w:t>Показатели/години</w:t>
            </w:r>
          </w:p>
        </w:tc>
        <w:tc>
          <w:tcPr>
            <w:tcW w:w="557" w:type="pct"/>
            <w:tcBorders>
              <w:top w:val="single" w:sz="4" w:space="0" w:color="auto"/>
              <w:bottom w:val="single" w:sz="4" w:space="0" w:color="auto"/>
            </w:tcBorders>
            <w:shd w:val="clear" w:color="auto" w:fill="auto"/>
            <w:vAlign w:val="center"/>
            <w:hideMark/>
          </w:tcPr>
          <w:p w:rsidR="003F5405" w:rsidRPr="00091C3A" w:rsidRDefault="003F5405" w:rsidP="00064BF8">
            <w:pPr>
              <w:spacing w:after="0"/>
              <w:contextualSpacing/>
              <w:jc w:val="center"/>
              <w:rPr>
                <w:rFonts w:eastAsia="Times New Roman" w:cs="Times New Roman"/>
                <w:b/>
                <w:bCs/>
                <w:i/>
                <w:sz w:val="18"/>
                <w:szCs w:val="18"/>
              </w:rPr>
            </w:pPr>
            <w:r w:rsidRPr="00091C3A">
              <w:rPr>
                <w:rFonts w:eastAsia="Times New Roman" w:cs="Times New Roman"/>
                <w:b/>
                <w:bCs/>
                <w:i/>
                <w:sz w:val="18"/>
                <w:szCs w:val="18"/>
              </w:rPr>
              <w:t>Програма                     201</w:t>
            </w:r>
            <w:r w:rsidRPr="00091C3A">
              <w:rPr>
                <w:rFonts w:eastAsia="Times New Roman" w:cs="Times New Roman"/>
                <w:b/>
                <w:bCs/>
                <w:i/>
                <w:sz w:val="18"/>
                <w:szCs w:val="18"/>
                <w:lang w:val="en-US"/>
              </w:rPr>
              <w:t>9</w:t>
            </w:r>
            <w:r w:rsidRPr="00091C3A">
              <w:rPr>
                <w:rFonts w:eastAsia="Times New Roman" w:cs="Times New Roman"/>
                <w:b/>
                <w:bCs/>
                <w:i/>
                <w:sz w:val="18"/>
                <w:szCs w:val="18"/>
              </w:rPr>
              <w:t xml:space="preserve"> г.</w:t>
            </w:r>
          </w:p>
        </w:tc>
        <w:tc>
          <w:tcPr>
            <w:tcW w:w="889" w:type="pct"/>
            <w:tcBorders>
              <w:top w:val="single" w:sz="4" w:space="0" w:color="auto"/>
              <w:bottom w:val="single" w:sz="4" w:space="0" w:color="auto"/>
            </w:tcBorders>
          </w:tcPr>
          <w:p w:rsidR="003F5405" w:rsidRPr="00091C3A" w:rsidRDefault="00834F2C" w:rsidP="00064BF8">
            <w:pPr>
              <w:spacing w:after="0"/>
              <w:jc w:val="center"/>
              <w:rPr>
                <w:rFonts w:eastAsia="Times New Roman" w:cs="Times New Roman"/>
                <w:b/>
                <w:bCs/>
                <w:i/>
                <w:sz w:val="18"/>
                <w:szCs w:val="18"/>
              </w:rPr>
            </w:pPr>
            <w:r>
              <w:rPr>
                <w:rFonts w:eastAsia="Times New Roman" w:cs="Times New Roman"/>
                <w:b/>
                <w:bCs/>
                <w:i/>
                <w:sz w:val="18"/>
                <w:szCs w:val="18"/>
              </w:rPr>
              <w:t>Ревизирана</w:t>
            </w:r>
          </w:p>
          <w:p w:rsidR="003F5405" w:rsidRPr="00091C3A" w:rsidRDefault="00834F2C" w:rsidP="00064BF8">
            <w:pPr>
              <w:spacing w:after="0"/>
              <w:jc w:val="center"/>
              <w:rPr>
                <w:rFonts w:eastAsia="Times New Roman" w:cs="Times New Roman"/>
                <w:b/>
                <w:bCs/>
                <w:i/>
                <w:sz w:val="18"/>
                <w:szCs w:val="18"/>
              </w:rPr>
            </w:pPr>
            <w:r>
              <w:rPr>
                <w:rFonts w:eastAsia="Times New Roman" w:cs="Times New Roman"/>
                <w:b/>
                <w:bCs/>
                <w:i/>
                <w:sz w:val="18"/>
                <w:szCs w:val="18"/>
              </w:rPr>
              <w:t>оценка</w:t>
            </w:r>
            <w:r w:rsidR="003F5405" w:rsidRPr="00091C3A">
              <w:rPr>
                <w:rFonts w:eastAsia="Times New Roman" w:cs="Times New Roman"/>
                <w:b/>
                <w:bCs/>
                <w:i/>
                <w:sz w:val="18"/>
                <w:szCs w:val="18"/>
              </w:rPr>
              <w:t xml:space="preserve">                     201</w:t>
            </w:r>
            <w:r w:rsidR="003F5405" w:rsidRPr="00091C3A">
              <w:rPr>
                <w:rFonts w:eastAsia="Times New Roman" w:cs="Times New Roman"/>
                <w:b/>
                <w:bCs/>
                <w:i/>
                <w:sz w:val="18"/>
                <w:szCs w:val="18"/>
                <w:lang w:val="en-US"/>
              </w:rPr>
              <w:t>9</w:t>
            </w:r>
            <w:r w:rsidR="003F5405" w:rsidRPr="00091C3A">
              <w:rPr>
                <w:rFonts w:eastAsia="Times New Roman" w:cs="Times New Roman"/>
                <w:b/>
                <w:bCs/>
                <w:i/>
                <w:sz w:val="18"/>
                <w:szCs w:val="18"/>
              </w:rPr>
              <w:t xml:space="preserve"> г.</w:t>
            </w:r>
          </w:p>
        </w:tc>
        <w:tc>
          <w:tcPr>
            <w:tcW w:w="555" w:type="pct"/>
            <w:tcBorders>
              <w:top w:val="single" w:sz="4" w:space="0" w:color="auto"/>
              <w:bottom w:val="single" w:sz="4" w:space="0" w:color="auto"/>
            </w:tcBorders>
            <w:shd w:val="clear" w:color="auto" w:fill="auto"/>
            <w:vAlign w:val="center"/>
            <w:hideMark/>
          </w:tcPr>
          <w:p w:rsidR="003F5405" w:rsidRPr="00091C3A" w:rsidRDefault="003F5405" w:rsidP="00064BF8">
            <w:pPr>
              <w:spacing w:after="0"/>
              <w:jc w:val="center"/>
              <w:rPr>
                <w:rFonts w:eastAsia="Times New Roman" w:cs="Times New Roman"/>
                <w:b/>
                <w:bCs/>
                <w:i/>
                <w:sz w:val="18"/>
                <w:szCs w:val="18"/>
              </w:rPr>
            </w:pPr>
            <w:r w:rsidRPr="00091C3A">
              <w:rPr>
                <w:rFonts w:eastAsia="Times New Roman" w:cs="Times New Roman"/>
                <w:b/>
                <w:bCs/>
                <w:i/>
                <w:sz w:val="18"/>
                <w:szCs w:val="18"/>
              </w:rPr>
              <w:t xml:space="preserve">Проект </w:t>
            </w:r>
          </w:p>
          <w:p w:rsidR="003F5405" w:rsidRPr="00091C3A" w:rsidRDefault="003F5405" w:rsidP="00064BF8">
            <w:pPr>
              <w:spacing w:after="0"/>
              <w:jc w:val="center"/>
              <w:rPr>
                <w:rFonts w:eastAsia="Times New Roman" w:cs="Times New Roman"/>
                <w:b/>
                <w:bCs/>
                <w:i/>
                <w:sz w:val="18"/>
                <w:szCs w:val="18"/>
              </w:rPr>
            </w:pPr>
            <w:r w:rsidRPr="00091C3A">
              <w:rPr>
                <w:rFonts w:eastAsia="Times New Roman" w:cs="Times New Roman"/>
                <w:b/>
                <w:bCs/>
                <w:i/>
                <w:sz w:val="18"/>
                <w:szCs w:val="18"/>
              </w:rPr>
              <w:t>20</w:t>
            </w:r>
            <w:r w:rsidRPr="00091C3A">
              <w:rPr>
                <w:rFonts w:eastAsia="Times New Roman" w:cs="Times New Roman"/>
                <w:b/>
                <w:bCs/>
                <w:i/>
                <w:sz w:val="18"/>
                <w:szCs w:val="18"/>
                <w:lang w:val="en-US"/>
              </w:rPr>
              <w:t>20</w:t>
            </w:r>
            <w:r w:rsidRPr="00091C3A">
              <w:rPr>
                <w:rFonts w:eastAsia="Times New Roman" w:cs="Times New Roman"/>
                <w:b/>
                <w:bCs/>
                <w:i/>
                <w:sz w:val="18"/>
                <w:szCs w:val="18"/>
              </w:rPr>
              <w:t xml:space="preserve"> г.</w:t>
            </w:r>
          </w:p>
        </w:tc>
        <w:tc>
          <w:tcPr>
            <w:tcW w:w="555" w:type="pct"/>
            <w:tcBorders>
              <w:top w:val="single" w:sz="4" w:space="0" w:color="auto"/>
              <w:bottom w:val="single" w:sz="4" w:space="0" w:color="auto"/>
            </w:tcBorders>
            <w:shd w:val="clear" w:color="auto" w:fill="auto"/>
            <w:vAlign w:val="center"/>
            <w:hideMark/>
          </w:tcPr>
          <w:p w:rsidR="003F5405" w:rsidRPr="00091C3A" w:rsidRDefault="003F5405" w:rsidP="00064BF8">
            <w:pPr>
              <w:spacing w:after="0"/>
              <w:contextualSpacing/>
              <w:jc w:val="center"/>
              <w:rPr>
                <w:rFonts w:eastAsia="Times New Roman" w:cs="Times New Roman"/>
                <w:b/>
                <w:bCs/>
                <w:i/>
                <w:sz w:val="18"/>
                <w:szCs w:val="18"/>
              </w:rPr>
            </w:pPr>
            <w:r w:rsidRPr="00091C3A">
              <w:rPr>
                <w:rFonts w:eastAsia="Times New Roman" w:cs="Times New Roman"/>
                <w:b/>
                <w:bCs/>
                <w:i/>
                <w:sz w:val="18"/>
                <w:szCs w:val="18"/>
              </w:rPr>
              <w:t xml:space="preserve">Прогноза </w:t>
            </w:r>
            <w:r w:rsidRPr="00091C3A">
              <w:rPr>
                <w:rFonts w:eastAsia="Times New Roman" w:cs="Times New Roman"/>
                <w:b/>
                <w:bCs/>
                <w:i/>
                <w:sz w:val="18"/>
                <w:szCs w:val="18"/>
              </w:rPr>
              <w:br/>
              <w:t>202</w:t>
            </w:r>
            <w:r w:rsidRPr="00091C3A">
              <w:rPr>
                <w:rFonts w:eastAsia="Times New Roman" w:cs="Times New Roman"/>
                <w:b/>
                <w:bCs/>
                <w:i/>
                <w:sz w:val="18"/>
                <w:szCs w:val="18"/>
                <w:lang w:val="en-US"/>
              </w:rPr>
              <w:t>1</w:t>
            </w:r>
            <w:r w:rsidRPr="00091C3A">
              <w:rPr>
                <w:rFonts w:eastAsia="Times New Roman" w:cs="Times New Roman"/>
                <w:b/>
                <w:bCs/>
                <w:i/>
                <w:sz w:val="18"/>
                <w:szCs w:val="18"/>
              </w:rPr>
              <w:t xml:space="preserve"> г. </w:t>
            </w:r>
          </w:p>
        </w:tc>
        <w:tc>
          <w:tcPr>
            <w:tcW w:w="551" w:type="pct"/>
            <w:tcBorders>
              <w:top w:val="single" w:sz="4" w:space="0" w:color="auto"/>
              <w:bottom w:val="single" w:sz="4" w:space="0" w:color="auto"/>
            </w:tcBorders>
            <w:shd w:val="clear" w:color="auto" w:fill="auto"/>
            <w:vAlign w:val="center"/>
            <w:hideMark/>
          </w:tcPr>
          <w:p w:rsidR="003F5405" w:rsidRPr="00091C3A" w:rsidRDefault="003F5405" w:rsidP="00064BF8">
            <w:pPr>
              <w:spacing w:after="0"/>
              <w:contextualSpacing/>
              <w:jc w:val="center"/>
              <w:rPr>
                <w:rFonts w:eastAsia="Times New Roman" w:cs="Times New Roman"/>
                <w:b/>
                <w:bCs/>
                <w:i/>
                <w:sz w:val="18"/>
                <w:szCs w:val="18"/>
              </w:rPr>
            </w:pPr>
            <w:r w:rsidRPr="00091C3A">
              <w:rPr>
                <w:rFonts w:eastAsia="Times New Roman" w:cs="Times New Roman"/>
                <w:b/>
                <w:bCs/>
                <w:i/>
                <w:sz w:val="18"/>
                <w:szCs w:val="18"/>
              </w:rPr>
              <w:t xml:space="preserve">Прогноза </w:t>
            </w:r>
            <w:r w:rsidRPr="00091C3A">
              <w:rPr>
                <w:rFonts w:eastAsia="Times New Roman" w:cs="Times New Roman"/>
                <w:b/>
                <w:bCs/>
                <w:i/>
                <w:sz w:val="18"/>
                <w:szCs w:val="18"/>
              </w:rPr>
              <w:br/>
              <w:t>202</w:t>
            </w:r>
            <w:r w:rsidRPr="00091C3A">
              <w:rPr>
                <w:rFonts w:eastAsia="Times New Roman" w:cs="Times New Roman"/>
                <w:b/>
                <w:bCs/>
                <w:i/>
                <w:sz w:val="18"/>
                <w:szCs w:val="18"/>
                <w:lang w:val="en-US"/>
              </w:rPr>
              <w:t>2</w:t>
            </w:r>
            <w:r w:rsidRPr="00091C3A">
              <w:rPr>
                <w:rFonts w:eastAsia="Times New Roman" w:cs="Times New Roman"/>
                <w:b/>
                <w:bCs/>
                <w:i/>
                <w:sz w:val="18"/>
                <w:szCs w:val="18"/>
              </w:rPr>
              <w:t xml:space="preserve"> г. </w:t>
            </w:r>
          </w:p>
        </w:tc>
      </w:tr>
      <w:tr w:rsidR="003F5405" w:rsidRPr="00091C3A" w:rsidTr="00034C85">
        <w:trPr>
          <w:trHeight w:val="310"/>
        </w:trPr>
        <w:tc>
          <w:tcPr>
            <w:tcW w:w="268" w:type="pct"/>
            <w:tcBorders>
              <w:top w:val="single" w:sz="4" w:space="0" w:color="auto"/>
              <w:bottom w:val="nil"/>
            </w:tcBorders>
            <w:shd w:val="clear" w:color="auto" w:fill="auto"/>
            <w:noWrap/>
            <w:vAlign w:val="bottom"/>
            <w:hideMark/>
          </w:tcPr>
          <w:p w:rsidR="003F5405" w:rsidRPr="00091C3A" w:rsidRDefault="003F5405" w:rsidP="00064BF8">
            <w:pPr>
              <w:spacing w:after="0"/>
              <w:contextualSpacing/>
              <w:jc w:val="center"/>
              <w:rPr>
                <w:rFonts w:eastAsia="Times New Roman" w:cs="Times New Roman"/>
                <w:sz w:val="18"/>
                <w:szCs w:val="18"/>
              </w:rPr>
            </w:pPr>
            <w:r w:rsidRPr="00091C3A">
              <w:rPr>
                <w:rFonts w:eastAsia="Times New Roman" w:cs="Times New Roman"/>
                <w:sz w:val="18"/>
                <w:szCs w:val="18"/>
              </w:rPr>
              <w:t>1.</w:t>
            </w:r>
          </w:p>
        </w:tc>
        <w:tc>
          <w:tcPr>
            <w:tcW w:w="1625" w:type="pct"/>
            <w:tcBorders>
              <w:top w:val="single" w:sz="4" w:space="0" w:color="auto"/>
              <w:bottom w:val="nil"/>
            </w:tcBorders>
            <w:shd w:val="clear" w:color="auto" w:fill="auto"/>
            <w:vAlign w:val="bottom"/>
            <w:hideMark/>
          </w:tcPr>
          <w:p w:rsidR="003F5405" w:rsidRPr="00091C3A" w:rsidRDefault="003F5405" w:rsidP="00064BF8">
            <w:pPr>
              <w:spacing w:after="0"/>
              <w:contextualSpacing/>
              <w:rPr>
                <w:rFonts w:eastAsia="Times New Roman" w:cs="Times New Roman"/>
                <w:sz w:val="18"/>
                <w:szCs w:val="18"/>
              </w:rPr>
            </w:pPr>
            <w:r w:rsidRPr="00091C3A">
              <w:rPr>
                <w:rFonts w:eastAsia="Times New Roman" w:cs="Times New Roman"/>
                <w:sz w:val="18"/>
                <w:szCs w:val="18"/>
              </w:rPr>
              <w:t>Разходи за отбрана</w:t>
            </w:r>
          </w:p>
        </w:tc>
        <w:tc>
          <w:tcPr>
            <w:tcW w:w="557" w:type="pct"/>
            <w:tcBorders>
              <w:top w:val="single" w:sz="4" w:space="0" w:color="auto"/>
              <w:bottom w:val="nil"/>
            </w:tcBorders>
            <w:shd w:val="clear" w:color="auto" w:fill="auto"/>
            <w:noWrap/>
            <w:vAlign w:val="bottom"/>
          </w:tcPr>
          <w:p w:rsidR="003F5405" w:rsidRPr="00091C3A" w:rsidRDefault="003F5405" w:rsidP="00064BF8">
            <w:pPr>
              <w:spacing w:after="0"/>
              <w:contextualSpacing/>
              <w:jc w:val="center"/>
              <w:rPr>
                <w:rFonts w:eastAsia="Times New Roman" w:cs="Times New Roman"/>
                <w:sz w:val="18"/>
                <w:szCs w:val="18"/>
              </w:rPr>
            </w:pPr>
            <w:r w:rsidRPr="00091C3A">
              <w:rPr>
                <w:rFonts w:eastAsia="Times New Roman" w:cs="Times New Roman"/>
                <w:sz w:val="18"/>
                <w:szCs w:val="18"/>
              </w:rPr>
              <w:t>1 839,3</w:t>
            </w:r>
          </w:p>
        </w:tc>
        <w:tc>
          <w:tcPr>
            <w:tcW w:w="889" w:type="pct"/>
            <w:tcBorders>
              <w:top w:val="single" w:sz="4" w:space="0" w:color="auto"/>
              <w:bottom w:val="nil"/>
            </w:tcBorders>
            <w:vAlign w:val="bottom"/>
          </w:tcPr>
          <w:p w:rsidR="003F5405" w:rsidRPr="00091C3A" w:rsidRDefault="003F5405" w:rsidP="00064BF8">
            <w:pPr>
              <w:spacing w:after="0"/>
              <w:contextualSpacing/>
              <w:jc w:val="center"/>
              <w:rPr>
                <w:rFonts w:eastAsia="Times New Roman" w:cs="Times New Roman"/>
                <w:sz w:val="18"/>
                <w:szCs w:val="18"/>
              </w:rPr>
            </w:pPr>
            <w:r w:rsidRPr="00091C3A">
              <w:rPr>
                <w:rFonts w:eastAsia="Times New Roman" w:cs="Times New Roman"/>
                <w:sz w:val="18"/>
                <w:szCs w:val="18"/>
              </w:rPr>
              <w:t>3 668,3</w:t>
            </w:r>
          </w:p>
        </w:tc>
        <w:tc>
          <w:tcPr>
            <w:tcW w:w="555" w:type="pct"/>
            <w:tcBorders>
              <w:top w:val="single" w:sz="4" w:space="0" w:color="auto"/>
              <w:bottom w:val="nil"/>
            </w:tcBorders>
            <w:shd w:val="clear" w:color="auto" w:fill="auto"/>
            <w:noWrap/>
            <w:vAlign w:val="bottom"/>
            <w:hideMark/>
          </w:tcPr>
          <w:p w:rsidR="003F5405" w:rsidRPr="00091C3A" w:rsidRDefault="00F673F4" w:rsidP="00064BF8">
            <w:pPr>
              <w:spacing w:after="0"/>
              <w:contextualSpacing/>
              <w:jc w:val="center"/>
              <w:rPr>
                <w:rFonts w:eastAsia="Times New Roman" w:cs="Times New Roman"/>
                <w:sz w:val="18"/>
                <w:szCs w:val="18"/>
              </w:rPr>
            </w:pPr>
            <w:r>
              <w:rPr>
                <w:rFonts w:eastAsia="Times New Roman" w:cs="Times New Roman"/>
                <w:sz w:val="18"/>
                <w:szCs w:val="18"/>
              </w:rPr>
              <w:t>2</w:t>
            </w:r>
            <w:r w:rsidR="003F5405" w:rsidRPr="00091C3A">
              <w:rPr>
                <w:rFonts w:eastAsia="Times New Roman" w:cs="Times New Roman"/>
                <w:sz w:val="18"/>
                <w:szCs w:val="18"/>
              </w:rPr>
              <w:t> </w:t>
            </w:r>
            <w:r>
              <w:rPr>
                <w:rFonts w:eastAsia="Times New Roman" w:cs="Times New Roman"/>
                <w:sz w:val="18"/>
                <w:szCs w:val="18"/>
              </w:rPr>
              <w:t>0</w:t>
            </w:r>
            <w:r w:rsidR="003F5405" w:rsidRPr="00091C3A">
              <w:rPr>
                <w:rFonts w:eastAsia="Times New Roman" w:cs="Times New Roman"/>
                <w:sz w:val="18"/>
                <w:szCs w:val="18"/>
              </w:rPr>
              <w:t>41,0</w:t>
            </w:r>
          </w:p>
        </w:tc>
        <w:tc>
          <w:tcPr>
            <w:tcW w:w="555" w:type="pct"/>
            <w:tcBorders>
              <w:top w:val="single" w:sz="4" w:space="0" w:color="auto"/>
              <w:bottom w:val="nil"/>
            </w:tcBorders>
            <w:shd w:val="clear" w:color="auto" w:fill="auto"/>
            <w:noWrap/>
            <w:vAlign w:val="bottom"/>
            <w:hideMark/>
          </w:tcPr>
          <w:p w:rsidR="003F5405" w:rsidRPr="00091C3A" w:rsidRDefault="003F5405" w:rsidP="00064BF8">
            <w:pPr>
              <w:spacing w:after="0"/>
              <w:contextualSpacing/>
              <w:jc w:val="center"/>
              <w:rPr>
                <w:rFonts w:eastAsia="Times New Roman" w:cs="Times New Roman"/>
                <w:sz w:val="18"/>
                <w:szCs w:val="18"/>
              </w:rPr>
            </w:pPr>
            <w:r w:rsidRPr="00091C3A">
              <w:rPr>
                <w:rFonts w:eastAsia="Times New Roman" w:cs="Times New Roman"/>
                <w:sz w:val="18"/>
                <w:szCs w:val="18"/>
              </w:rPr>
              <w:t>1</w:t>
            </w:r>
            <w:r w:rsidRPr="00091C3A">
              <w:rPr>
                <w:rFonts w:eastAsia="Times New Roman" w:cs="Times New Roman"/>
                <w:sz w:val="18"/>
                <w:szCs w:val="18"/>
                <w:lang w:val="en-US"/>
              </w:rPr>
              <w:t xml:space="preserve"> </w:t>
            </w:r>
            <w:r w:rsidRPr="00091C3A">
              <w:rPr>
                <w:rFonts w:eastAsia="Times New Roman" w:cs="Times New Roman"/>
                <w:sz w:val="18"/>
                <w:szCs w:val="18"/>
              </w:rPr>
              <w:t>952</w:t>
            </w:r>
            <w:r w:rsidRPr="00091C3A">
              <w:rPr>
                <w:rFonts w:eastAsia="Times New Roman" w:cs="Times New Roman"/>
                <w:sz w:val="18"/>
                <w:szCs w:val="18"/>
                <w:lang w:val="en-US"/>
              </w:rPr>
              <w:t>,</w:t>
            </w:r>
            <w:r w:rsidRPr="00091C3A">
              <w:rPr>
                <w:rFonts w:eastAsia="Times New Roman" w:cs="Times New Roman"/>
                <w:sz w:val="18"/>
                <w:szCs w:val="18"/>
              </w:rPr>
              <w:t>6</w:t>
            </w:r>
          </w:p>
        </w:tc>
        <w:tc>
          <w:tcPr>
            <w:tcW w:w="551" w:type="pct"/>
            <w:tcBorders>
              <w:top w:val="single" w:sz="4" w:space="0" w:color="auto"/>
              <w:bottom w:val="nil"/>
            </w:tcBorders>
            <w:shd w:val="clear" w:color="auto" w:fill="auto"/>
            <w:noWrap/>
            <w:vAlign w:val="bottom"/>
            <w:hideMark/>
          </w:tcPr>
          <w:p w:rsidR="003F5405" w:rsidRPr="00091C3A" w:rsidRDefault="003F5405" w:rsidP="00064BF8">
            <w:pPr>
              <w:spacing w:after="0"/>
              <w:contextualSpacing/>
              <w:jc w:val="center"/>
              <w:rPr>
                <w:rFonts w:eastAsia="Times New Roman" w:cs="Times New Roman"/>
                <w:sz w:val="18"/>
                <w:szCs w:val="18"/>
              </w:rPr>
            </w:pPr>
            <w:r w:rsidRPr="00091C3A">
              <w:rPr>
                <w:rFonts w:eastAsia="Times New Roman" w:cs="Times New Roman"/>
                <w:sz w:val="18"/>
                <w:szCs w:val="18"/>
                <w:lang w:val="en-US"/>
              </w:rPr>
              <w:t xml:space="preserve">2 </w:t>
            </w:r>
            <w:r w:rsidRPr="00091C3A">
              <w:rPr>
                <w:rFonts w:eastAsia="Times New Roman" w:cs="Times New Roman"/>
                <w:sz w:val="18"/>
                <w:szCs w:val="18"/>
              </w:rPr>
              <w:t>197</w:t>
            </w:r>
            <w:r w:rsidRPr="00091C3A">
              <w:rPr>
                <w:rFonts w:eastAsia="Times New Roman" w:cs="Times New Roman"/>
                <w:sz w:val="18"/>
                <w:szCs w:val="18"/>
                <w:lang w:val="en-US"/>
              </w:rPr>
              <w:t>,</w:t>
            </w:r>
            <w:r w:rsidRPr="00091C3A">
              <w:rPr>
                <w:rFonts w:eastAsia="Times New Roman" w:cs="Times New Roman"/>
                <w:sz w:val="18"/>
                <w:szCs w:val="18"/>
              </w:rPr>
              <w:t>0</w:t>
            </w:r>
          </w:p>
        </w:tc>
      </w:tr>
      <w:tr w:rsidR="003F5405" w:rsidRPr="00091C3A" w:rsidTr="00834F2C">
        <w:trPr>
          <w:trHeight w:val="330"/>
        </w:trPr>
        <w:tc>
          <w:tcPr>
            <w:tcW w:w="268" w:type="pct"/>
            <w:tcBorders>
              <w:top w:val="nil"/>
            </w:tcBorders>
            <w:shd w:val="clear" w:color="auto" w:fill="auto"/>
            <w:noWrap/>
            <w:vAlign w:val="bottom"/>
            <w:hideMark/>
          </w:tcPr>
          <w:p w:rsidR="003F5405" w:rsidRPr="00091C3A" w:rsidRDefault="003F5405" w:rsidP="00064BF8">
            <w:pPr>
              <w:spacing w:after="0"/>
              <w:contextualSpacing/>
              <w:jc w:val="center"/>
              <w:rPr>
                <w:rFonts w:eastAsia="Times New Roman" w:cs="Times New Roman"/>
                <w:sz w:val="18"/>
                <w:szCs w:val="18"/>
              </w:rPr>
            </w:pPr>
            <w:r w:rsidRPr="00091C3A">
              <w:rPr>
                <w:rFonts w:eastAsia="Times New Roman" w:cs="Times New Roman"/>
                <w:sz w:val="18"/>
                <w:szCs w:val="18"/>
              </w:rPr>
              <w:t>2.</w:t>
            </w:r>
          </w:p>
        </w:tc>
        <w:tc>
          <w:tcPr>
            <w:tcW w:w="1625" w:type="pct"/>
            <w:tcBorders>
              <w:top w:val="nil"/>
            </w:tcBorders>
            <w:shd w:val="clear" w:color="auto" w:fill="auto"/>
            <w:vAlign w:val="bottom"/>
            <w:hideMark/>
          </w:tcPr>
          <w:p w:rsidR="003F5405" w:rsidRPr="00091C3A" w:rsidRDefault="003F5405" w:rsidP="00064BF8">
            <w:pPr>
              <w:spacing w:after="0"/>
              <w:contextualSpacing/>
              <w:rPr>
                <w:rFonts w:eastAsia="Times New Roman" w:cs="Times New Roman"/>
                <w:sz w:val="18"/>
                <w:szCs w:val="18"/>
              </w:rPr>
            </w:pPr>
            <w:r w:rsidRPr="00091C3A">
              <w:rPr>
                <w:rFonts w:eastAsia="Times New Roman" w:cs="Times New Roman"/>
                <w:sz w:val="18"/>
                <w:szCs w:val="18"/>
              </w:rPr>
              <w:t>Увеличение спрямо предходната година</w:t>
            </w:r>
          </w:p>
        </w:tc>
        <w:tc>
          <w:tcPr>
            <w:tcW w:w="557" w:type="pct"/>
            <w:tcBorders>
              <w:top w:val="nil"/>
            </w:tcBorders>
            <w:shd w:val="clear" w:color="auto" w:fill="auto"/>
            <w:noWrap/>
            <w:vAlign w:val="bottom"/>
          </w:tcPr>
          <w:p w:rsidR="003F5405" w:rsidRPr="00091C3A" w:rsidRDefault="003F5405" w:rsidP="00064BF8">
            <w:pPr>
              <w:spacing w:after="0"/>
              <w:contextualSpacing/>
              <w:jc w:val="center"/>
              <w:rPr>
                <w:rFonts w:eastAsia="Times New Roman" w:cs="Times New Roman"/>
                <w:sz w:val="18"/>
                <w:szCs w:val="18"/>
              </w:rPr>
            </w:pPr>
          </w:p>
        </w:tc>
        <w:tc>
          <w:tcPr>
            <w:tcW w:w="889" w:type="pct"/>
            <w:tcBorders>
              <w:top w:val="nil"/>
            </w:tcBorders>
            <w:vAlign w:val="bottom"/>
          </w:tcPr>
          <w:p w:rsidR="003F5405" w:rsidRPr="00091C3A" w:rsidRDefault="003F5405" w:rsidP="00064BF8">
            <w:pPr>
              <w:spacing w:after="0"/>
              <w:contextualSpacing/>
              <w:jc w:val="center"/>
              <w:rPr>
                <w:rFonts w:eastAsia="Times New Roman" w:cs="Times New Roman"/>
                <w:sz w:val="18"/>
                <w:szCs w:val="18"/>
              </w:rPr>
            </w:pPr>
          </w:p>
        </w:tc>
        <w:tc>
          <w:tcPr>
            <w:tcW w:w="555" w:type="pct"/>
            <w:tcBorders>
              <w:top w:val="nil"/>
            </w:tcBorders>
            <w:shd w:val="clear" w:color="auto" w:fill="auto"/>
            <w:noWrap/>
            <w:vAlign w:val="bottom"/>
            <w:hideMark/>
          </w:tcPr>
          <w:p w:rsidR="003F5405" w:rsidRPr="00091C3A" w:rsidRDefault="00F673F4" w:rsidP="00064BF8">
            <w:pPr>
              <w:spacing w:after="0"/>
              <w:contextualSpacing/>
              <w:jc w:val="center"/>
              <w:rPr>
                <w:rFonts w:eastAsia="Times New Roman" w:cs="Times New Roman"/>
                <w:sz w:val="18"/>
                <w:szCs w:val="18"/>
              </w:rPr>
            </w:pPr>
            <w:r>
              <w:rPr>
                <w:rFonts w:eastAsia="Times New Roman" w:cs="Times New Roman"/>
                <w:sz w:val="18"/>
                <w:szCs w:val="18"/>
              </w:rPr>
              <w:t>2</w:t>
            </w:r>
            <w:r w:rsidR="003F5405" w:rsidRPr="00091C3A">
              <w:rPr>
                <w:rFonts w:eastAsia="Times New Roman" w:cs="Times New Roman"/>
                <w:sz w:val="18"/>
                <w:szCs w:val="18"/>
              </w:rPr>
              <w:t>01</w:t>
            </w:r>
            <w:r w:rsidR="003F5405" w:rsidRPr="00091C3A">
              <w:rPr>
                <w:rFonts w:eastAsia="Times New Roman" w:cs="Times New Roman"/>
                <w:sz w:val="18"/>
                <w:szCs w:val="18"/>
                <w:lang w:val="en-US"/>
              </w:rPr>
              <w:t>,</w:t>
            </w:r>
            <w:r w:rsidR="003F5405" w:rsidRPr="00091C3A">
              <w:rPr>
                <w:rFonts w:eastAsia="Times New Roman" w:cs="Times New Roman"/>
                <w:sz w:val="18"/>
                <w:szCs w:val="18"/>
              </w:rPr>
              <w:t>7</w:t>
            </w:r>
          </w:p>
        </w:tc>
        <w:tc>
          <w:tcPr>
            <w:tcW w:w="555" w:type="pct"/>
            <w:tcBorders>
              <w:top w:val="nil"/>
            </w:tcBorders>
            <w:shd w:val="clear" w:color="auto" w:fill="auto"/>
            <w:noWrap/>
            <w:vAlign w:val="bottom"/>
            <w:hideMark/>
          </w:tcPr>
          <w:p w:rsidR="003F5405" w:rsidRPr="00091C3A" w:rsidRDefault="003F5405" w:rsidP="00064BF8">
            <w:pPr>
              <w:spacing w:after="0"/>
              <w:contextualSpacing/>
              <w:jc w:val="center"/>
              <w:rPr>
                <w:rFonts w:eastAsia="Times New Roman" w:cs="Times New Roman"/>
                <w:sz w:val="18"/>
                <w:szCs w:val="18"/>
                <w:lang w:val="en-US"/>
              </w:rPr>
            </w:pPr>
            <w:r w:rsidRPr="00091C3A">
              <w:rPr>
                <w:rFonts w:eastAsia="Times New Roman" w:cs="Times New Roman"/>
                <w:sz w:val="18"/>
                <w:szCs w:val="18"/>
              </w:rPr>
              <w:t>11</w:t>
            </w:r>
            <w:r w:rsidRPr="00091C3A">
              <w:rPr>
                <w:rFonts w:eastAsia="Times New Roman" w:cs="Times New Roman"/>
                <w:sz w:val="18"/>
                <w:szCs w:val="18"/>
                <w:lang w:val="en-US"/>
              </w:rPr>
              <w:t>,</w:t>
            </w:r>
            <w:r w:rsidRPr="00091C3A">
              <w:rPr>
                <w:rFonts w:eastAsia="Times New Roman" w:cs="Times New Roman"/>
                <w:sz w:val="18"/>
                <w:szCs w:val="18"/>
              </w:rPr>
              <w:t>6</w:t>
            </w:r>
          </w:p>
        </w:tc>
        <w:tc>
          <w:tcPr>
            <w:tcW w:w="551" w:type="pct"/>
            <w:tcBorders>
              <w:top w:val="nil"/>
            </w:tcBorders>
            <w:shd w:val="clear" w:color="auto" w:fill="auto"/>
            <w:noWrap/>
            <w:vAlign w:val="bottom"/>
            <w:hideMark/>
          </w:tcPr>
          <w:p w:rsidR="003F5405" w:rsidRPr="00091C3A" w:rsidRDefault="003F5405" w:rsidP="00064BF8">
            <w:pPr>
              <w:spacing w:after="0"/>
              <w:contextualSpacing/>
              <w:jc w:val="center"/>
              <w:rPr>
                <w:rFonts w:eastAsia="Times New Roman" w:cs="Times New Roman"/>
                <w:sz w:val="18"/>
                <w:szCs w:val="18"/>
              </w:rPr>
            </w:pPr>
            <w:r w:rsidRPr="00091C3A">
              <w:rPr>
                <w:rFonts w:eastAsia="Times New Roman" w:cs="Times New Roman"/>
                <w:sz w:val="18"/>
                <w:szCs w:val="18"/>
                <w:lang w:val="en-US"/>
              </w:rPr>
              <w:t>2</w:t>
            </w:r>
            <w:r w:rsidRPr="00091C3A">
              <w:rPr>
                <w:rFonts w:eastAsia="Times New Roman" w:cs="Times New Roman"/>
                <w:sz w:val="18"/>
                <w:szCs w:val="18"/>
              </w:rPr>
              <w:t>44</w:t>
            </w:r>
            <w:r w:rsidRPr="00091C3A">
              <w:rPr>
                <w:rFonts w:eastAsia="Times New Roman" w:cs="Times New Roman"/>
                <w:sz w:val="18"/>
                <w:szCs w:val="18"/>
                <w:lang w:val="en-US"/>
              </w:rPr>
              <w:t>,</w:t>
            </w:r>
            <w:r w:rsidRPr="00091C3A">
              <w:rPr>
                <w:rFonts w:eastAsia="Times New Roman" w:cs="Times New Roman"/>
                <w:sz w:val="18"/>
                <w:szCs w:val="18"/>
              </w:rPr>
              <w:t>4</w:t>
            </w:r>
          </w:p>
        </w:tc>
      </w:tr>
      <w:tr w:rsidR="00834F2C" w:rsidRPr="00091C3A" w:rsidTr="00834F2C">
        <w:trPr>
          <w:trHeight w:val="310"/>
        </w:trPr>
        <w:tc>
          <w:tcPr>
            <w:tcW w:w="268" w:type="pct"/>
            <w:shd w:val="clear" w:color="auto" w:fill="auto"/>
            <w:noWrap/>
            <w:vAlign w:val="bottom"/>
            <w:hideMark/>
          </w:tcPr>
          <w:p w:rsidR="00834F2C" w:rsidRPr="00091C3A" w:rsidRDefault="00834F2C" w:rsidP="00064BF8">
            <w:pPr>
              <w:spacing w:after="0"/>
              <w:contextualSpacing/>
              <w:jc w:val="center"/>
              <w:rPr>
                <w:rFonts w:eastAsia="Times New Roman" w:cs="Times New Roman"/>
                <w:sz w:val="18"/>
                <w:szCs w:val="18"/>
              </w:rPr>
            </w:pPr>
            <w:r w:rsidRPr="00091C3A">
              <w:rPr>
                <w:rFonts w:eastAsia="Times New Roman" w:cs="Times New Roman"/>
                <w:sz w:val="18"/>
                <w:szCs w:val="18"/>
              </w:rPr>
              <w:t>3.</w:t>
            </w:r>
          </w:p>
        </w:tc>
        <w:tc>
          <w:tcPr>
            <w:tcW w:w="1625" w:type="pct"/>
            <w:shd w:val="clear" w:color="auto" w:fill="auto"/>
            <w:vAlign w:val="bottom"/>
            <w:hideMark/>
          </w:tcPr>
          <w:p w:rsidR="00834F2C" w:rsidRPr="00091C3A" w:rsidRDefault="00834F2C" w:rsidP="00064BF8">
            <w:pPr>
              <w:spacing w:after="0"/>
              <w:contextualSpacing/>
              <w:rPr>
                <w:rFonts w:eastAsia="Times New Roman" w:cs="Times New Roman"/>
                <w:sz w:val="18"/>
                <w:szCs w:val="18"/>
              </w:rPr>
            </w:pPr>
            <w:r w:rsidRPr="00091C3A">
              <w:rPr>
                <w:rFonts w:eastAsia="Times New Roman" w:cs="Times New Roman"/>
                <w:sz w:val="18"/>
                <w:szCs w:val="18"/>
              </w:rPr>
              <w:t xml:space="preserve">БВП </w:t>
            </w:r>
          </w:p>
        </w:tc>
        <w:tc>
          <w:tcPr>
            <w:tcW w:w="557" w:type="pct"/>
            <w:shd w:val="clear" w:color="auto" w:fill="auto"/>
            <w:noWrap/>
            <w:vAlign w:val="bottom"/>
          </w:tcPr>
          <w:p w:rsidR="00834F2C" w:rsidRPr="00091C3A" w:rsidRDefault="00834F2C" w:rsidP="00064BF8">
            <w:pPr>
              <w:spacing w:after="0"/>
              <w:contextualSpacing/>
              <w:jc w:val="center"/>
              <w:rPr>
                <w:rFonts w:eastAsia="Times New Roman" w:cs="Times New Roman"/>
                <w:sz w:val="18"/>
                <w:szCs w:val="18"/>
              </w:rPr>
            </w:pPr>
            <w:r w:rsidRPr="00091C3A">
              <w:rPr>
                <w:rFonts w:eastAsia="Times New Roman" w:cs="Times New Roman"/>
                <w:sz w:val="18"/>
                <w:szCs w:val="18"/>
              </w:rPr>
              <w:t>116 412,0</w:t>
            </w:r>
          </w:p>
        </w:tc>
        <w:tc>
          <w:tcPr>
            <w:tcW w:w="889" w:type="pct"/>
            <w:vAlign w:val="bottom"/>
          </w:tcPr>
          <w:p w:rsidR="00834F2C" w:rsidRPr="00091C3A" w:rsidRDefault="00834F2C" w:rsidP="001370B5">
            <w:pPr>
              <w:spacing w:after="0"/>
              <w:contextualSpacing/>
              <w:jc w:val="center"/>
              <w:rPr>
                <w:rFonts w:eastAsia="Times New Roman" w:cs="Times New Roman"/>
                <w:sz w:val="18"/>
                <w:szCs w:val="18"/>
              </w:rPr>
            </w:pPr>
            <w:r>
              <w:rPr>
                <w:rFonts w:eastAsia="Times New Roman" w:cs="Times New Roman"/>
                <w:sz w:val="18"/>
                <w:szCs w:val="18"/>
              </w:rPr>
              <w:t>118 625,0</w:t>
            </w:r>
          </w:p>
        </w:tc>
        <w:tc>
          <w:tcPr>
            <w:tcW w:w="555" w:type="pct"/>
            <w:shd w:val="clear" w:color="auto" w:fill="auto"/>
            <w:noWrap/>
            <w:vAlign w:val="bottom"/>
            <w:hideMark/>
          </w:tcPr>
          <w:p w:rsidR="00834F2C" w:rsidRPr="00091C3A" w:rsidRDefault="00834F2C" w:rsidP="00064BF8">
            <w:pPr>
              <w:spacing w:after="0"/>
              <w:contextualSpacing/>
              <w:jc w:val="center"/>
              <w:rPr>
                <w:rFonts w:eastAsia="Times New Roman" w:cs="Times New Roman"/>
                <w:sz w:val="18"/>
                <w:szCs w:val="18"/>
                <w:lang w:val="en-US"/>
              </w:rPr>
            </w:pPr>
            <w:r w:rsidRPr="00091C3A">
              <w:rPr>
                <w:rFonts w:eastAsia="Times New Roman" w:cs="Times New Roman"/>
                <w:sz w:val="18"/>
                <w:szCs w:val="18"/>
                <w:lang w:val="en-US"/>
              </w:rPr>
              <w:t>12</w:t>
            </w:r>
            <w:r w:rsidRPr="00091C3A">
              <w:rPr>
                <w:rFonts w:eastAsia="Times New Roman" w:cs="Times New Roman"/>
                <w:sz w:val="18"/>
                <w:szCs w:val="18"/>
              </w:rPr>
              <w:t>6</w:t>
            </w:r>
            <w:r w:rsidRPr="00091C3A">
              <w:rPr>
                <w:rFonts w:eastAsia="Times New Roman" w:cs="Times New Roman"/>
                <w:sz w:val="18"/>
                <w:szCs w:val="18"/>
                <w:lang w:val="en-US"/>
              </w:rPr>
              <w:t xml:space="preserve"> </w:t>
            </w:r>
            <w:r w:rsidRPr="00091C3A">
              <w:rPr>
                <w:rFonts w:eastAsia="Times New Roman" w:cs="Times New Roman"/>
                <w:sz w:val="18"/>
                <w:szCs w:val="18"/>
              </w:rPr>
              <w:t>769</w:t>
            </w:r>
            <w:r w:rsidRPr="00091C3A">
              <w:rPr>
                <w:rFonts w:eastAsia="Times New Roman" w:cs="Times New Roman"/>
                <w:sz w:val="18"/>
                <w:szCs w:val="18"/>
                <w:lang w:val="en-US"/>
              </w:rPr>
              <w:t>,</w:t>
            </w:r>
            <w:r w:rsidRPr="00091C3A">
              <w:rPr>
                <w:rFonts w:eastAsia="Times New Roman" w:cs="Times New Roman"/>
                <w:sz w:val="18"/>
                <w:szCs w:val="18"/>
              </w:rPr>
              <w:t>0</w:t>
            </w:r>
          </w:p>
        </w:tc>
        <w:tc>
          <w:tcPr>
            <w:tcW w:w="555" w:type="pct"/>
            <w:shd w:val="clear" w:color="auto" w:fill="auto"/>
            <w:noWrap/>
            <w:vAlign w:val="bottom"/>
            <w:hideMark/>
          </w:tcPr>
          <w:p w:rsidR="00834F2C" w:rsidRPr="00091C3A" w:rsidRDefault="00834F2C" w:rsidP="00064BF8">
            <w:pPr>
              <w:spacing w:after="0"/>
              <w:contextualSpacing/>
              <w:jc w:val="center"/>
              <w:rPr>
                <w:rFonts w:eastAsia="Times New Roman" w:cs="Times New Roman"/>
                <w:sz w:val="18"/>
                <w:szCs w:val="18"/>
              </w:rPr>
            </w:pPr>
            <w:r w:rsidRPr="00091C3A">
              <w:rPr>
                <w:rFonts w:eastAsia="Times New Roman" w:cs="Times New Roman"/>
                <w:sz w:val="18"/>
                <w:szCs w:val="18"/>
                <w:lang w:val="en-US"/>
              </w:rPr>
              <w:t>13</w:t>
            </w:r>
            <w:r w:rsidRPr="00091C3A">
              <w:rPr>
                <w:rFonts w:eastAsia="Times New Roman" w:cs="Times New Roman"/>
                <w:sz w:val="18"/>
                <w:szCs w:val="18"/>
              </w:rPr>
              <w:t>4 915</w:t>
            </w:r>
            <w:r w:rsidRPr="00091C3A">
              <w:rPr>
                <w:rFonts w:eastAsia="Times New Roman" w:cs="Times New Roman"/>
                <w:sz w:val="18"/>
                <w:szCs w:val="18"/>
                <w:lang w:val="en-US"/>
              </w:rPr>
              <w:t>,</w:t>
            </w:r>
            <w:r w:rsidRPr="00091C3A">
              <w:rPr>
                <w:rFonts w:eastAsia="Times New Roman" w:cs="Times New Roman"/>
                <w:sz w:val="18"/>
                <w:szCs w:val="18"/>
              </w:rPr>
              <w:t>0</w:t>
            </w:r>
          </w:p>
        </w:tc>
        <w:tc>
          <w:tcPr>
            <w:tcW w:w="551" w:type="pct"/>
            <w:shd w:val="clear" w:color="auto" w:fill="auto"/>
            <w:noWrap/>
            <w:vAlign w:val="bottom"/>
            <w:hideMark/>
          </w:tcPr>
          <w:p w:rsidR="00834F2C" w:rsidRPr="00091C3A" w:rsidRDefault="00834F2C" w:rsidP="00064BF8">
            <w:pPr>
              <w:spacing w:after="0"/>
              <w:contextualSpacing/>
              <w:jc w:val="center"/>
              <w:rPr>
                <w:rFonts w:eastAsia="Times New Roman" w:cs="Times New Roman"/>
                <w:sz w:val="18"/>
                <w:szCs w:val="18"/>
                <w:lang w:val="en-US"/>
              </w:rPr>
            </w:pPr>
            <w:r w:rsidRPr="00091C3A">
              <w:rPr>
                <w:rFonts w:eastAsia="Times New Roman" w:cs="Times New Roman"/>
                <w:sz w:val="18"/>
                <w:szCs w:val="18"/>
                <w:lang w:val="en-US"/>
              </w:rPr>
              <w:t>1</w:t>
            </w:r>
            <w:r w:rsidRPr="00091C3A">
              <w:rPr>
                <w:rFonts w:eastAsia="Times New Roman" w:cs="Times New Roman"/>
                <w:sz w:val="18"/>
                <w:szCs w:val="18"/>
              </w:rPr>
              <w:t>43 355</w:t>
            </w:r>
            <w:r w:rsidRPr="00091C3A">
              <w:rPr>
                <w:rFonts w:eastAsia="Times New Roman" w:cs="Times New Roman"/>
                <w:sz w:val="18"/>
                <w:szCs w:val="18"/>
                <w:lang w:val="en-US"/>
              </w:rPr>
              <w:t>,</w:t>
            </w:r>
            <w:r w:rsidRPr="00091C3A">
              <w:rPr>
                <w:rFonts w:eastAsia="Times New Roman" w:cs="Times New Roman"/>
                <w:sz w:val="18"/>
                <w:szCs w:val="18"/>
              </w:rPr>
              <w:t>0</w:t>
            </w:r>
          </w:p>
        </w:tc>
      </w:tr>
      <w:tr w:rsidR="00834F2C" w:rsidRPr="00091C3A" w:rsidTr="00834F2C">
        <w:trPr>
          <w:trHeight w:val="310"/>
        </w:trPr>
        <w:tc>
          <w:tcPr>
            <w:tcW w:w="268" w:type="pct"/>
            <w:shd w:val="clear" w:color="auto" w:fill="auto"/>
            <w:noWrap/>
            <w:hideMark/>
          </w:tcPr>
          <w:p w:rsidR="00834F2C" w:rsidRPr="00091C3A" w:rsidRDefault="00834F2C" w:rsidP="00064BF8">
            <w:pPr>
              <w:spacing w:after="0"/>
              <w:contextualSpacing/>
              <w:jc w:val="center"/>
              <w:rPr>
                <w:rFonts w:eastAsia="Times New Roman" w:cs="Times New Roman"/>
                <w:sz w:val="18"/>
                <w:szCs w:val="18"/>
              </w:rPr>
            </w:pPr>
            <w:r w:rsidRPr="00091C3A">
              <w:rPr>
                <w:rFonts w:eastAsia="Times New Roman" w:cs="Times New Roman"/>
                <w:sz w:val="18"/>
                <w:szCs w:val="18"/>
              </w:rPr>
              <w:t>4.</w:t>
            </w:r>
          </w:p>
        </w:tc>
        <w:tc>
          <w:tcPr>
            <w:tcW w:w="1625" w:type="pct"/>
            <w:shd w:val="clear" w:color="auto" w:fill="auto"/>
            <w:vAlign w:val="center"/>
            <w:hideMark/>
          </w:tcPr>
          <w:p w:rsidR="00834F2C" w:rsidRPr="00091C3A" w:rsidRDefault="00834F2C" w:rsidP="00064BF8">
            <w:pPr>
              <w:spacing w:after="0"/>
              <w:contextualSpacing/>
              <w:rPr>
                <w:rFonts w:eastAsia="Times New Roman" w:cs="Times New Roman"/>
                <w:sz w:val="18"/>
                <w:szCs w:val="18"/>
              </w:rPr>
            </w:pPr>
            <w:r w:rsidRPr="00091C3A">
              <w:rPr>
                <w:rFonts w:eastAsia="Times New Roman" w:cs="Times New Roman"/>
                <w:sz w:val="18"/>
                <w:szCs w:val="18"/>
              </w:rPr>
              <w:t>Процент от БВП (т. 1/т. 3)</w:t>
            </w:r>
          </w:p>
        </w:tc>
        <w:tc>
          <w:tcPr>
            <w:tcW w:w="557" w:type="pct"/>
            <w:shd w:val="clear" w:color="auto" w:fill="auto"/>
            <w:noWrap/>
            <w:vAlign w:val="bottom"/>
          </w:tcPr>
          <w:p w:rsidR="00834F2C" w:rsidRPr="00091C3A" w:rsidRDefault="00834F2C" w:rsidP="00064BF8">
            <w:pPr>
              <w:spacing w:after="0"/>
              <w:contextualSpacing/>
              <w:jc w:val="center"/>
              <w:rPr>
                <w:rFonts w:eastAsia="Times New Roman" w:cs="Times New Roman"/>
                <w:sz w:val="18"/>
                <w:szCs w:val="18"/>
              </w:rPr>
            </w:pPr>
            <w:r w:rsidRPr="00091C3A">
              <w:rPr>
                <w:rFonts w:eastAsia="Times New Roman" w:cs="Times New Roman"/>
                <w:sz w:val="18"/>
                <w:szCs w:val="18"/>
              </w:rPr>
              <w:t>1,58%</w:t>
            </w:r>
          </w:p>
        </w:tc>
        <w:tc>
          <w:tcPr>
            <w:tcW w:w="889" w:type="pct"/>
            <w:vAlign w:val="bottom"/>
          </w:tcPr>
          <w:p w:rsidR="00834F2C" w:rsidRPr="00091C3A" w:rsidRDefault="00834F2C" w:rsidP="001370B5">
            <w:pPr>
              <w:spacing w:after="0"/>
              <w:contextualSpacing/>
              <w:jc w:val="center"/>
              <w:rPr>
                <w:rFonts w:eastAsia="Times New Roman" w:cs="Times New Roman"/>
                <w:sz w:val="18"/>
                <w:szCs w:val="18"/>
              </w:rPr>
            </w:pPr>
            <w:r>
              <w:rPr>
                <w:rFonts w:eastAsia="Times New Roman" w:cs="Times New Roman"/>
                <w:sz w:val="18"/>
                <w:szCs w:val="18"/>
              </w:rPr>
              <w:t>3,09</w:t>
            </w:r>
            <w:r w:rsidRPr="00091C3A">
              <w:rPr>
                <w:rFonts w:eastAsia="Times New Roman" w:cs="Times New Roman"/>
                <w:sz w:val="18"/>
                <w:szCs w:val="18"/>
              </w:rPr>
              <w:t>%</w:t>
            </w:r>
          </w:p>
        </w:tc>
        <w:tc>
          <w:tcPr>
            <w:tcW w:w="555" w:type="pct"/>
            <w:shd w:val="clear" w:color="auto" w:fill="auto"/>
            <w:noWrap/>
            <w:vAlign w:val="bottom"/>
            <w:hideMark/>
          </w:tcPr>
          <w:p w:rsidR="00834F2C" w:rsidRPr="00091C3A" w:rsidRDefault="00834F2C" w:rsidP="00064BF8">
            <w:pPr>
              <w:spacing w:after="0"/>
              <w:contextualSpacing/>
              <w:jc w:val="center"/>
              <w:rPr>
                <w:rFonts w:eastAsia="Times New Roman" w:cs="Times New Roman"/>
                <w:sz w:val="18"/>
                <w:szCs w:val="18"/>
              </w:rPr>
            </w:pPr>
            <w:r w:rsidRPr="00091C3A">
              <w:rPr>
                <w:rFonts w:eastAsia="Times New Roman" w:cs="Times New Roman"/>
                <w:sz w:val="18"/>
                <w:szCs w:val="18"/>
              </w:rPr>
              <w:t>1,</w:t>
            </w:r>
            <w:r w:rsidR="00F673F4">
              <w:rPr>
                <w:rFonts w:eastAsia="Times New Roman" w:cs="Times New Roman"/>
                <w:sz w:val="18"/>
                <w:szCs w:val="18"/>
              </w:rPr>
              <w:t>61</w:t>
            </w:r>
            <w:r w:rsidRPr="00091C3A">
              <w:rPr>
                <w:rFonts w:eastAsia="Times New Roman" w:cs="Times New Roman"/>
                <w:sz w:val="18"/>
                <w:szCs w:val="18"/>
              </w:rPr>
              <w:t>%</w:t>
            </w:r>
          </w:p>
        </w:tc>
        <w:tc>
          <w:tcPr>
            <w:tcW w:w="555" w:type="pct"/>
            <w:shd w:val="clear" w:color="auto" w:fill="auto"/>
            <w:noWrap/>
            <w:vAlign w:val="bottom"/>
            <w:hideMark/>
          </w:tcPr>
          <w:p w:rsidR="00834F2C" w:rsidRPr="00091C3A" w:rsidRDefault="00834F2C" w:rsidP="00064BF8">
            <w:pPr>
              <w:spacing w:after="0"/>
              <w:contextualSpacing/>
              <w:jc w:val="center"/>
              <w:rPr>
                <w:rFonts w:eastAsia="Times New Roman" w:cs="Times New Roman"/>
                <w:sz w:val="18"/>
                <w:szCs w:val="18"/>
              </w:rPr>
            </w:pPr>
            <w:r w:rsidRPr="00091C3A">
              <w:rPr>
                <w:rFonts w:eastAsia="Times New Roman" w:cs="Times New Roman"/>
                <w:sz w:val="18"/>
                <w:szCs w:val="18"/>
              </w:rPr>
              <w:t>1,45%</w:t>
            </w:r>
          </w:p>
        </w:tc>
        <w:tc>
          <w:tcPr>
            <w:tcW w:w="551" w:type="pct"/>
            <w:shd w:val="clear" w:color="auto" w:fill="auto"/>
            <w:noWrap/>
            <w:vAlign w:val="bottom"/>
            <w:hideMark/>
          </w:tcPr>
          <w:p w:rsidR="00834F2C" w:rsidRPr="00091C3A" w:rsidRDefault="00834F2C" w:rsidP="00064BF8">
            <w:pPr>
              <w:spacing w:after="0"/>
              <w:contextualSpacing/>
              <w:jc w:val="center"/>
              <w:rPr>
                <w:rFonts w:eastAsia="Times New Roman" w:cs="Times New Roman"/>
                <w:sz w:val="18"/>
                <w:szCs w:val="18"/>
              </w:rPr>
            </w:pPr>
            <w:r w:rsidRPr="00091C3A">
              <w:rPr>
                <w:rFonts w:eastAsia="Times New Roman" w:cs="Times New Roman"/>
                <w:sz w:val="18"/>
                <w:szCs w:val="18"/>
              </w:rPr>
              <w:t>1,53%</w:t>
            </w:r>
          </w:p>
        </w:tc>
      </w:tr>
    </w:tbl>
    <w:p w:rsidR="003F5405" w:rsidRDefault="003F5405" w:rsidP="00F9639B">
      <w:pPr>
        <w:spacing w:before="120" w:after="0"/>
        <w:rPr>
          <w:rFonts w:eastAsia="Times New Roman" w:cs="Times New Roman"/>
        </w:rPr>
      </w:pPr>
    </w:p>
    <w:p w:rsidR="00CB47DA" w:rsidRPr="00802561" w:rsidRDefault="00CB47DA" w:rsidP="00F9639B">
      <w:pPr>
        <w:spacing w:before="120" w:after="0"/>
        <w:rPr>
          <w:rFonts w:eastAsia="Times New Roman" w:cs="Times New Roman"/>
        </w:rPr>
      </w:pPr>
      <w:r w:rsidRPr="009B08DC">
        <w:rPr>
          <w:rFonts w:eastAsia="Times New Roman" w:cs="Times New Roman"/>
        </w:rPr>
        <w:t>Относителният дял на капиталовите разходи към общите разходи за отбрана е над 20-процентния критерий на НАТО.</w:t>
      </w:r>
    </w:p>
    <w:p w:rsidR="00034C85" w:rsidRDefault="00034C85" w:rsidP="00F9639B">
      <w:pPr>
        <w:spacing w:before="120" w:after="0"/>
        <w:rPr>
          <w:rFonts w:eastAsia="Times New Roman" w:cs="Times New Roman"/>
        </w:rPr>
        <w:sectPr w:rsidR="00034C85" w:rsidSect="003D69EC">
          <w:type w:val="oddPage"/>
          <w:pgSz w:w="11906" w:h="16838" w:code="9"/>
          <w:pgMar w:top="1418" w:right="1418" w:bottom="851" w:left="1418" w:header="708" w:footer="708" w:gutter="0"/>
          <w:cols w:space="708"/>
          <w:titlePg/>
          <w:docGrid w:linePitch="360"/>
        </w:sectPr>
      </w:pPr>
    </w:p>
    <w:p w:rsidR="00571CEB" w:rsidRDefault="009A0611" w:rsidP="00E7639F">
      <w:pPr>
        <w:rPr>
          <w:rFonts w:eastAsia="Times New Roman" w:cs="Times New Roman"/>
          <w:b/>
          <w:szCs w:val="24"/>
        </w:rPr>
      </w:pPr>
      <w:r w:rsidRPr="009A0611">
        <w:rPr>
          <w:b/>
        </w:rPr>
        <w:t xml:space="preserve">Граф. </w:t>
      </w:r>
      <w:r w:rsidRPr="009A0611">
        <w:rPr>
          <w:b/>
        </w:rPr>
        <w:fldChar w:fldCharType="begin"/>
      </w:r>
      <w:r w:rsidRPr="009A0611">
        <w:rPr>
          <w:b/>
        </w:rPr>
        <w:instrText xml:space="preserve"> STYLEREF 1 \s </w:instrText>
      </w:r>
      <w:r w:rsidRPr="009A0611">
        <w:rPr>
          <w:b/>
        </w:rPr>
        <w:fldChar w:fldCharType="separate"/>
      </w:r>
      <w:r w:rsidR="0034195B">
        <w:rPr>
          <w:b/>
          <w:noProof/>
        </w:rPr>
        <w:t>III</w:t>
      </w:r>
      <w:r w:rsidRPr="009A0611">
        <w:rPr>
          <w:b/>
          <w:noProof/>
        </w:rPr>
        <w:fldChar w:fldCharType="end"/>
      </w:r>
      <w:r w:rsidRPr="009A0611">
        <w:rPr>
          <w:b/>
        </w:rPr>
        <w:noBreakHyphen/>
      </w:r>
      <w:r w:rsidRPr="009A0611">
        <w:rPr>
          <w:b/>
        </w:rPr>
        <w:fldChar w:fldCharType="begin"/>
      </w:r>
      <w:r w:rsidRPr="009A0611">
        <w:rPr>
          <w:b/>
        </w:rPr>
        <w:instrText xml:space="preserve"> SEQ Граф. \* ARABIC \s 1 </w:instrText>
      </w:r>
      <w:r w:rsidRPr="009A0611">
        <w:rPr>
          <w:b/>
        </w:rPr>
        <w:fldChar w:fldCharType="separate"/>
      </w:r>
      <w:r w:rsidR="0034195B">
        <w:rPr>
          <w:b/>
          <w:noProof/>
        </w:rPr>
        <w:t>3</w:t>
      </w:r>
      <w:r w:rsidRPr="009A0611">
        <w:rPr>
          <w:b/>
          <w:noProof/>
        </w:rPr>
        <w:fldChar w:fldCharType="end"/>
      </w:r>
      <w:r w:rsidRPr="00A52E2F">
        <w:t>:</w:t>
      </w:r>
      <w:r w:rsidR="00E7639F" w:rsidRPr="00CD66D5">
        <w:rPr>
          <w:rFonts w:eastAsia="Times New Roman" w:cs="Times New Roman"/>
          <w:b/>
          <w:szCs w:val="24"/>
        </w:rPr>
        <w:t xml:space="preserve"> </w:t>
      </w:r>
      <w:r w:rsidR="00E7639F">
        <w:rPr>
          <w:rFonts w:eastAsia="Times New Roman" w:cs="Times New Roman"/>
          <w:b/>
          <w:szCs w:val="24"/>
        </w:rPr>
        <w:t>Р</w:t>
      </w:r>
      <w:r w:rsidR="00E7639F" w:rsidRPr="00CD66D5">
        <w:rPr>
          <w:rFonts w:eastAsia="Times New Roman" w:cs="Times New Roman"/>
          <w:b/>
          <w:szCs w:val="24"/>
        </w:rPr>
        <w:t xml:space="preserve">азходи за отбрана </w:t>
      </w:r>
      <w:r w:rsidR="00834F2C">
        <w:rPr>
          <w:rFonts w:eastAsia="Times New Roman" w:cs="Times New Roman"/>
          <w:b/>
          <w:szCs w:val="24"/>
        </w:rPr>
        <w:t xml:space="preserve">за 2020 г. </w:t>
      </w:r>
      <w:r w:rsidR="00E7639F" w:rsidRPr="00CD66D5">
        <w:rPr>
          <w:rFonts w:eastAsia="Times New Roman" w:cs="Times New Roman"/>
          <w:b/>
          <w:szCs w:val="24"/>
        </w:rPr>
        <w:t xml:space="preserve">като </w:t>
      </w:r>
      <w:r w:rsidR="00E7639F">
        <w:rPr>
          <w:rFonts w:eastAsia="Times New Roman" w:cs="Times New Roman"/>
          <w:b/>
          <w:szCs w:val="24"/>
        </w:rPr>
        <w:t>процент</w:t>
      </w:r>
      <w:r w:rsidR="00E7639F" w:rsidRPr="00CD66D5">
        <w:rPr>
          <w:rFonts w:eastAsia="Times New Roman" w:cs="Times New Roman"/>
          <w:b/>
          <w:szCs w:val="24"/>
        </w:rPr>
        <w:t xml:space="preserve"> от БВП и разходи за инвестиции</w:t>
      </w:r>
      <w:r w:rsidR="00E7639F">
        <w:rPr>
          <w:rFonts w:eastAsia="Times New Roman" w:cs="Times New Roman"/>
          <w:b/>
          <w:szCs w:val="24"/>
        </w:rPr>
        <w:t xml:space="preserve"> като процент от общите разходи за отбрана</w:t>
      </w:r>
      <w:r w:rsidR="00E7639F" w:rsidRPr="00CD66D5">
        <w:rPr>
          <w:rFonts w:eastAsia="Times New Roman" w:cs="Times New Roman"/>
          <w:b/>
          <w:szCs w:val="24"/>
        </w:rPr>
        <w:t xml:space="preserve"> </w:t>
      </w:r>
    </w:p>
    <w:p w:rsidR="00F673F4" w:rsidRDefault="00F673F4" w:rsidP="00E7639F">
      <w:pPr>
        <w:rPr>
          <w:rFonts w:eastAsia="Times New Roman" w:cs="Times New Roman"/>
          <w:b/>
          <w:szCs w:val="24"/>
        </w:rPr>
      </w:pPr>
      <w:r w:rsidRPr="002920E5">
        <w:rPr>
          <w:rFonts w:eastAsia="Times New Roman" w:cs="Times New Roman"/>
          <w:b/>
          <w:noProof/>
          <w:szCs w:val="24"/>
        </w:rPr>
        <w:drawing>
          <wp:inline distT="0" distB="0" distL="0" distR="0" wp14:anchorId="5AEDCD00" wp14:editId="6FDE6738">
            <wp:extent cx="5759450" cy="28149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59450" cy="2814955"/>
                    </a:xfrm>
                    <a:prstGeom prst="rect">
                      <a:avLst/>
                    </a:prstGeom>
                    <a:noFill/>
                    <a:ln>
                      <a:noFill/>
                    </a:ln>
                  </pic:spPr>
                </pic:pic>
              </a:graphicData>
            </a:graphic>
          </wp:inline>
        </w:drawing>
      </w:r>
    </w:p>
    <w:p w:rsidR="00E7639F" w:rsidRPr="00F837DF" w:rsidRDefault="00E7639F" w:rsidP="00E7639F">
      <w:pPr>
        <w:rPr>
          <w:b/>
          <w:sz w:val="20"/>
          <w:szCs w:val="20"/>
        </w:rPr>
      </w:pPr>
      <w:r w:rsidRPr="007A174F">
        <w:rPr>
          <w:b/>
          <w:sz w:val="20"/>
          <w:szCs w:val="20"/>
        </w:rPr>
        <w:t>Забележка</w:t>
      </w:r>
      <w:r w:rsidRPr="00B1521F">
        <w:rPr>
          <w:b/>
          <w:i/>
          <w:sz w:val="20"/>
          <w:szCs w:val="20"/>
        </w:rPr>
        <w:t>:</w:t>
      </w:r>
      <w:r w:rsidRPr="00B1521F">
        <w:rPr>
          <w:sz w:val="20"/>
          <w:szCs w:val="20"/>
        </w:rPr>
        <w:t xml:space="preserve"> </w:t>
      </w:r>
      <w:r w:rsidRPr="00F837DF">
        <w:rPr>
          <w:b/>
          <w:sz w:val="20"/>
          <w:szCs w:val="20"/>
        </w:rPr>
        <w:t xml:space="preserve">Разходите за отбрана </w:t>
      </w:r>
      <w:r w:rsidR="00435222" w:rsidRPr="00F837DF">
        <w:rPr>
          <w:b/>
          <w:sz w:val="20"/>
          <w:szCs w:val="20"/>
        </w:rPr>
        <w:t>не включват разходите за пенсии</w:t>
      </w:r>
      <w:r w:rsidR="00520E27">
        <w:rPr>
          <w:b/>
          <w:sz w:val="20"/>
          <w:szCs w:val="20"/>
        </w:rPr>
        <w:t>.</w:t>
      </w:r>
    </w:p>
    <w:p w:rsidR="002E0672" w:rsidRPr="009D2915" w:rsidRDefault="002E0672" w:rsidP="00517D0A">
      <w:pPr>
        <w:pStyle w:val="Heading3"/>
        <w:ind w:left="0"/>
      </w:pPr>
      <w:bookmarkStart w:id="485" w:name="_Toc465070478"/>
      <w:bookmarkStart w:id="486" w:name="_Toc465205528"/>
      <w:r w:rsidRPr="009D2915">
        <w:t>Политика в областта на вътрешния ред и сигурността</w:t>
      </w:r>
      <w:bookmarkEnd w:id="485"/>
      <w:bookmarkEnd w:id="486"/>
      <w:r w:rsidRPr="009D2915">
        <w:t xml:space="preserve"> </w:t>
      </w:r>
    </w:p>
    <w:p w:rsidR="008B1F09" w:rsidRDefault="008B1F09" w:rsidP="008B1F09">
      <w:pPr>
        <w:spacing w:before="120" w:after="0"/>
        <w:rPr>
          <w:rFonts w:eastAsia="Times New Roman"/>
        </w:rPr>
      </w:pPr>
      <w:r>
        <w:rPr>
          <w:rFonts w:eastAsia="Times New Roman"/>
        </w:rPr>
        <w:t>Политиката в областта на вътрешния ред и сигурността</w:t>
      </w:r>
      <w:r>
        <w:rPr>
          <w:rFonts w:eastAsia="Times New Roman"/>
          <w:b/>
        </w:rPr>
        <w:t xml:space="preserve"> </w:t>
      </w:r>
      <w:r>
        <w:rPr>
          <w:rFonts w:eastAsia="Times New Roman"/>
        </w:rPr>
        <w:t xml:space="preserve">се изпълнява от Министерството на вътрешните работи, Държавната агенция „Разузнаване“, Националната служба за охрана, Държавната агенция „Национална сигурност”, Държавната агенция „Технически операции” и Националното бюро за контрол на специалните разузнавателни средства. Те реализират дейността си в тази област в следните основни направления: </w:t>
      </w:r>
    </w:p>
    <w:p w:rsidR="008B1F09" w:rsidRDefault="008B1F09" w:rsidP="003403BF">
      <w:pPr>
        <w:numPr>
          <w:ilvl w:val="0"/>
          <w:numId w:val="9"/>
        </w:numPr>
        <w:spacing w:before="120" w:after="0"/>
        <w:ind w:left="851" w:hanging="284"/>
        <w:rPr>
          <w:rFonts w:eastAsia="Batang"/>
        </w:rPr>
      </w:pPr>
      <w:r>
        <w:rPr>
          <w:rFonts w:eastAsia="Batang"/>
        </w:rPr>
        <w:t xml:space="preserve">опазване на обществения ред и защита на националната сигурност, противодействие на тежките престъпления срещу личността и собствеността на гражданите; </w:t>
      </w:r>
    </w:p>
    <w:p w:rsidR="008B1F09" w:rsidRDefault="008B1F09" w:rsidP="003403BF">
      <w:pPr>
        <w:numPr>
          <w:ilvl w:val="0"/>
          <w:numId w:val="9"/>
        </w:numPr>
        <w:spacing w:before="120" w:after="0"/>
        <w:ind w:left="851" w:hanging="284"/>
        <w:rPr>
          <w:rFonts w:eastAsia="Batang"/>
        </w:rPr>
      </w:pPr>
      <w:r>
        <w:rPr>
          <w:rFonts w:eastAsia="Batang"/>
        </w:rPr>
        <w:t xml:space="preserve">противодействие на местни и транснационални престъпни структури и на физически и юридически лица, чиито действия са насочени срещу митническия режим, паричната, данъчната, осигурителната и други системи; </w:t>
      </w:r>
    </w:p>
    <w:p w:rsidR="008B1F09" w:rsidRDefault="008B1F09" w:rsidP="003403BF">
      <w:pPr>
        <w:numPr>
          <w:ilvl w:val="0"/>
          <w:numId w:val="9"/>
        </w:numPr>
        <w:spacing w:before="120" w:after="0"/>
        <w:ind w:left="851" w:hanging="284"/>
        <w:rPr>
          <w:rFonts w:eastAsia="Batang"/>
        </w:rPr>
      </w:pPr>
      <w:r>
        <w:rPr>
          <w:rFonts w:eastAsia="Batang"/>
        </w:rPr>
        <w:t>недопускане извършването на терористични действия на територията на страната;</w:t>
      </w:r>
    </w:p>
    <w:p w:rsidR="008B1F09" w:rsidRDefault="008B1F09" w:rsidP="003403BF">
      <w:pPr>
        <w:numPr>
          <w:ilvl w:val="0"/>
          <w:numId w:val="9"/>
        </w:numPr>
        <w:spacing w:before="120" w:after="0"/>
        <w:ind w:left="851" w:hanging="284"/>
        <w:rPr>
          <w:rFonts w:eastAsia="Batang"/>
        </w:rPr>
      </w:pPr>
      <w:r>
        <w:rPr>
          <w:rFonts w:eastAsia="Batang"/>
        </w:rPr>
        <w:t xml:space="preserve">граничен контрол и охрана на държавната граница, противодействие на незаконната миграция на територията на Република България и засилване контрола върху установяване на незаконно пребиваващи граждани на територията на страната; </w:t>
      </w:r>
    </w:p>
    <w:p w:rsidR="008B1F09" w:rsidRDefault="008B1F09" w:rsidP="003403BF">
      <w:pPr>
        <w:numPr>
          <w:ilvl w:val="0"/>
          <w:numId w:val="9"/>
        </w:numPr>
        <w:spacing w:before="120" w:after="0"/>
        <w:ind w:left="851" w:hanging="284"/>
        <w:rPr>
          <w:rFonts w:eastAsia="Batang"/>
        </w:rPr>
      </w:pPr>
      <w:r>
        <w:rPr>
          <w:rFonts w:eastAsia="Batang"/>
        </w:rPr>
        <w:t xml:space="preserve">превантивна дейност и контрол на движението по пътищата и внедряване на технически системи за наблюдение и контрол с цел намаляване броя на убитите и ранените при пътно-транспортни произшествия; </w:t>
      </w:r>
    </w:p>
    <w:p w:rsidR="008B1F09" w:rsidRDefault="008B1F09" w:rsidP="003403BF">
      <w:pPr>
        <w:numPr>
          <w:ilvl w:val="0"/>
          <w:numId w:val="9"/>
        </w:numPr>
        <w:spacing w:before="120" w:after="0"/>
        <w:ind w:left="851" w:hanging="284"/>
        <w:rPr>
          <w:rFonts w:eastAsia="Batang"/>
        </w:rPr>
      </w:pPr>
      <w:r>
        <w:rPr>
          <w:rFonts w:eastAsia="Batang"/>
        </w:rPr>
        <w:t xml:space="preserve">осигуряване на пожарна безопасност и защита на населението при пожари, бедствия и други извънредни ситуации; </w:t>
      </w:r>
    </w:p>
    <w:p w:rsidR="008B1F09" w:rsidRDefault="008B1F09" w:rsidP="003403BF">
      <w:pPr>
        <w:numPr>
          <w:ilvl w:val="0"/>
          <w:numId w:val="9"/>
        </w:numPr>
        <w:spacing w:before="120" w:after="0"/>
        <w:ind w:left="851" w:hanging="284"/>
        <w:rPr>
          <w:rFonts w:eastAsia="Batang"/>
        </w:rPr>
      </w:pPr>
      <w:r>
        <w:rPr>
          <w:rFonts w:eastAsia="Batang"/>
        </w:rPr>
        <w:t xml:space="preserve">осигуряване, разработване и прилагане на специални разузнавателни средства (СРС) и на специфични методи за охрана на живота, здравето и имуществото на гражданите, защита на правата и свободите на гражданите срещу незаконосъобразното използване на СРС и намирането на баланс между нуждата от използване на СРС, гражданските права и финансовите възможности на държавата; </w:t>
      </w:r>
    </w:p>
    <w:p w:rsidR="008B1F09" w:rsidRDefault="008B1F09" w:rsidP="003403BF">
      <w:pPr>
        <w:numPr>
          <w:ilvl w:val="0"/>
          <w:numId w:val="9"/>
        </w:numPr>
        <w:spacing w:before="120" w:after="0"/>
        <w:ind w:left="851" w:hanging="284"/>
        <w:rPr>
          <w:rFonts w:eastAsia="Batang"/>
        </w:rPr>
      </w:pPr>
      <w:r>
        <w:rPr>
          <w:rFonts w:eastAsia="Batang"/>
        </w:rPr>
        <w:t xml:space="preserve">извършване на негласна оперативно-техническа дейност за разкриване и документиране извършването на престъпления, включително и за изготвяне на веществени доказателствени средства; </w:t>
      </w:r>
    </w:p>
    <w:p w:rsidR="008B1F09" w:rsidRDefault="008B1F09" w:rsidP="003403BF">
      <w:pPr>
        <w:numPr>
          <w:ilvl w:val="0"/>
          <w:numId w:val="9"/>
        </w:numPr>
        <w:spacing w:before="120" w:after="0"/>
        <w:ind w:left="851" w:hanging="284"/>
        <w:rPr>
          <w:rFonts w:eastAsia="Batang"/>
        </w:rPr>
      </w:pPr>
      <w:r>
        <w:rPr>
          <w:rFonts w:eastAsia="Batang"/>
        </w:rPr>
        <w:t>осигуряване на лична постова и техническа охрана, специализиран транспорт и пропускателен режим по месторабота, местоживеене, пребиваване в страната и в чужбина на категориите охранявани и обслужвани лица съгласно Закона за Националната служба за охрана;</w:t>
      </w:r>
    </w:p>
    <w:p w:rsidR="008B1F09" w:rsidRPr="00495483" w:rsidRDefault="008B1F09" w:rsidP="003403BF">
      <w:pPr>
        <w:pStyle w:val="ListParagraph"/>
        <w:numPr>
          <w:ilvl w:val="0"/>
          <w:numId w:val="9"/>
        </w:numPr>
        <w:spacing w:before="120" w:after="0"/>
        <w:ind w:left="851" w:hanging="284"/>
        <w:rPr>
          <w:szCs w:val="24"/>
          <w:lang w:val="ru-RU"/>
        </w:rPr>
      </w:pPr>
      <w:r w:rsidRPr="00495483">
        <w:rPr>
          <w:rFonts w:eastAsia="Batang"/>
          <w:lang w:val="ru-RU"/>
        </w:rPr>
        <w:t>обезпечаване на оперативната и разузнавателна дейност зад граница и физическа охрана на задграничните дипломатически представителства на Република България;</w:t>
      </w:r>
      <w:r w:rsidRPr="00495483">
        <w:rPr>
          <w:szCs w:val="24"/>
          <w:lang w:val="ru-RU"/>
        </w:rPr>
        <w:t xml:space="preserve"> </w:t>
      </w:r>
    </w:p>
    <w:p w:rsidR="008B1F09" w:rsidRPr="00495483" w:rsidRDefault="008B1F09" w:rsidP="003403BF">
      <w:pPr>
        <w:pStyle w:val="ListParagraph"/>
        <w:numPr>
          <w:ilvl w:val="0"/>
          <w:numId w:val="9"/>
        </w:numPr>
        <w:spacing w:before="120" w:after="0"/>
        <w:ind w:left="851" w:hanging="284"/>
        <w:rPr>
          <w:rFonts w:eastAsia="Batang"/>
          <w:lang w:val="ru-RU"/>
        </w:rPr>
      </w:pPr>
      <w:r w:rsidRPr="00495483">
        <w:rPr>
          <w:szCs w:val="24"/>
          <w:lang w:val="ru-RU"/>
        </w:rPr>
        <w:t xml:space="preserve">разработване и актуализиране на правила за съхраняването на искания, разрешения и разпореждания по използването и прилагането на СРС, издаване на указания във връзка с подобряване режима на използване и </w:t>
      </w:r>
      <w:r w:rsidRPr="00495483">
        <w:rPr>
          <w:szCs w:val="24"/>
          <w:lang w:val="ru-RU"/>
        </w:rPr>
        <w:br/>
        <w:t>прилагане на СРС, както и за съхраняване и унищожаване на придобитата чрез тях информация; сезиране на органите и уведомяване служебно на гражданите при наличие на данни за неправомерно използване и прилагане на СРС.</w:t>
      </w:r>
    </w:p>
    <w:p w:rsidR="006100EB" w:rsidRPr="00802561" w:rsidRDefault="006100EB" w:rsidP="008B1F09">
      <w:pPr>
        <w:spacing w:before="120" w:after="0"/>
        <w:contextualSpacing/>
        <w:rPr>
          <w:noProof/>
          <w:szCs w:val="24"/>
        </w:rPr>
      </w:pPr>
    </w:p>
    <w:p w:rsidR="00E7639F" w:rsidRPr="008A422F" w:rsidRDefault="00DD3970" w:rsidP="00E7639F">
      <w:pPr>
        <w:pStyle w:val="Heading4"/>
        <w:rPr>
          <w:rFonts w:eastAsia="Times New Roman"/>
        </w:rPr>
      </w:pPr>
      <w:r>
        <w:rPr>
          <w:rFonts w:eastAsia="Times New Roman"/>
        </w:rPr>
        <w:t>П</w:t>
      </w:r>
      <w:r w:rsidR="00E7639F" w:rsidRPr="008A422F">
        <w:rPr>
          <w:rFonts w:eastAsia="Times New Roman"/>
        </w:rPr>
        <w:t xml:space="preserve">олитика </w:t>
      </w:r>
      <w:r>
        <w:rPr>
          <w:rFonts w:eastAsia="Times New Roman"/>
        </w:rPr>
        <w:t>в областта на п</w:t>
      </w:r>
      <w:r w:rsidR="00E7639F" w:rsidRPr="008A422F">
        <w:rPr>
          <w:rFonts w:eastAsia="Times New Roman"/>
        </w:rPr>
        <w:t xml:space="preserve">ротиводействие на престъпността и опазване на обществения ред </w:t>
      </w:r>
    </w:p>
    <w:p w:rsidR="008B1F09" w:rsidRDefault="008B1F09" w:rsidP="00275B35">
      <w:pPr>
        <w:spacing w:before="120" w:after="0"/>
        <w:rPr>
          <w:rFonts w:eastAsia="Batang"/>
        </w:rPr>
      </w:pPr>
    </w:p>
    <w:p w:rsidR="008B1F09" w:rsidRPr="007D6981" w:rsidRDefault="008B1F09" w:rsidP="008B1F09">
      <w:pPr>
        <w:spacing w:after="0"/>
        <w:rPr>
          <w:rFonts w:eastAsia="Batang" w:cs="Times New Roman"/>
          <w:szCs w:val="24"/>
          <w:lang w:val="ru-RU" w:eastAsia="en-US"/>
        </w:rPr>
      </w:pPr>
      <w:r>
        <w:rPr>
          <w:rFonts w:eastAsia="Batang"/>
        </w:rPr>
        <w:t>Тази област на политика е насочена към: противодействие на организираните и конвенционалните форми на престъпност против икономиката и финансовата система и на престъпленията против личността и собствеността на гражданите; ефективно противодействие на тероризма и киберпрестъпността; опазване на обществения ред.</w:t>
      </w:r>
      <w:r>
        <w:rPr>
          <w:rFonts w:eastAsia="Batang"/>
          <w:lang w:val="ru-RU"/>
        </w:rPr>
        <w:t xml:space="preserve"> </w:t>
      </w:r>
      <w:r>
        <w:rPr>
          <w:rFonts w:eastAsia="Batang" w:cs="Times New Roman"/>
          <w:szCs w:val="24"/>
          <w:lang w:eastAsia="en-US"/>
        </w:rPr>
        <w:t>Дейностите по тази политика се изпълняват от структури на Министерството на вътрешните работи.</w:t>
      </w:r>
    </w:p>
    <w:p w:rsidR="00FB7F50" w:rsidRDefault="00FB7F50" w:rsidP="00275B35">
      <w:pPr>
        <w:spacing w:before="120" w:after="0"/>
        <w:rPr>
          <w:rFonts w:eastAsia="Batang"/>
        </w:rPr>
      </w:pPr>
    </w:p>
    <w:p w:rsidR="00FB7F50" w:rsidRDefault="00FB7F50" w:rsidP="00FB7F50">
      <w:pPr>
        <w:widowControl w:val="0"/>
        <w:autoSpaceDE w:val="0"/>
        <w:autoSpaceDN w:val="0"/>
        <w:adjustRightInd w:val="0"/>
        <w:spacing w:after="120"/>
        <w:ind w:right="-8"/>
        <w:jc w:val="left"/>
        <w:rPr>
          <w:rFonts w:eastAsia="Times New Roman" w:cs="Times New Roman"/>
          <w:b/>
          <w:bCs/>
          <w:sz w:val="20"/>
          <w:szCs w:val="20"/>
        </w:rPr>
      </w:pPr>
      <w:r w:rsidRPr="002C0F8C">
        <w:rPr>
          <w:rFonts w:eastAsia="Times New Roman" w:cs="Times New Roman"/>
          <w:b/>
          <w:bCs/>
          <w:sz w:val="20"/>
          <w:szCs w:val="20"/>
        </w:rPr>
        <w:t>КЛЮЧОВИ ИНДИКАТОРИ ЗА ИЗПЪЛНЕНИЕ И ЦЕЛЕВИ СТОЙНОСТИ</w:t>
      </w:r>
    </w:p>
    <w:p w:rsidR="008B1F09" w:rsidRDefault="008B1F09" w:rsidP="00FB7F50">
      <w:pPr>
        <w:widowControl w:val="0"/>
        <w:autoSpaceDE w:val="0"/>
        <w:autoSpaceDN w:val="0"/>
        <w:adjustRightInd w:val="0"/>
        <w:spacing w:after="120"/>
        <w:ind w:right="-8"/>
        <w:jc w:val="left"/>
        <w:rPr>
          <w:rFonts w:eastAsia="Times New Roman" w:cs="Times New Roman"/>
          <w:b/>
          <w:bCs/>
          <w:sz w:val="20"/>
          <w:szCs w:val="20"/>
        </w:rPr>
      </w:pPr>
    </w:p>
    <w:tbl>
      <w:tblPr>
        <w:tblStyle w:val="TableGrid2"/>
        <w:tblW w:w="9610"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19"/>
        <w:gridCol w:w="997"/>
        <w:gridCol w:w="1134"/>
        <w:gridCol w:w="993"/>
        <w:gridCol w:w="1133"/>
        <w:gridCol w:w="1134"/>
      </w:tblGrid>
      <w:tr w:rsidR="008B1F09" w:rsidTr="00034C85">
        <w:trPr>
          <w:trHeight w:val="674"/>
          <w:tblHeader/>
        </w:trPr>
        <w:tc>
          <w:tcPr>
            <w:tcW w:w="4219" w:type="dxa"/>
            <w:tcBorders>
              <w:top w:val="single" w:sz="4" w:space="0" w:color="auto"/>
              <w:left w:val="nil"/>
              <w:bottom w:val="nil"/>
              <w:right w:val="nil"/>
            </w:tcBorders>
            <w:vAlign w:val="center"/>
            <w:hideMark/>
          </w:tcPr>
          <w:p w:rsidR="008B1F09" w:rsidRDefault="008B1F09"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Политика в областта на противодействие на престъпността и опазване на обществения ред</w:t>
            </w:r>
          </w:p>
        </w:tc>
        <w:tc>
          <w:tcPr>
            <w:tcW w:w="997" w:type="dxa"/>
            <w:vMerge w:val="restart"/>
            <w:tcBorders>
              <w:top w:val="single" w:sz="4" w:space="0" w:color="auto"/>
              <w:left w:val="nil"/>
              <w:bottom w:val="single" w:sz="4" w:space="0" w:color="auto"/>
              <w:right w:val="nil"/>
            </w:tcBorders>
            <w:shd w:val="clear" w:color="auto" w:fill="F2F2F2" w:themeFill="background1" w:themeFillShade="F2"/>
            <w:vAlign w:val="center"/>
            <w:hideMark/>
          </w:tcPr>
          <w:p w:rsidR="008B1F09" w:rsidRPr="005238B9" w:rsidRDefault="008B1F09" w:rsidP="00064BF8">
            <w:pPr>
              <w:spacing w:after="0"/>
              <w:jc w:val="center"/>
              <w:rPr>
                <w:rFonts w:eastAsia="Times New Roman" w:cs="Times New Roman"/>
                <w:b/>
                <w:bCs/>
                <w:iCs/>
                <w:color w:val="000000"/>
                <w:sz w:val="18"/>
                <w:szCs w:val="18"/>
              </w:rPr>
            </w:pPr>
            <w:r w:rsidRPr="005238B9">
              <w:rPr>
                <w:rFonts w:eastAsia="Times New Roman" w:cs="Times New Roman"/>
                <w:b/>
                <w:bCs/>
                <w:iCs/>
                <w:color w:val="000000"/>
                <w:sz w:val="18"/>
                <w:szCs w:val="18"/>
              </w:rPr>
              <w:t>Мерна единица</w:t>
            </w:r>
          </w:p>
        </w:tc>
        <w:tc>
          <w:tcPr>
            <w:tcW w:w="4394" w:type="dxa"/>
            <w:gridSpan w:val="4"/>
            <w:tcBorders>
              <w:top w:val="single" w:sz="4" w:space="0" w:color="auto"/>
              <w:left w:val="nil"/>
              <w:bottom w:val="single" w:sz="4" w:space="0" w:color="auto"/>
              <w:right w:val="nil"/>
            </w:tcBorders>
            <w:vAlign w:val="center"/>
            <w:hideMark/>
          </w:tcPr>
          <w:p w:rsidR="008B1F09" w:rsidRPr="008B1F09" w:rsidRDefault="008B1F09" w:rsidP="00064BF8">
            <w:pPr>
              <w:spacing w:after="0"/>
              <w:ind w:left="162" w:hanging="162"/>
              <w:jc w:val="center"/>
              <w:rPr>
                <w:rFonts w:eastAsia="Times New Roman" w:cs="Times New Roman"/>
                <w:b/>
                <w:bCs/>
                <w:iCs/>
                <w:color w:val="000000"/>
                <w:sz w:val="18"/>
                <w:szCs w:val="18"/>
              </w:rPr>
            </w:pPr>
            <w:r w:rsidRPr="008B1F09">
              <w:rPr>
                <w:rFonts w:eastAsia="Times New Roman" w:cs="Times New Roman"/>
                <w:b/>
                <w:bCs/>
                <w:iCs/>
                <w:color w:val="000000"/>
                <w:sz w:val="18"/>
                <w:szCs w:val="18"/>
              </w:rPr>
              <w:t>Целева стойност</w:t>
            </w:r>
          </w:p>
        </w:tc>
      </w:tr>
      <w:tr w:rsidR="008B1F09" w:rsidTr="00034C85">
        <w:trPr>
          <w:trHeight w:val="215"/>
          <w:tblHeader/>
        </w:trPr>
        <w:tc>
          <w:tcPr>
            <w:tcW w:w="4219" w:type="dxa"/>
            <w:tcBorders>
              <w:top w:val="nil"/>
              <w:left w:val="nil"/>
              <w:bottom w:val="single" w:sz="4" w:space="0" w:color="auto"/>
              <w:right w:val="nil"/>
            </w:tcBorders>
            <w:vAlign w:val="center"/>
            <w:hideMark/>
          </w:tcPr>
          <w:p w:rsidR="008B1F09" w:rsidRPr="008B1F09" w:rsidRDefault="008B1F09" w:rsidP="00064BF8">
            <w:pPr>
              <w:spacing w:after="0"/>
              <w:jc w:val="center"/>
              <w:rPr>
                <w:rFonts w:eastAsia="Times New Roman" w:cs="Times New Roman"/>
                <w:b/>
                <w:bCs/>
                <w:iCs/>
                <w:color w:val="000000"/>
                <w:sz w:val="18"/>
                <w:szCs w:val="18"/>
              </w:rPr>
            </w:pPr>
            <w:r w:rsidRPr="008B1F09">
              <w:rPr>
                <w:rFonts w:eastAsia="Times New Roman" w:cs="Times New Roman"/>
                <w:b/>
                <w:bCs/>
                <w:iCs/>
                <w:color w:val="000000"/>
                <w:sz w:val="18"/>
                <w:szCs w:val="18"/>
              </w:rPr>
              <w:t>Наименование на индикатора</w:t>
            </w:r>
          </w:p>
        </w:tc>
        <w:tc>
          <w:tcPr>
            <w:tcW w:w="997" w:type="dxa"/>
            <w:vMerge/>
            <w:tcBorders>
              <w:top w:val="single" w:sz="4" w:space="0" w:color="auto"/>
              <w:left w:val="nil"/>
              <w:bottom w:val="single" w:sz="4" w:space="0" w:color="auto"/>
              <w:right w:val="nil"/>
            </w:tcBorders>
            <w:shd w:val="clear" w:color="auto" w:fill="F2F2F2" w:themeFill="background1" w:themeFillShade="F2"/>
            <w:vAlign w:val="center"/>
            <w:hideMark/>
          </w:tcPr>
          <w:p w:rsidR="008B1F09" w:rsidRDefault="008B1F09" w:rsidP="00064BF8">
            <w:pPr>
              <w:spacing w:after="0"/>
              <w:rPr>
                <w:rFonts w:eastAsia="Times New Roman" w:cs="Times New Roman"/>
                <w:b/>
                <w:bCs/>
                <w:i/>
                <w:iCs/>
                <w:color w:val="000000"/>
                <w:sz w:val="18"/>
                <w:szCs w:val="18"/>
              </w:rPr>
            </w:pPr>
          </w:p>
        </w:tc>
        <w:tc>
          <w:tcPr>
            <w:tcW w:w="1134" w:type="dxa"/>
            <w:tcBorders>
              <w:top w:val="single" w:sz="4" w:space="0" w:color="auto"/>
              <w:left w:val="nil"/>
              <w:bottom w:val="single" w:sz="4" w:space="0" w:color="auto"/>
              <w:right w:val="nil"/>
            </w:tcBorders>
            <w:vAlign w:val="center"/>
            <w:hideMark/>
          </w:tcPr>
          <w:p w:rsidR="008B1F09" w:rsidRDefault="008B1F09"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Програма 2019 г.</w:t>
            </w:r>
          </w:p>
        </w:tc>
        <w:tc>
          <w:tcPr>
            <w:tcW w:w="993" w:type="dxa"/>
            <w:tcBorders>
              <w:top w:val="single" w:sz="4" w:space="0" w:color="auto"/>
              <w:left w:val="nil"/>
              <w:bottom w:val="single" w:sz="4" w:space="0" w:color="auto"/>
              <w:right w:val="nil"/>
            </w:tcBorders>
            <w:vAlign w:val="center"/>
            <w:hideMark/>
          </w:tcPr>
          <w:p w:rsidR="008B1F09" w:rsidRDefault="008B1F09"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Проект 2020 г.</w:t>
            </w:r>
          </w:p>
        </w:tc>
        <w:tc>
          <w:tcPr>
            <w:tcW w:w="1133" w:type="dxa"/>
            <w:tcBorders>
              <w:top w:val="single" w:sz="4" w:space="0" w:color="auto"/>
              <w:left w:val="nil"/>
              <w:bottom w:val="single" w:sz="4" w:space="0" w:color="auto"/>
              <w:right w:val="nil"/>
            </w:tcBorders>
            <w:vAlign w:val="center"/>
            <w:hideMark/>
          </w:tcPr>
          <w:p w:rsidR="008B1F09" w:rsidRDefault="008B1F09"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Прогноза 2021 г.</w:t>
            </w:r>
          </w:p>
        </w:tc>
        <w:tc>
          <w:tcPr>
            <w:tcW w:w="1134" w:type="dxa"/>
            <w:tcBorders>
              <w:top w:val="single" w:sz="4" w:space="0" w:color="auto"/>
              <w:left w:val="nil"/>
              <w:bottom w:val="single" w:sz="4" w:space="0" w:color="auto"/>
              <w:right w:val="nil"/>
            </w:tcBorders>
            <w:vAlign w:val="center"/>
            <w:hideMark/>
          </w:tcPr>
          <w:p w:rsidR="008B1F09" w:rsidRDefault="008B1F09"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Прогноза 2022 г.</w:t>
            </w:r>
          </w:p>
        </w:tc>
      </w:tr>
      <w:tr w:rsidR="008B1F09" w:rsidTr="00034C85">
        <w:trPr>
          <w:trHeight w:val="283"/>
        </w:trPr>
        <w:tc>
          <w:tcPr>
            <w:tcW w:w="4219" w:type="dxa"/>
            <w:tcBorders>
              <w:top w:val="single" w:sz="4" w:space="0" w:color="auto"/>
              <w:left w:val="nil"/>
              <w:bottom w:val="nil"/>
              <w:right w:val="nil"/>
            </w:tcBorders>
            <w:vAlign w:val="center"/>
            <w:hideMark/>
          </w:tcPr>
          <w:p w:rsidR="008B1F09" w:rsidRDefault="008B1F09"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1. Намаляване на регистрираните престъпления.</w:t>
            </w:r>
          </w:p>
        </w:tc>
        <w:tc>
          <w:tcPr>
            <w:tcW w:w="997" w:type="dxa"/>
            <w:tcBorders>
              <w:top w:val="single" w:sz="4" w:space="0" w:color="auto"/>
              <w:left w:val="nil"/>
              <w:bottom w:val="nil"/>
              <w:right w:val="nil"/>
            </w:tcBorders>
            <w:shd w:val="clear" w:color="auto" w:fill="F2F2F2" w:themeFill="background1" w:themeFillShade="F2"/>
            <w:vAlign w:val="center"/>
            <w:hideMark/>
          </w:tcPr>
          <w:p w:rsidR="008B1F09"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процент</w:t>
            </w:r>
          </w:p>
        </w:tc>
        <w:tc>
          <w:tcPr>
            <w:tcW w:w="1134" w:type="dxa"/>
            <w:tcBorders>
              <w:top w:val="single" w:sz="4" w:space="0" w:color="auto"/>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0,5</w:t>
            </w:r>
          </w:p>
        </w:tc>
        <w:tc>
          <w:tcPr>
            <w:tcW w:w="993" w:type="dxa"/>
            <w:tcBorders>
              <w:top w:val="single" w:sz="4" w:space="0" w:color="auto"/>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w:t>
            </w:r>
          </w:p>
        </w:tc>
        <w:tc>
          <w:tcPr>
            <w:tcW w:w="1133" w:type="dxa"/>
            <w:tcBorders>
              <w:top w:val="single" w:sz="4" w:space="0" w:color="auto"/>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1,5</w:t>
            </w:r>
          </w:p>
        </w:tc>
        <w:tc>
          <w:tcPr>
            <w:tcW w:w="1134" w:type="dxa"/>
            <w:tcBorders>
              <w:top w:val="single" w:sz="4" w:space="0" w:color="auto"/>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w:t>
            </w:r>
          </w:p>
        </w:tc>
      </w:tr>
      <w:tr w:rsidR="008B1F09" w:rsidTr="00034C85">
        <w:trPr>
          <w:trHeight w:val="131"/>
        </w:trPr>
        <w:tc>
          <w:tcPr>
            <w:tcW w:w="4219" w:type="dxa"/>
            <w:tcBorders>
              <w:top w:val="nil"/>
              <w:left w:val="nil"/>
              <w:bottom w:val="nil"/>
              <w:right w:val="nil"/>
            </w:tcBorders>
            <w:vAlign w:val="center"/>
            <w:hideMark/>
          </w:tcPr>
          <w:p w:rsidR="008B1F09" w:rsidRDefault="008B1F09"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2. Дял на върнатите досъдебни производства за периода</w:t>
            </w:r>
            <w:r w:rsidR="00520E27">
              <w:rPr>
                <w:rFonts w:asciiTheme="majorHAnsi" w:eastAsia="Times New Roman" w:hAnsiTheme="majorHAnsi" w:cstheme="majorHAnsi"/>
                <w:sz w:val="18"/>
                <w:szCs w:val="18"/>
              </w:rPr>
              <w:t xml:space="preserve"> от общо разследваните за периода</w:t>
            </w:r>
            <w:r>
              <w:rPr>
                <w:rFonts w:asciiTheme="majorHAnsi" w:eastAsia="Times New Roman" w:hAnsiTheme="majorHAnsi" w:cstheme="majorHAnsi"/>
                <w:sz w:val="18"/>
                <w:szCs w:val="18"/>
              </w:rPr>
              <w:t>.</w:t>
            </w:r>
          </w:p>
        </w:tc>
        <w:tc>
          <w:tcPr>
            <w:tcW w:w="997" w:type="dxa"/>
            <w:tcBorders>
              <w:top w:val="nil"/>
              <w:left w:val="nil"/>
              <w:bottom w:val="nil"/>
              <w:right w:val="nil"/>
            </w:tcBorders>
            <w:shd w:val="clear" w:color="auto" w:fill="F2F2F2" w:themeFill="background1" w:themeFillShade="F2"/>
            <w:vAlign w:val="center"/>
            <w:hideMark/>
          </w:tcPr>
          <w:p w:rsidR="008B1F09"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процент</w:t>
            </w:r>
          </w:p>
        </w:tc>
        <w:tc>
          <w:tcPr>
            <w:tcW w:w="1134" w:type="dxa"/>
            <w:tcBorders>
              <w:top w:val="nil"/>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4</w:t>
            </w:r>
          </w:p>
        </w:tc>
        <w:tc>
          <w:tcPr>
            <w:tcW w:w="993" w:type="dxa"/>
            <w:tcBorders>
              <w:top w:val="nil"/>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4</w:t>
            </w:r>
          </w:p>
        </w:tc>
        <w:tc>
          <w:tcPr>
            <w:tcW w:w="1133" w:type="dxa"/>
            <w:tcBorders>
              <w:top w:val="nil"/>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4</w:t>
            </w:r>
          </w:p>
        </w:tc>
        <w:tc>
          <w:tcPr>
            <w:tcW w:w="1134" w:type="dxa"/>
            <w:tcBorders>
              <w:top w:val="nil"/>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4</w:t>
            </w:r>
          </w:p>
        </w:tc>
      </w:tr>
      <w:tr w:rsidR="008B1F09" w:rsidTr="00034C85">
        <w:trPr>
          <w:trHeight w:val="70"/>
        </w:trPr>
        <w:tc>
          <w:tcPr>
            <w:tcW w:w="4219" w:type="dxa"/>
            <w:tcBorders>
              <w:top w:val="nil"/>
              <w:left w:val="nil"/>
              <w:bottom w:val="nil"/>
              <w:right w:val="nil"/>
            </w:tcBorders>
            <w:vAlign w:val="center"/>
            <w:hideMark/>
          </w:tcPr>
          <w:p w:rsidR="008B1F09" w:rsidRDefault="008B1F09"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3. Увеличаване на контролната дейност с автоматизирани технически средства (АТС).</w:t>
            </w:r>
          </w:p>
        </w:tc>
        <w:tc>
          <w:tcPr>
            <w:tcW w:w="997" w:type="dxa"/>
            <w:tcBorders>
              <w:top w:val="nil"/>
              <w:left w:val="nil"/>
              <w:bottom w:val="nil"/>
              <w:right w:val="nil"/>
            </w:tcBorders>
            <w:shd w:val="clear" w:color="auto" w:fill="F2F2F2" w:themeFill="background1" w:themeFillShade="F2"/>
            <w:vAlign w:val="center"/>
            <w:hideMark/>
          </w:tcPr>
          <w:p w:rsidR="008B1F09"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процент</w:t>
            </w:r>
          </w:p>
        </w:tc>
        <w:tc>
          <w:tcPr>
            <w:tcW w:w="1134" w:type="dxa"/>
            <w:tcBorders>
              <w:top w:val="nil"/>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5</w:t>
            </w:r>
          </w:p>
        </w:tc>
        <w:tc>
          <w:tcPr>
            <w:tcW w:w="993" w:type="dxa"/>
            <w:tcBorders>
              <w:top w:val="nil"/>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10</w:t>
            </w:r>
          </w:p>
        </w:tc>
        <w:tc>
          <w:tcPr>
            <w:tcW w:w="1133" w:type="dxa"/>
            <w:tcBorders>
              <w:top w:val="nil"/>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20</w:t>
            </w:r>
          </w:p>
        </w:tc>
        <w:tc>
          <w:tcPr>
            <w:tcW w:w="1134" w:type="dxa"/>
            <w:tcBorders>
              <w:top w:val="nil"/>
              <w:left w:val="nil"/>
              <w:bottom w:val="nil"/>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10</w:t>
            </w:r>
          </w:p>
        </w:tc>
      </w:tr>
      <w:tr w:rsidR="008B1F09" w:rsidTr="00034C85">
        <w:trPr>
          <w:trHeight w:val="70"/>
        </w:trPr>
        <w:tc>
          <w:tcPr>
            <w:tcW w:w="4219" w:type="dxa"/>
            <w:tcBorders>
              <w:top w:val="nil"/>
              <w:left w:val="nil"/>
              <w:bottom w:val="nil"/>
              <w:right w:val="nil"/>
            </w:tcBorders>
            <w:hideMark/>
          </w:tcPr>
          <w:p w:rsidR="008B1F09" w:rsidRDefault="008B1F09"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4. Повишаване на ефективността по противодействие на организираната престъпност с цел реализиране на националните политики за гарантиране на сигурността чрез провеждане на качествени действия по разследването на база брой привлечените към наказателна отговорност лица за участието им в организирана престъпна дейност спрямо общия брой на лицата, привлечени към наказателна отговорност.</w:t>
            </w:r>
          </w:p>
        </w:tc>
        <w:tc>
          <w:tcPr>
            <w:tcW w:w="997" w:type="dxa"/>
            <w:tcBorders>
              <w:top w:val="nil"/>
              <w:left w:val="nil"/>
              <w:bottom w:val="nil"/>
              <w:right w:val="nil"/>
            </w:tcBorders>
            <w:shd w:val="clear" w:color="auto" w:fill="F2F2F2" w:themeFill="background1" w:themeFillShade="F2"/>
            <w:vAlign w:val="center"/>
            <w:hideMark/>
          </w:tcPr>
          <w:p w:rsidR="008B1F09"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процент</w:t>
            </w:r>
          </w:p>
        </w:tc>
        <w:tc>
          <w:tcPr>
            <w:tcW w:w="1134" w:type="dxa"/>
            <w:tcBorders>
              <w:top w:val="nil"/>
              <w:left w:val="nil"/>
              <w:bottom w:val="nil"/>
              <w:right w:val="nil"/>
            </w:tcBorders>
            <w:vAlign w:val="center"/>
            <w:hideMark/>
          </w:tcPr>
          <w:p w:rsidR="008B1F09" w:rsidRPr="00A83FE8"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32</w:t>
            </w:r>
          </w:p>
        </w:tc>
        <w:tc>
          <w:tcPr>
            <w:tcW w:w="993" w:type="dxa"/>
            <w:tcBorders>
              <w:top w:val="nil"/>
              <w:left w:val="nil"/>
              <w:bottom w:val="nil"/>
              <w:right w:val="nil"/>
            </w:tcBorders>
            <w:vAlign w:val="center"/>
            <w:hideMark/>
          </w:tcPr>
          <w:p w:rsidR="008B1F09"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65</w:t>
            </w:r>
          </w:p>
        </w:tc>
        <w:tc>
          <w:tcPr>
            <w:tcW w:w="1133" w:type="dxa"/>
            <w:tcBorders>
              <w:top w:val="nil"/>
              <w:left w:val="nil"/>
              <w:bottom w:val="nil"/>
              <w:right w:val="nil"/>
            </w:tcBorders>
            <w:vAlign w:val="center"/>
            <w:hideMark/>
          </w:tcPr>
          <w:p w:rsidR="008B1F09"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70</w:t>
            </w:r>
          </w:p>
        </w:tc>
        <w:tc>
          <w:tcPr>
            <w:tcW w:w="1134" w:type="dxa"/>
            <w:tcBorders>
              <w:top w:val="nil"/>
              <w:left w:val="nil"/>
              <w:bottom w:val="nil"/>
              <w:right w:val="nil"/>
            </w:tcBorders>
            <w:vAlign w:val="center"/>
            <w:hideMark/>
          </w:tcPr>
          <w:p w:rsidR="008B1F09"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70</w:t>
            </w:r>
          </w:p>
        </w:tc>
      </w:tr>
      <w:tr w:rsidR="008B1F09" w:rsidTr="00034C85">
        <w:trPr>
          <w:trHeight w:val="167"/>
        </w:trPr>
        <w:tc>
          <w:tcPr>
            <w:tcW w:w="4219" w:type="dxa"/>
            <w:tcBorders>
              <w:top w:val="nil"/>
              <w:left w:val="nil"/>
              <w:bottom w:val="single" w:sz="4" w:space="0" w:color="auto"/>
              <w:right w:val="nil"/>
            </w:tcBorders>
            <w:hideMark/>
          </w:tcPr>
          <w:p w:rsidR="008B1F09" w:rsidRDefault="008B1F09"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5. Обменени съобщения по каналите на ЕВРОПОЛ, ИНТЕРПОЛ, СИРЕНЕ и по двустранно и регионално сътрудничество.</w:t>
            </w:r>
          </w:p>
        </w:tc>
        <w:tc>
          <w:tcPr>
            <w:tcW w:w="997" w:type="dxa"/>
            <w:tcBorders>
              <w:top w:val="nil"/>
              <w:left w:val="nil"/>
              <w:bottom w:val="single" w:sz="4" w:space="0" w:color="auto"/>
              <w:right w:val="nil"/>
            </w:tcBorders>
            <w:shd w:val="clear" w:color="auto" w:fill="F2F2F2" w:themeFill="background1" w:themeFillShade="F2"/>
            <w:vAlign w:val="center"/>
            <w:hideMark/>
          </w:tcPr>
          <w:p w:rsidR="008B1F09" w:rsidRDefault="008B1F0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1134" w:type="dxa"/>
            <w:tcBorders>
              <w:top w:val="nil"/>
              <w:left w:val="nil"/>
              <w:bottom w:val="single" w:sz="4" w:space="0" w:color="auto"/>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197 000</w:t>
            </w:r>
          </w:p>
        </w:tc>
        <w:tc>
          <w:tcPr>
            <w:tcW w:w="993" w:type="dxa"/>
            <w:tcBorders>
              <w:top w:val="nil"/>
              <w:left w:val="nil"/>
              <w:bottom w:val="single" w:sz="4" w:space="0" w:color="auto"/>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199 000</w:t>
            </w:r>
          </w:p>
        </w:tc>
        <w:tc>
          <w:tcPr>
            <w:tcW w:w="1133" w:type="dxa"/>
            <w:tcBorders>
              <w:top w:val="nil"/>
              <w:left w:val="nil"/>
              <w:bottom w:val="single" w:sz="4" w:space="0" w:color="auto"/>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200 000</w:t>
            </w:r>
          </w:p>
        </w:tc>
        <w:tc>
          <w:tcPr>
            <w:tcW w:w="1134" w:type="dxa"/>
            <w:tcBorders>
              <w:top w:val="nil"/>
              <w:left w:val="nil"/>
              <w:bottom w:val="single" w:sz="4" w:space="0" w:color="auto"/>
              <w:right w:val="nil"/>
            </w:tcBorders>
            <w:vAlign w:val="center"/>
            <w:hideMark/>
          </w:tcPr>
          <w:p w:rsidR="008B1F09" w:rsidRDefault="008B1F0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201 000</w:t>
            </w:r>
          </w:p>
        </w:tc>
      </w:tr>
    </w:tbl>
    <w:p w:rsidR="008B1F09" w:rsidRDefault="008B1F09" w:rsidP="00FB7F50">
      <w:pPr>
        <w:widowControl w:val="0"/>
        <w:autoSpaceDE w:val="0"/>
        <w:autoSpaceDN w:val="0"/>
        <w:adjustRightInd w:val="0"/>
        <w:spacing w:after="120"/>
        <w:ind w:right="-8"/>
        <w:rPr>
          <w:rFonts w:eastAsia="Times New Roman" w:cs="Times New Roman"/>
          <w:b/>
          <w:bCs/>
          <w:sz w:val="16"/>
          <w:szCs w:val="16"/>
        </w:rPr>
      </w:pPr>
    </w:p>
    <w:p w:rsidR="00FB7F50" w:rsidRPr="00456D39" w:rsidRDefault="00FB7F50" w:rsidP="00FB7F50">
      <w:pPr>
        <w:widowControl w:val="0"/>
        <w:autoSpaceDE w:val="0"/>
        <w:autoSpaceDN w:val="0"/>
        <w:adjustRightInd w:val="0"/>
        <w:spacing w:after="120"/>
        <w:ind w:right="-8"/>
        <w:rPr>
          <w:rFonts w:eastAsia="Times New Roman" w:cs="Times New Roman"/>
          <w:bCs/>
          <w:sz w:val="16"/>
          <w:szCs w:val="16"/>
        </w:rPr>
      </w:pPr>
      <w:r w:rsidRPr="001774D6">
        <w:rPr>
          <w:rFonts w:eastAsia="Times New Roman" w:cs="Times New Roman"/>
          <w:b/>
          <w:bCs/>
          <w:sz w:val="16"/>
          <w:szCs w:val="16"/>
        </w:rPr>
        <w:t xml:space="preserve">Забележка: </w:t>
      </w:r>
      <w:r w:rsidRPr="001774D6">
        <w:rPr>
          <w:rFonts w:eastAsia="Times New Roman" w:cs="Times New Roman"/>
          <w:bCs/>
          <w:sz w:val="16"/>
          <w:szCs w:val="16"/>
        </w:rPr>
        <w:t>ЕВРОПОЛ - Европейска полицейска служба;</w:t>
      </w:r>
      <w:r>
        <w:rPr>
          <w:rFonts w:eastAsia="Times New Roman" w:cs="Times New Roman"/>
          <w:bCs/>
          <w:sz w:val="16"/>
          <w:szCs w:val="16"/>
        </w:rPr>
        <w:t xml:space="preserve"> ИНТЕРПОЛ - Международна</w:t>
      </w:r>
      <w:r w:rsidRPr="001774D6">
        <w:rPr>
          <w:rFonts w:eastAsia="Times New Roman" w:cs="Times New Roman"/>
          <w:bCs/>
          <w:sz w:val="16"/>
          <w:szCs w:val="16"/>
        </w:rPr>
        <w:t xml:space="preserve"> организация на криминалната полиция</w:t>
      </w:r>
      <w:r>
        <w:rPr>
          <w:rFonts w:eastAsia="Times New Roman" w:cs="Times New Roman"/>
          <w:bCs/>
          <w:sz w:val="16"/>
          <w:szCs w:val="16"/>
        </w:rPr>
        <w:t xml:space="preserve">; СИРЕНЕ </w:t>
      </w:r>
      <w:r w:rsidRPr="00E22A97">
        <w:rPr>
          <w:rFonts w:eastAsia="Times New Roman" w:cs="Times New Roman"/>
          <w:bCs/>
          <w:sz w:val="16"/>
          <w:szCs w:val="16"/>
          <w:lang w:val="ru-RU"/>
        </w:rPr>
        <w:t>(</w:t>
      </w:r>
      <w:r w:rsidRPr="001774D6">
        <w:rPr>
          <w:rFonts w:eastAsia="Times New Roman" w:cs="Times New Roman"/>
          <w:bCs/>
          <w:sz w:val="16"/>
          <w:szCs w:val="16"/>
          <w:lang w:val="en"/>
        </w:rPr>
        <w:t>SIRENE</w:t>
      </w:r>
      <w:r w:rsidRPr="00E22A97">
        <w:rPr>
          <w:rFonts w:eastAsia="Times New Roman" w:cs="Times New Roman"/>
          <w:bCs/>
          <w:sz w:val="16"/>
          <w:szCs w:val="16"/>
          <w:lang w:val="ru-RU"/>
        </w:rPr>
        <w:t xml:space="preserve"> </w:t>
      </w:r>
      <w:r>
        <w:rPr>
          <w:rFonts w:eastAsia="Times New Roman" w:cs="Times New Roman"/>
          <w:bCs/>
          <w:sz w:val="16"/>
          <w:szCs w:val="16"/>
        </w:rPr>
        <w:t xml:space="preserve">- </w:t>
      </w:r>
      <w:r w:rsidRPr="001774D6">
        <w:rPr>
          <w:rFonts w:eastAsia="Times New Roman" w:cs="Times New Roman"/>
          <w:bCs/>
          <w:sz w:val="16"/>
          <w:szCs w:val="16"/>
          <w:lang w:val="en"/>
        </w:rPr>
        <w:t>Supplementary</w:t>
      </w:r>
      <w:r w:rsidRPr="00E22A97">
        <w:rPr>
          <w:rFonts w:eastAsia="Times New Roman" w:cs="Times New Roman"/>
          <w:bCs/>
          <w:sz w:val="16"/>
          <w:szCs w:val="16"/>
          <w:lang w:val="ru-RU"/>
        </w:rPr>
        <w:t xml:space="preserve"> </w:t>
      </w:r>
      <w:r w:rsidRPr="001774D6">
        <w:rPr>
          <w:rFonts w:eastAsia="Times New Roman" w:cs="Times New Roman"/>
          <w:bCs/>
          <w:sz w:val="16"/>
          <w:szCs w:val="16"/>
          <w:lang w:val="en"/>
        </w:rPr>
        <w:t>Information</w:t>
      </w:r>
      <w:r w:rsidRPr="00E22A97">
        <w:rPr>
          <w:rFonts w:eastAsia="Times New Roman" w:cs="Times New Roman"/>
          <w:bCs/>
          <w:sz w:val="16"/>
          <w:szCs w:val="16"/>
          <w:lang w:val="ru-RU"/>
        </w:rPr>
        <w:t xml:space="preserve"> </w:t>
      </w:r>
      <w:r w:rsidRPr="001774D6">
        <w:rPr>
          <w:rFonts w:eastAsia="Times New Roman" w:cs="Times New Roman"/>
          <w:bCs/>
          <w:sz w:val="16"/>
          <w:szCs w:val="16"/>
          <w:lang w:val="en"/>
        </w:rPr>
        <w:t>Request</w:t>
      </w:r>
      <w:r w:rsidRPr="00E22A97">
        <w:rPr>
          <w:rFonts w:eastAsia="Times New Roman" w:cs="Times New Roman"/>
          <w:bCs/>
          <w:sz w:val="16"/>
          <w:szCs w:val="16"/>
          <w:lang w:val="ru-RU"/>
        </w:rPr>
        <w:t xml:space="preserve"> </w:t>
      </w:r>
      <w:r w:rsidRPr="001774D6">
        <w:rPr>
          <w:rFonts w:eastAsia="Times New Roman" w:cs="Times New Roman"/>
          <w:bCs/>
          <w:sz w:val="16"/>
          <w:szCs w:val="16"/>
          <w:lang w:val="en"/>
        </w:rPr>
        <w:t>at</w:t>
      </w:r>
      <w:r w:rsidRPr="00E22A97">
        <w:rPr>
          <w:rFonts w:eastAsia="Times New Roman" w:cs="Times New Roman"/>
          <w:bCs/>
          <w:sz w:val="16"/>
          <w:szCs w:val="16"/>
          <w:lang w:val="ru-RU"/>
        </w:rPr>
        <w:t xml:space="preserve"> </w:t>
      </w:r>
      <w:r w:rsidRPr="001774D6">
        <w:rPr>
          <w:rFonts w:eastAsia="Times New Roman" w:cs="Times New Roman"/>
          <w:bCs/>
          <w:sz w:val="16"/>
          <w:szCs w:val="16"/>
          <w:lang w:val="en"/>
        </w:rPr>
        <w:t>the</w:t>
      </w:r>
      <w:r w:rsidRPr="00E22A97">
        <w:rPr>
          <w:rFonts w:eastAsia="Times New Roman" w:cs="Times New Roman"/>
          <w:bCs/>
          <w:sz w:val="16"/>
          <w:szCs w:val="16"/>
          <w:lang w:val="ru-RU"/>
        </w:rPr>
        <w:t xml:space="preserve"> </w:t>
      </w:r>
      <w:r w:rsidRPr="001774D6">
        <w:rPr>
          <w:rFonts w:eastAsia="Times New Roman" w:cs="Times New Roman"/>
          <w:bCs/>
          <w:sz w:val="16"/>
          <w:szCs w:val="16"/>
          <w:lang w:val="en"/>
        </w:rPr>
        <w:t>National</w:t>
      </w:r>
      <w:r w:rsidRPr="00E22A97">
        <w:rPr>
          <w:rFonts w:eastAsia="Times New Roman" w:cs="Times New Roman"/>
          <w:bCs/>
          <w:sz w:val="16"/>
          <w:szCs w:val="16"/>
          <w:lang w:val="ru-RU"/>
        </w:rPr>
        <w:t xml:space="preserve"> </w:t>
      </w:r>
      <w:r w:rsidRPr="001774D6">
        <w:rPr>
          <w:rFonts w:eastAsia="Times New Roman" w:cs="Times New Roman"/>
          <w:bCs/>
          <w:sz w:val="16"/>
          <w:szCs w:val="16"/>
          <w:lang w:val="en"/>
        </w:rPr>
        <w:t>Entries</w:t>
      </w:r>
      <w:r w:rsidRPr="00E22A97">
        <w:rPr>
          <w:rFonts w:eastAsia="Times New Roman" w:cs="Times New Roman"/>
          <w:bCs/>
          <w:sz w:val="16"/>
          <w:szCs w:val="16"/>
          <w:lang w:val="ru-RU"/>
        </w:rPr>
        <w:t xml:space="preserve">) </w:t>
      </w:r>
      <w:r>
        <w:rPr>
          <w:rFonts w:eastAsia="Times New Roman" w:cs="Times New Roman"/>
          <w:bCs/>
          <w:sz w:val="16"/>
          <w:szCs w:val="16"/>
        </w:rPr>
        <w:t>–</w:t>
      </w:r>
      <w:r w:rsidRPr="00E22A97">
        <w:rPr>
          <w:rFonts w:eastAsia="Times New Roman" w:cs="Times New Roman"/>
          <w:bCs/>
          <w:sz w:val="16"/>
          <w:szCs w:val="16"/>
          <w:lang w:val="ru-RU"/>
        </w:rPr>
        <w:t xml:space="preserve"> </w:t>
      </w:r>
      <w:r>
        <w:rPr>
          <w:rFonts w:eastAsia="Times New Roman" w:cs="Times New Roman"/>
          <w:bCs/>
          <w:sz w:val="16"/>
          <w:szCs w:val="16"/>
        </w:rPr>
        <w:t>Искане за допълнителна информация във връзка с националните сигнали – система за обмен на допълнителна информация за определени лица между държавите членки.</w:t>
      </w:r>
    </w:p>
    <w:p w:rsidR="00FB7F50" w:rsidRPr="001774D6" w:rsidRDefault="00FB7F50" w:rsidP="00FB7F50">
      <w:pPr>
        <w:widowControl w:val="0"/>
        <w:autoSpaceDE w:val="0"/>
        <w:autoSpaceDN w:val="0"/>
        <w:adjustRightInd w:val="0"/>
        <w:spacing w:after="120"/>
        <w:ind w:right="-8"/>
        <w:jc w:val="left"/>
        <w:rPr>
          <w:rFonts w:eastAsia="Times New Roman" w:cs="Times New Roman"/>
          <w:b/>
          <w:bCs/>
          <w:sz w:val="16"/>
          <w:szCs w:val="16"/>
        </w:rPr>
      </w:pPr>
    </w:p>
    <w:p w:rsidR="00E7639F" w:rsidRPr="008A422F" w:rsidRDefault="00DD3970" w:rsidP="00E7639F">
      <w:pPr>
        <w:pStyle w:val="Heading4"/>
        <w:rPr>
          <w:rFonts w:eastAsia="Times New Roman"/>
        </w:rPr>
      </w:pPr>
      <w:r>
        <w:rPr>
          <w:rFonts w:eastAsia="Times New Roman"/>
        </w:rPr>
        <w:t>П</w:t>
      </w:r>
      <w:r w:rsidR="00E7639F" w:rsidRPr="008A422F">
        <w:rPr>
          <w:rFonts w:eastAsia="Times New Roman"/>
        </w:rPr>
        <w:t xml:space="preserve">олитика </w:t>
      </w:r>
      <w:r>
        <w:rPr>
          <w:rFonts w:eastAsia="Times New Roman"/>
        </w:rPr>
        <w:t>в областта на з</w:t>
      </w:r>
      <w:r w:rsidR="00E7639F" w:rsidRPr="008A422F">
        <w:rPr>
          <w:rFonts w:eastAsia="Times New Roman"/>
        </w:rPr>
        <w:t xml:space="preserve">ащита на границите и контрол на миграционните процеси </w:t>
      </w:r>
    </w:p>
    <w:p w:rsidR="00EB672D" w:rsidRDefault="00EB672D" w:rsidP="00275B35">
      <w:pPr>
        <w:spacing w:before="120" w:after="0"/>
        <w:rPr>
          <w:rFonts w:eastAsia="Batang" w:cs="Times New Roman"/>
          <w:highlight w:val="yellow"/>
        </w:rPr>
      </w:pPr>
    </w:p>
    <w:p w:rsidR="004B7435" w:rsidRPr="00424768" w:rsidRDefault="004B7435" w:rsidP="00424768">
      <w:pPr>
        <w:spacing w:after="0"/>
        <w:rPr>
          <w:rFonts w:eastAsia="Batang" w:cs="Times New Roman"/>
          <w:szCs w:val="24"/>
          <w:lang w:val="ru-RU" w:eastAsia="en-US"/>
        </w:rPr>
      </w:pPr>
      <w:r>
        <w:rPr>
          <w:rFonts w:eastAsia="Batang" w:cs="Times New Roman"/>
        </w:rPr>
        <w:t>Тази област на политика е насочена към: п</w:t>
      </w:r>
      <w:r>
        <w:rPr>
          <w:rFonts w:eastAsia="Times New Roman" w:cs="Times New Roman"/>
          <w:szCs w:val="24"/>
        </w:rPr>
        <w:t>оддържане на висока ефективност в граничното наблюдение за противодействие на незаконната миграция, обезпечаване сигурността на външните европейски граници и усъвършенстване на системите за сигурност на границите чрез прилагане на модерни технически средства и по-ефективен контрол на миграционните процеси.</w:t>
      </w:r>
      <w:r>
        <w:rPr>
          <w:rFonts w:eastAsia="Times New Roman" w:cs="Times New Roman"/>
          <w:szCs w:val="24"/>
          <w:lang w:val="ru-RU"/>
        </w:rPr>
        <w:t xml:space="preserve"> </w:t>
      </w:r>
      <w:r>
        <w:rPr>
          <w:rFonts w:eastAsia="Batang" w:cs="Times New Roman"/>
          <w:szCs w:val="24"/>
          <w:lang w:eastAsia="en-US"/>
        </w:rPr>
        <w:t>Дейностите по тази политика се изпълняват от структури на Министерството на вътрешните работи.</w:t>
      </w:r>
    </w:p>
    <w:p w:rsidR="00275B35" w:rsidRPr="00EB672D" w:rsidRDefault="00275B35" w:rsidP="00275B35">
      <w:pPr>
        <w:spacing w:before="120" w:after="0"/>
        <w:rPr>
          <w:rFonts w:eastAsia="Batang" w:cs="Times New Roman"/>
        </w:rPr>
      </w:pPr>
    </w:p>
    <w:p w:rsidR="0013661C" w:rsidRDefault="00E7639F" w:rsidP="006100EB">
      <w:pPr>
        <w:rPr>
          <w:rFonts w:eastAsia="Times New Roman" w:cs="Times New Roman"/>
          <w:b/>
          <w:bCs/>
          <w:sz w:val="20"/>
          <w:szCs w:val="20"/>
        </w:rPr>
      </w:pPr>
      <w:r w:rsidRPr="002C0F8C">
        <w:rPr>
          <w:rFonts w:eastAsia="Times New Roman" w:cs="Times New Roman"/>
          <w:b/>
          <w:bCs/>
          <w:sz w:val="20"/>
          <w:szCs w:val="20"/>
        </w:rPr>
        <w:t>КЛЮЧОВИ ИНДИКАТОРИ ЗА ИЗПЪЛНЕНИЕ И ЦЕЛЕВИ СТОЙНОСТИ</w:t>
      </w:r>
    </w:p>
    <w:p w:rsidR="00EB672D" w:rsidRPr="00D35D5B" w:rsidRDefault="00EB672D" w:rsidP="00275B35">
      <w:pPr>
        <w:spacing w:before="120" w:after="0"/>
        <w:rPr>
          <w:rFonts w:eastAsia="Times New Roman" w:cs="Times New Roman"/>
          <w:bCs/>
          <w:sz w:val="16"/>
          <w:szCs w:val="16"/>
        </w:rPr>
      </w:pPr>
    </w:p>
    <w:tbl>
      <w:tblPr>
        <w:tblStyle w:val="TableGrid2"/>
        <w:tblW w:w="918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71"/>
        <w:gridCol w:w="967"/>
        <w:gridCol w:w="913"/>
        <w:gridCol w:w="348"/>
        <w:gridCol w:w="662"/>
        <w:gridCol w:w="348"/>
        <w:gridCol w:w="1105"/>
        <w:gridCol w:w="1075"/>
      </w:tblGrid>
      <w:tr w:rsidR="004B7435" w:rsidTr="00F11BBA">
        <w:trPr>
          <w:trHeight w:val="255"/>
          <w:tblHeader/>
          <w:jc w:val="center"/>
        </w:trPr>
        <w:tc>
          <w:tcPr>
            <w:tcW w:w="3771" w:type="dxa"/>
            <w:tcBorders>
              <w:top w:val="single" w:sz="4" w:space="0" w:color="auto"/>
              <w:left w:val="nil"/>
              <w:bottom w:val="nil"/>
              <w:right w:val="nil"/>
            </w:tcBorders>
            <w:vAlign w:val="center"/>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Политика в областта на защита на границите и контрол на миграционните процеси</w:t>
            </w:r>
          </w:p>
          <w:p w:rsidR="004B7435" w:rsidRDefault="004B7435" w:rsidP="00064BF8">
            <w:pPr>
              <w:spacing w:after="0"/>
              <w:jc w:val="center"/>
              <w:rPr>
                <w:rFonts w:eastAsia="Times New Roman" w:cs="Times New Roman"/>
                <w:b/>
                <w:bCs/>
                <w:i/>
                <w:iCs/>
                <w:color w:val="000000"/>
                <w:sz w:val="18"/>
                <w:szCs w:val="18"/>
              </w:rPr>
            </w:pPr>
          </w:p>
        </w:tc>
        <w:tc>
          <w:tcPr>
            <w:tcW w:w="967" w:type="dxa"/>
            <w:vMerge w:val="restart"/>
            <w:tcBorders>
              <w:top w:val="single" w:sz="4" w:space="0" w:color="auto"/>
              <w:left w:val="nil"/>
              <w:bottom w:val="single" w:sz="4" w:space="0" w:color="auto"/>
              <w:right w:val="nil"/>
            </w:tcBorders>
            <w:shd w:val="clear" w:color="auto" w:fill="EEF1F6" w:themeFill="accent5" w:themeFillTint="33"/>
            <w:vAlign w:val="center"/>
          </w:tcPr>
          <w:p w:rsidR="004B7435" w:rsidRDefault="004B7435" w:rsidP="00064BF8">
            <w:pPr>
              <w:spacing w:after="0"/>
              <w:jc w:val="center"/>
              <w:rPr>
                <w:rFonts w:eastAsia="Times New Roman" w:cs="Times New Roman"/>
                <w:b/>
                <w:bCs/>
                <w:i/>
                <w:iCs/>
                <w:color w:val="000000"/>
                <w:sz w:val="18"/>
                <w:szCs w:val="18"/>
              </w:rPr>
            </w:pPr>
          </w:p>
          <w:p w:rsidR="004B7435" w:rsidRPr="005238B9" w:rsidRDefault="004B7435" w:rsidP="00064BF8">
            <w:pPr>
              <w:spacing w:after="0"/>
              <w:jc w:val="center"/>
              <w:rPr>
                <w:rFonts w:eastAsia="Times New Roman" w:cs="Times New Roman"/>
                <w:b/>
                <w:bCs/>
                <w:iCs/>
                <w:color w:val="000000"/>
                <w:sz w:val="18"/>
                <w:szCs w:val="18"/>
              </w:rPr>
            </w:pPr>
            <w:r w:rsidRPr="005238B9">
              <w:rPr>
                <w:rFonts w:eastAsia="Times New Roman" w:cs="Times New Roman"/>
                <w:b/>
                <w:bCs/>
                <w:iCs/>
                <w:color w:val="000000"/>
                <w:sz w:val="18"/>
                <w:szCs w:val="18"/>
              </w:rPr>
              <w:t>Мерна единица</w:t>
            </w:r>
          </w:p>
        </w:tc>
        <w:tc>
          <w:tcPr>
            <w:tcW w:w="4451" w:type="dxa"/>
            <w:gridSpan w:val="6"/>
            <w:tcBorders>
              <w:top w:val="single" w:sz="4" w:space="0" w:color="auto"/>
              <w:left w:val="nil"/>
              <w:bottom w:val="single" w:sz="4" w:space="0" w:color="auto"/>
              <w:right w:val="nil"/>
            </w:tcBorders>
            <w:vAlign w:val="center"/>
            <w:hideMark/>
          </w:tcPr>
          <w:p w:rsidR="004B7435" w:rsidRPr="004B7435" w:rsidRDefault="004B7435" w:rsidP="00064BF8">
            <w:pPr>
              <w:spacing w:after="0"/>
              <w:jc w:val="center"/>
              <w:rPr>
                <w:rFonts w:eastAsia="Times New Roman" w:cs="Times New Roman"/>
                <w:b/>
                <w:bCs/>
                <w:iCs/>
                <w:color w:val="000000"/>
                <w:sz w:val="18"/>
                <w:szCs w:val="18"/>
              </w:rPr>
            </w:pPr>
            <w:r w:rsidRPr="004B7435">
              <w:rPr>
                <w:rFonts w:eastAsia="Times New Roman" w:cs="Times New Roman"/>
                <w:b/>
                <w:bCs/>
                <w:iCs/>
                <w:color w:val="000000"/>
                <w:sz w:val="18"/>
                <w:szCs w:val="18"/>
              </w:rPr>
              <w:t>Целева стойност</w:t>
            </w:r>
          </w:p>
        </w:tc>
      </w:tr>
      <w:tr w:rsidR="004B7435" w:rsidTr="00F11BBA">
        <w:trPr>
          <w:trHeight w:val="450"/>
          <w:tblHeader/>
          <w:jc w:val="center"/>
        </w:trPr>
        <w:tc>
          <w:tcPr>
            <w:tcW w:w="3771" w:type="dxa"/>
            <w:tcBorders>
              <w:top w:val="nil"/>
              <w:left w:val="nil"/>
              <w:bottom w:val="single" w:sz="4" w:space="0" w:color="auto"/>
              <w:right w:val="nil"/>
            </w:tcBorders>
            <w:vAlign w:val="center"/>
            <w:hideMark/>
          </w:tcPr>
          <w:p w:rsidR="004B7435" w:rsidRDefault="004B7435" w:rsidP="00064BF8">
            <w:pPr>
              <w:spacing w:after="0"/>
              <w:jc w:val="center"/>
              <w:rPr>
                <w:rFonts w:eastAsia="Times New Roman" w:cs="Times New Roman"/>
                <w:b/>
                <w:bCs/>
                <w:iCs/>
                <w:color w:val="000000"/>
                <w:sz w:val="18"/>
                <w:szCs w:val="18"/>
              </w:rPr>
            </w:pPr>
            <w:r>
              <w:rPr>
                <w:rFonts w:eastAsia="Times New Roman" w:cs="Times New Roman"/>
                <w:b/>
                <w:bCs/>
                <w:iCs/>
                <w:color w:val="000000"/>
                <w:sz w:val="18"/>
                <w:szCs w:val="18"/>
              </w:rPr>
              <w:t>Наименование на индикатора</w:t>
            </w:r>
          </w:p>
        </w:tc>
        <w:tc>
          <w:tcPr>
            <w:tcW w:w="967" w:type="dxa"/>
            <w:vMerge/>
            <w:tcBorders>
              <w:top w:val="nil"/>
              <w:left w:val="nil"/>
              <w:bottom w:val="single" w:sz="4" w:space="0" w:color="auto"/>
              <w:right w:val="nil"/>
            </w:tcBorders>
            <w:vAlign w:val="center"/>
            <w:hideMark/>
          </w:tcPr>
          <w:p w:rsidR="004B7435" w:rsidRDefault="004B7435" w:rsidP="00064BF8">
            <w:pPr>
              <w:spacing w:after="0"/>
              <w:rPr>
                <w:rFonts w:eastAsia="Times New Roman" w:cs="Times New Roman"/>
                <w:b/>
                <w:bCs/>
                <w:i/>
                <w:iCs/>
                <w:color w:val="000000"/>
                <w:sz w:val="18"/>
                <w:szCs w:val="18"/>
              </w:rPr>
            </w:pPr>
          </w:p>
        </w:tc>
        <w:tc>
          <w:tcPr>
            <w:tcW w:w="1261" w:type="dxa"/>
            <w:gridSpan w:val="2"/>
            <w:tcBorders>
              <w:top w:val="single" w:sz="4" w:space="0" w:color="auto"/>
              <w:left w:val="nil"/>
              <w:bottom w:val="single" w:sz="4" w:space="0" w:color="auto"/>
              <w:right w:val="nil"/>
            </w:tcBorders>
            <w:vAlign w:val="center"/>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 xml:space="preserve">Програма </w:t>
            </w:r>
            <w:r>
              <w:rPr>
                <w:rFonts w:eastAsia="Times New Roman" w:cs="Times New Roman"/>
                <w:b/>
                <w:bCs/>
                <w:i/>
                <w:iCs/>
                <w:color w:val="000000"/>
                <w:sz w:val="18"/>
                <w:szCs w:val="18"/>
              </w:rPr>
              <w:br/>
              <w:t>2019 г.</w:t>
            </w:r>
          </w:p>
        </w:tc>
        <w:tc>
          <w:tcPr>
            <w:tcW w:w="1010" w:type="dxa"/>
            <w:gridSpan w:val="2"/>
            <w:tcBorders>
              <w:top w:val="single" w:sz="4" w:space="0" w:color="auto"/>
              <w:left w:val="nil"/>
              <w:bottom w:val="single" w:sz="4" w:space="0" w:color="auto"/>
              <w:right w:val="nil"/>
            </w:tcBorders>
            <w:vAlign w:val="center"/>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Проект 2020 г.</w:t>
            </w:r>
          </w:p>
        </w:tc>
        <w:tc>
          <w:tcPr>
            <w:tcW w:w="1105" w:type="dxa"/>
            <w:tcBorders>
              <w:top w:val="single" w:sz="4" w:space="0" w:color="auto"/>
              <w:left w:val="nil"/>
              <w:bottom w:val="single" w:sz="4" w:space="0" w:color="auto"/>
              <w:right w:val="nil"/>
            </w:tcBorders>
            <w:vAlign w:val="center"/>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Прогноза 2021 г.</w:t>
            </w:r>
          </w:p>
        </w:tc>
        <w:tc>
          <w:tcPr>
            <w:tcW w:w="1075" w:type="dxa"/>
            <w:tcBorders>
              <w:top w:val="single" w:sz="4" w:space="0" w:color="auto"/>
              <w:left w:val="nil"/>
              <w:bottom w:val="single" w:sz="4" w:space="0" w:color="auto"/>
              <w:right w:val="nil"/>
            </w:tcBorders>
            <w:vAlign w:val="center"/>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Прогноза 2022 г.</w:t>
            </w:r>
          </w:p>
        </w:tc>
      </w:tr>
      <w:tr w:rsidR="004B7435" w:rsidTr="00A14763">
        <w:trPr>
          <w:trHeight w:val="759"/>
          <w:jc w:val="center"/>
        </w:trPr>
        <w:tc>
          <w:tcPr>
            <w:tcW w:w="3771" w:type="dxa"/>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1. Поддържане на висока ефективност в граничното наблюдение за противодействие на незаконната миграция и обезпечаване сигурността на външните европейски граници</w:t>
            </w:r>
          </w:p>
        </w:tc>
        <w:tc>
          <w:tcPr>
            <w:tcW w:w="967" w:type="dxa"/>
            <w:tcBorders>
              <w:top w:val="single" w:sz="4" w:space="0" w:color="auto"/>
              <w:left w:val="nil"/>
              <w:bottom w:val="nil"/>
              <w:right w:val="nil"/>
            </w:tcBorders>
            <w:shd w:val="clear" w:color="auto" w:fill="EEF1F6" w:themeFill="accent5" w:themeFillTint="33"/>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913" w:type="dxa"/>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lang w:val="en-US"/>
              </w:rPr>
              <w:t>55</w:t>
            </w:r>
            <w:r>
              <w:rPr>
                <w:rFonts w:asciiTheme="majorHAnsi" w:eastAsia="Times New Roman" w:hAnsiTheme="majorHAnsi" w:cstheme="majorHAnsi"/>
                <w:sz w:val="18"/>
                <w:szCs w:val="18"/>
              </w:rPr>
              <w:t>0</w:t>
            </w:r>
          </w:p>
        </w:tc>
        <w:tc>
          <w:tcPr>
            <w:tcW w:w="1010" w:type="dxa"/>
            <w:gridSpan w:val="2"/>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900</w:t>
            </w:r>
          </w:p>
        </w:tc>
        <w:tc>
          <w:tcPr>
            <w:tcW w:w="1453" w:type="dxa"/>
            <w:gridSpan w:val="2"/>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900</w:t>
            </w:r>
          </w:p>
        </w:tc>
        <w:tc>
          <w:tcPr>
            <w:tcW w:w="1075" w:type="dxa"/>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850</w:t>
            </w:r>
          </w:p>
        </w:tc>
      </w:tr>
      <w:tr w:rsidR="004B7435" w:rsidTr="00064BF8">
        <w:trPr>
          <w:trHeight w:val="270"/>
          <w:jc w:val="center"/>
        </w:trPr>
        <w:tc>
          <w:tcPr>
            <w:tcW w:w="3771" w:type="dxa"/>
            <w:hideMark/>
          </w:tcPr>
          <w:p w:rsidR="004B7435" w:rsidRDefault="004B7435"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2. Поддържане на висока ефективност в граничните проверки за противодействие на незаконната миграция и незаконното превеждане на лица през държавната граница</w:t>
            </w:r>
          </w:p>
        </w:tc>
        <w:tc>
          <w:tcPr>
            <w:tcW w:w="967" w:type="dxa"/>
            <w:shd w:val="clear" w:color="auto" w:fill="EEF1F6" w:themeFill="accent5" w:themeFillTint="33"/>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913" w:type="dxa"/>
            <w:hideMark/>
          </w:tcPr>
          <w:p w:rsidR="004B7435" w:rsidRPr="00A83FE8"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600</w:t>
            </w:r>
          </w:p>
        </w:tc>
        <w:tc>
          <w:tcPr>
            <w:tcW w:w="1010" w:type="dxa"/>
            <w:gridSpan w:val="2"/>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420</w:t>
            </w:r>
          </w:p>
        </w:tc>
        <w:tc>
          <w:tcPr>
            <w:tcW w:w="1453" w:type="dxa"/>
            <w:gridSpan w:val="2"/>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390</w:t>
            </w:r>
          </w:p>
        </w:tc>
        <w:tc>
          <w:tcPr>
            <w:tcW w:w="1075" w:type="dxa"/>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390</w:t>
            </w:r>
          </w:p>
        </w:tc>
      </w:tr>
      <w:tr w:rsidR="004B7435" w:rsidTr="00064BF8">
        <w:trPr>
          <w:trHeight w:val="270"/>
          <w:jc w:val="center"/>
        </w:trPr>
        <w:tc>
          <w:tcPr>
            <w:tcW w:w="3771" w:type="dxa"/>
            <w:hideMark/>
          </w:tcPr>
          <w:p w:rsidR="004B7435" w:rsidRDefault="004B7435"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3. Увеличаване на броя на издадените разрешения, удостоверения и други документи за пребиваване на граждани на трети страни и граждани на ЕС, спрямо предходния отчетен период</w:t>
            </w:r>
          </w:p>
        </w:tc>
        <w:tc>
          <w:tcPr>
            <w:tcW w:w="967" w:type="dxa"/>
            <w:shd w:val="clear" w:color="auto" w:fill="EEF1F6" w:themeFill="accent5" w:themeFillTint="33"/>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процент</w:t>
            </w:r>
          </w:p>
        </w:tc>
        <w:tc>
          <w:tcPr>
            <w:tcW w:w="913" w:type="dxa"/>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w:t>
            </w:r>
          </w:p>
        </w:tc>
        <w:tc>
          <w:tcPr>
            <w:tcW w:w="1010" w:type="dxa"/>
            <w:gridSpan w:val="2"/>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w:t>
            </w:r>
          </w:p>
        </w:tc>
        <w:tc>
          <w:tcPr>
            <w:tcW w:w="1453" w:type="dxa"/>
            <w:gridSpan w:val="2"/>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w:t>
            </w:r>
          </w:p>
        </w:tc>
        <w:tc>
          <w:tcPr>
            <w:tcW w:w="1075" w:type="dxa"/>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w:t>
            </w:r>
          </w:p>
        </w:tc>
      </w:tr>
      <w:tr w:rsidR="004B7435" w:rsidTr="00064BF8">
        <w:trPr>
          <w:trHeight w:val="575"/>
          <w:jc w:val="center"/>
        </w:trPr>
        <w:tc>
          <w:tcPr>
            <w:tcW w:w="3771" w:type="dxa"/>
            <w:tcBorders>
              <w:top w:val="nil"/>
              <w:left w:val="nil"/>
              <w:bottom w:val="single" w:sz="4" w:space="0" w:color="auto"/>
              <w:right w:val="nil"/>
            </w:tcBorders>
            <w:hideMark/>
          </w:tcPr>
          <w:p w:rsidR="004B7435" w:rsidRDefault="004B7435" w:rsidP="0042476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 xml:space="preserve">4. Повишаване на ефективността на процедурите по връщане на незаконно пребиваващите чужденци като елемент от политиката по противодействие на незаконната миграция чрез увеличаване на процента на върнатите чужденци спрямо броя на лицата, настанени </w:t>
            </w:r>
            <w:r w:rsidRPr="004B7435">
              <w:rPr>
                <w:rFonts w:asciiTheme="majorHAnsi" w:eastAsia="Times New Roman" w:hAnsiTheme="majorHAnsi" w:cstheme="majorHAnsi"/>
                <w:sz w:val="18"/>
                <w:szCs w:val="18"/>
              </w:rPr>
              <w:t xml:space="preserve">в </w:t>
            </w:r>
            <w:r w:rsidR="00424768" w:rsidRPr="00424768">
              <w:rPr>
                <w:rFonts w:asciiTheme="majorHAnsi" w:eastAsia="Times New Roman" w:hAnsiTheme="majorHAnsi" w:cstheme="majorHAnsi"/>
                <w:sz w:val="18"/>
                <w:szCs w:val="18"/>
              </w:rPr>
              <w:t xml:space="preserve">специални домове за временно настаняване на чужденци </w:t>
            </w:r>
            <w:r>
              <w:rPr>
                <w:rFonts w:asciiTheme="majorHAnsi" w:eastAsia="Times New Roman" w:hAnsiTheme="majorHAnsi" w:cstheme="majorHAnsi"/>
                <w:sz w:val="18"/>
                <w:szCs w:val="18"/>
              </w:rPr>
              <w:t xml:space="preserve"> през отчетния период и подлежащи на връщане.</w:t>
            </w:r>
          </w:p>
        </w:tc>
        <w:tc>
          <w:tcPr>
            <w:tcW w:w="967" w:type="dxa"/>
            <w:tcBorders>
              <w:top w:val="nil"/>
              <w:left w:val="nil"/>
              <w:bottom w:val="single" w:sz="4" w:space="0" w:color="auto"/>
              <w:right w:val="nil"/>
            </w:tcBorders>
            <w:shd w:val="clear" w:color="auto" w:fill="EEF1F6" w:themeFill="accent5" w:themeFillTint="33"/>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процент</w:t>
            </w:r>
          </w:p>
        </w:tc>
        <w:tc>
          <w:tcPr>
            <w:tcW w:w="913" w:type="dxa"/>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4</w:t>
            </w:r>
          </w:p>
        </w:tc>
        <w:tc>
          <w:tcPr>
            <w:tcW w:w="1010" w:type="dxa"/>
            <w:gridSpan w:val="2"/>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5</w:t>
            </w:r>
          </w:p>
        </w:tc>
        <w:tc>
          <w:tcPr>
            <w:tcW w:w="1453" w:type="dxa"/>
            <w:gridSpan w:val="2"/>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6</w:t>
            </w:r>
          </w:p>
        </w:tc>
        <w:tc>
          <w:tcPr>
            <w:tcW w:w="1075" w:type="dxa"/>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6</w:t>
            </w:r>
          </w:p>
        </w:tc>
      </w:tr>
    </w:tbl>
    <w:p w:rsidR="00E7639F" w:rsidRPr="008A422F" w:rsidRDefault="00DD3970" w:rsidP="004D5326">
      <w:pPr>
        <w:pStyle w:val="Heading4"/>
        <w:spacing w:before="360"/>
        <w:rPr>
          <w:rFonts w:eastAsia="Times New Roman"/>
        </w:rPr>
      </w:pPr>
      <w:r>
        <w:rPr>
          <w:rFonts w:eastAsia="Times New Roman"/>
        </w:rPr>
        <w:t>П</w:t>
      </w:r>
      <w:r w:rsidR="006B4AC3">
        <w:rPr>
          <w:rFonts w:eastAsia="Times New Roman"/>
        </w:rPr>
        <w:t xml:space="preserve">олитика </w:t>
      </w:r>
      <w:r>
        <w:rPr>
          <w:rFonts w:eastAsia="Times New Roman"/>
        </w:rPr>
        <w:t>в областта на п</w:t>
      </w:r>
      <w:r w:rsidR="00E7639F" w:rsidRPr="008A422F">
        <w:rPr>
          <w:rFonts w:eastAsia="Times New Roman"/>
        </w:rPr>
        <w:t>ожарна</w:t>
      </w:r>
      <w:r>
        <w:rPr>
          <w:rFonts w:eastAsia="Times New Roman"/>
        </w:rPr>
        <w:t>та</w:t>
      </w:r>
      <w:r w:rsidR="00E7639F" w:rsidRPr="008A422F">
        <w:rPr>
          <w:rFonts w:eastAsia="Times New Roman"/>
        </w:rPr>
        <w:t xml:space="preserve"> безопасност и защитата на населението при извънредни ситуации </w:t>
      </w:r>
    </w:p>
    <w:p w:rsidR="004B7435" w:rsidRDefault="004B7435" w:rsidP="00275B35">
      <w:pPr>
        <w:spacing w:before="120" w:after="0"/>
        <w:rPr>
          <w:rFonts w:eastAsia="Batang"/>
        </w:rPr>
      </w:pPr>
    </w:p>
    <w:p w:rsidR="004B7435" w:rsidRDefault="004B7435" w:rsidP="004B7435">
      <w:pPr>
        <w:spacing w:after="0"/>
        <w:rPr>
          <w:rFonts w:eastAsia="Batang" w:cs="Times New Roman"/>
          <w:szCs w:val="24"/>
          <w:lang w:eastAsia="en-US"/>
        </w:rPr>
      </w:pPr>
      <w:r>
        <w:rPr>
          <w:rFonts w:eastAsia="Batang"/>
        </w:rPr>
        <w:t>Тази област на политика е насочена към: осъществяване на държавен противопожарен контрол за спазване на правилата и нормите при проектиране и строителство и при експлоатация на обектите и осигуряване на пожарната безопасност и защита от пожари, бедствия и извънредни ситуации.</w:t>
      </w:r>
      <w:r>
        <w:rPr>
          <w:rFonts w:eastAsia="Batang"/>
          <w:lang w:val="ru-RU"/>
        </w:rPr>
        <w:t xml:space="preserve"> </w:t>
      </w:r>
      <w:r>
        <w:rPr>
          <w:rFonts w:eastAsia="Batang" w:cs="Times New Roman"/>
          <w:szCs w:val="24"/>
          <w:lang w:eastAsia="en-US"/>
        </w:rPr>
        <w:t>Дейностите по тази политика се изпълняват от Главна дирекция „Пожарна безопасност и защита на населението“ към МВР.</w:t>
      </w:r>
    </w:p>
    <w:p w:rsidR="00EB672D" w:rsidRDefault="00EB672D" w:rsidP="00E7639F">
      <w:pPr>
        <w:widowControl w:val="0"/>
        <w:autoSpaceDE w:val="0"/>
        <w:autoSpaceDN w:val="0"/>
        <w:adjustRightInd w:val="0"/>
        <w:spacing w:after="120"/>
        <w:ind w:right="-8"/>
        <w:jc w:val="left"/>
        <w:rPr>
          <w:rFonts w:eastAsia="Batang"/>
        </w:rPr>
      </w:pPr>
    </w:p>
    <w:p w:rsidR="00EB672D" w:rsidRPr="00A87CBA" w:rsidRDefault="00E7639F" w:rsidP="00A87CBA">
      <w:pPr>
        <w:widowControl w:val="0"/>
        <w:autoSpaceDE w:val="0"/>
        <w:autoSpaceDN w:val="0"/>
        <w:adjustRightInd w:val="0"/>
        <w:spacing w:after="120"/>
        <w:ind w:right="-8"/>
        <w:jc w:val="left"/>
        <w:rPr>
          <w:rFonts w:eastAsia="Times New Roman" w:cs="Times New Roman"/>
          <w:b/>
          <w:bCs/>
          <w:sz w:val="20"/>
          <w:szCs w:val="20"/>
        </w:rPr>
      </w:pPr>
      <w:r w:rsidRPr="002C0F8C">
        <w:rPr>
          <w:rFonts w:eastAsia="Times New Roman" w:cs="Times New Roman"/>
          <w:b/>
          <w:bCs/>
          <w:sz w:val="20"/>
          <w:szCs w:val="20"/>
        </w:rPr>
        <w:t>КЛЮЧОВИ ИНДИКАТОРИ ЗА ИЗПЪЛНЕНИЕ И ЦЕЛЕВИ СТОЙНОСТИ</w:t>
      </w:r>
    </w:p>
    <w:tbl>
      <w:tblPr>
        <w:tblStyle w:val="TableGrid2"/>
        <w:tblW w:w="8970"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97"/>
        <w:gridCol w:w="992"/>
        <w:gridCol w:w="1135"/>
        <w:gridCol w:w="922"/>
        <w:gridCol w:w="1062"/>
        <w:gridCol w:w="1062"/>
      </w:tblGrid>
      <w:tr w:rsidR="004B7435" w:rsidTr="00264ABB">
        <w:trPr>
          <w:trHeight w:val="255"/>
          <w:tblHeader/>
          <w:jc w:val="center"/>
        </w:trPr>
        <w:tc>
          <w:tcPr>
            <w:tcW w:w="3794" w:type="dxa"/>
            <w:tcBorders>
              <w:top w:val="single" w:sz="4" w:space="0" w:color="auto"/>
              <w:left w:val="nil"/>
              <w:bottom w:val="nil"/>
              <w:right w:val="nil"/>
            </w:tcBorders>
            <w:vAlign w:val="center"/>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Политика  в областта на пожарната безопасност и защитата на населението при извънредни ситуации</w:t>
            </w:r>
          </w:p>
        </w:tc>
        <w:tc>
          <w:tcPr>
            <w:tcW w:w="992" w:type="dxa"/>
            <w:vMerge w:val="restart"/>
            <w:tcBorders>
              <w:top w:val="single" w:sz="4" w:space="0" w:color="auto"/>
              <w:left w:val="nil"/>
              <w:bottom w:val="single" w:sz="4" w:space="0" w:color="auto"/>
              <w:right w:val="nil"/>
            </w:tcBorders>
            <w:shd w:val="clear" w:color="auto" w:fill="F2F2F2" w:themeFill="background1" w:themeFillShade="F2"/>
            <w:hideMark/>
          </w:tcPr>
          <w:p w:rsidR="004B7435" w:rsidRDefault="004B7435" w:rsidP="00064BF8">
            <w:pPr>
              <w:spacing w:after="0"/>
              <w:rPr>
                <w:rFonts w:eastAsia="Times New Roman" w:cs="Times New Roman"/>
                <w:b/>
                <w:bCs/>
                <w:i/>
                <w:iCs/>
                <w:color w:val="000000"/>
                <w:sz w:val="18"/>
                <w:szCs w:val="18"/>
              </w:rPr>
            </w:pPr>
            <w:r>
              <w:rPr>
                <w:rFonts w:eastAsia="Times New Roman" w:cs="Times New Roman"/>
                <w:b/>
                <w:bCs/>
                <w:i/>
                <w:iCs/>
                <w:color w:val="000000"/>
                <w:sz w:val="18"/>
                <w:szCs w:val="18"/>
              </w:rPr>
              <w:t> </w:t>
            </w:r>
          </w:p>
          <w:p w:rsidR="004B7435" w:rsidRPr="005238B9" w:rsidRDefault="004B7435" w:rsidP="00064BF8">
            <w:pPr>
              <w:spacing w:after="0"/>
              <w:jc w:val="center"/>
              <w:rPr>
                <w:rFonts w:eastAsia="Times New Roman" w:cs="Times New Roman"/>
                <w:b/>
                <w:bCs/>
                <w:iCs/>
                <w:color w:val="000000"/>
                <w:sz w:val="18"/>
                <w:szCs w:val="18"/>
              </w:rPr>
            </w:pPr>
            <w:r w:rsidRPr="005238B9">
              <w:rPr>
                <w:rFonts w:eastAsia="Times New Roman" w:cs="Times New Roman"/>
                <w:b/>
                <w:bCs/>
                <w:iCs/>
                <w:color w:val="000000"/>
                <w:sz w:val="18"/>
                <w:szCs w:val="18"/>
              </w:rPr>
              <w:t>Мерна единица</w:t>
            </w:r>
          </w:p>
        </w:tc>
        <w:tc>
          <w:tcPr>
            <w:tcW w:w="4180" w:type="dxa"/>
            <w:gridSpan w:val="4"/>
            <w:tcBorders>
              <w:top w:val="single" w:sz="4" w:space="0" w:color="auto"/>
              <w:left w:val="nil"/>
              <w:bottom w:val="single" w:sz="4" w:space="0" w:color="auto"/>
              <w:right w:val="nil"/>
            </w:tcBorders>
            <w:hideMark/>
          </w:tcPr>
          <w:p w:rsidR="004B7435" w:rsidRPr="004B7435" w:rsidRDefault="004B7435" w:rsidP="00064BF8">
            <w:pPr>
              <w:spacing w:after="0"/>
              <w:ind w:left="162" w:hanging="162"/>
              <w:jc w:val="center"/>
              <w:rPr>
                <w:rFonts w:eastAsia="Times New Roman" w:cs="Times New Roman"/>
                <w:b/>
                <w:bCs/>
                <w:iCs/>
                <w:color w:val="000000"/>
                <w:sz w:val="18"/>
                <w:szCs w:val="18"/>
              </w:rPr>
            </w:pPr>
            <w:r w:rsidRPr="004B7435">
              <w:rPr>
                <w:rFonts w:eastAsia="Times New Roman" w:cs="Times New Roman"/>
                <w:b/>
                <w:bCs/>
                <w:iCs/>
                <w:color w:val="000000"/>
                <w:sz w:val="18"/>
                <w:szCs w:val="18"/>
              </w:rPr>
              <w:t>Целева стойност</w:t>
            </w:r>
          </w:p>
        </w:tc>
      </w:tr>
      <w:tr w:rsidR="004B7435" w:rsidTr="00264ABB">
        <w:trPr>
          <w:trHeight w:val="282"/>
          <w:tblHeader/>
          <w:jc w:val="center"/>
        </w:trPr>
        <w:tc>
          <w:tcPr>
            <w:tcW w:w="3794" w:type="dxa"/>
            <w:tcBorders>
              <w:top w:val="nil"/>
              <w:left w:val="nil"/>
              <w:bottom w:val="single" w:sz="4" w:space="0" w:color="auto"/>
              <w:right w:val="nil"/>
            </w:tcBorders>
            <w:vAlign w:val="center"/>
            <w:hideMark/>
          </w:tcPr>
          <w:p w:rsidR="004B7435" w:rsidRDefault="004B7435" w:rsidP="00064BF8">
            <w:pPr>
              <w:spacing w:after="0"/>
              <w:jc w:val="center"/>
              <w:rPr>
                <w:rFonts w:eastAsia="Times New Roman" w:cs="Times New Roman"/>
                <w:b/>
                <w:bCs/>
                <w:iCs/>
                <w:color w:val="000000"/>
                <w:sz w:val="18"/>
                <w:szCs w:val="18"/>
              </w:rPr>
            </w:pPr>
            <w:r>
              <w:rPr>
                <w:rFonts w:eastAsia="Times New Roman" w:cs="Times New Roman"/>
                <w:b/>
                <w:bCs/>
                <w:iCs/>
                <w:color w:val="000000"/>
                <w:sz w:val="18"/>
                <w:szCs w:val="18"/>
              </w:rPr>
              <w:t>Наименование на индикатора</w:t>
            </w:r>
          </w:p>
        </w:tc>
        <w:tc>
          <w:tcPr>
            <w:tcW w:w="992" w:type="dxa"/>
            <w:vMerge/>
            <w:tcBorders>
              <w:top w:val="single" w:sz="4" w:space="0" w:color="auto"/>
              <w:left w:val="nil"/>
              <w:bottom w:val="single" w:sz="4" w:space="0" w:color="auto"/>
              <w:right w:val="nil"/>
            </w:tcBorders>
            <w:shd w:val="clear" w:color="auto" w:fill="F2F2F2" w:themeFill="background1" w:themeFillShade="F2"/>
            <w:vAlign w:val="center"/>
            <w:hideMark/>
          </w:tcPr>
          <w:p w:rsidR="004B7435" w:rsidRDefault="004B7435" w:rsidP="00064BF8">
            <w:pPr>
              <w:spacing w:after="0"/>
              <w:rPr>
                <w:rFonts w:eastAsia="Times New Roman" w:cs="Times New Roman"/>
                <w:b/>
                <w:bCs/>
                <w:i/>
                <w:iCs/>
                <w:color w:val="000000"/>
                <w:sz w:val="18"/>
                <w:szCs w:val="18"/>
              </w:rPr>
            </w:pPr>
          </w:p>
        </w:tc>
        <w:tc>
          <w:tcPr>
            <w:tcW w:w="1134" w:type="dxa"/>
            <w:tcBorders>
              <w:top w:val="single" w:sz="4" w:space="0" w:color="auto"/>
              <w:left w:val="nil"/>
              <w:bottom w:val="single" w:sz="4" w:space="0" w:color="auto"/>
              <w:right w:val="nil"/>
            </w:tcBorders>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Програма 2019 г.</w:t>
            </w:r>
          </w:p>
        </w:tc>
        <w:tc>
          <w:tcPr>
            <w:tcW w:w="922" w:type="dxa"/>
            <w:tcBorders>
              <w:top w:val="single" w:sz="4" w:space="0" w:color="auto"/>
              <w:left w:val="nil"/>
              <w:bottom w:val="single" w:sz="4" w:space="0" w:color="auto"/>
              <w:right w:val="nil"/>
            </w:tcBorders>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Проект 2020 г.</w:t>
            </w:r>
          </w:p>
        </w:tc>
        <w:tc>
          <w:tcPr>
            <w:tcW w:w="1062" w:type="dxa"/>
            <w:tcBorders>
              <w:top w:val="single" w:sz="4" w:space="0" w:color="auto"/>
              <w:left w:val="nil"/>
              <w:bottom w:val="single" w:sz="4" w:space="0" w:color="auto"/>
              <w:right w:val="nil"/>
            </w:tcBorders>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Прогноза 2021 г.</w:t>
            </w:r>
          </w:p>
        </w:tc>
        <w:tc>
          <w:tcPr>
            <w:tcW w:w="1062" w:type="dxa"/>
            <w:tcBorders>
              <w:top w:val="single" w:sz="4" w:space="0" w:color="auto"/>
              <w:left w:val="nil"/>
              <w:bottom w:val="single" w:sz="4" w:space="0" w:color="auto"/>
              <w:right w:val="nil"/>
            </w:tcBorders>
            <w:hideMark/>
          </w:tcPr>
          <w:p w:rsidR="004B7435" w:rsidRDefault="004B7435" w:rsidP="00064BF8">
            <w:pPr>
              <w:spacing w:after="0"/>
              <w:jc w:val="center"/>
              <w:rPr>
                <w:rFonts w:eastAsia="Times New Roman" w:cs="Times New Roman"/>
                <w:b/>
                <w:bCs/>
                <w:i/>
                <w:iCs/>
                <w:color w:val="000000"/>
                <w:sz w:val="18"/>
                <w:szCs w:val="18"/>
              </w:rPr>
            </w:pPr>
            <w:r>
              <w:rPr>
                <w:rFonts w:eastAsia="Times New Roman" w:cs="Times New Roman"/>
                <w:b/>
                <w:bCs/>
                <w:i/>
                <w:iCs/>
                <w:color w:val="000000"/>
                <w:sz w:val="18"/>
                <w:szCs w:val="18"/>
              </w:rPr>
              <w:t>Прогноза 2022 г.</w:t>
            </w:r>
          </w:p>
        </w:tc>
      </w:tr>
      <w:tr w:rsidR="004B7435" w:rsidTr="00264ABB">
        <w:trPr>
          <w:trHeight w:val="511"/>
          <w:jc w:val="center"/>
        </w:trPr>
        <w:tc>
          <w:tcPr>
            <w:tcW w:w="3794" w:type="dxa"/>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1. Проверки по спазване на изискванията за пожарна безопасност</w:t>
            </w:r>
          </w:p>
        </w:tc>
        <w:tc>
          <w:tcPr>
            <w:tcW w:w="992" w:type="dxa"/>
            <w:tcBorders>
              <w:top w:val="single" w:sz="4" w:space="0" w:color="auto"/>
              <w:left w:val="nil"/>
              <w:bottom w:val="nil"/>
              <w:right w:val="nil"/>
            </w:tcBorders>
            <w:shd w:val="clear" w:color="auto" w:fill="F2F2F2" w:themeFill="background1" w:themeFillShade="F2"/>
            <w:hideMark/>
          </w:tcPr>
          <w:p w:rsidR="004B7435" w:rsidRDefault="004B7435" w:rsidP="00064BF8">
            <w:pPr>
              <w:widowControl w:val="0"/>
              <w:autoSpaceDE w:val="0"/>
              <w:autoSpaceDN w:val="0"/>
              <w:adjustRightInd w:val="0"/>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брой</w:t>
            </w:r>
          </w:p>
        </w:tc>
        <w:tc>
          <w:tcPr>
            <w:tcW w:w="1134" w:type="dxa"/>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120 000</w:t>
            </w:r>
          </w:p>
        </w:tc>
        <w:tc>
          <w:tcPr>
            <w:tcW w:w="922" w:type="dxa"/>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110 000</w:t>
            </w:r>
          </w:p>
        </w:tc>
        <w:tc>
          <w:tcPr>
            <w:tcW w:w="1062" w:type="dxa"/>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110 000</w:t>
            </w:r>
          </w:p>
        </w:tc>
        <w:tc>
          <w:tcPr>
            <w:tcW w:w="1062" w:type="dxa"/>
            <w:tcBorders>
              <w:top w:val="single" w:sz="4" w:space="0" w:color="auto"/>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110 000</w:t>
            </w:r>
          </w:p>
        </w:tc>
      </w:tr>
      <w:tr w:rsidR="004B7435" w:rsidTr="00264ABB">
        <w:trPr>
          <w:trHeight w:val="270"/>
          <w:jc w:val="center"/>
        </w:trPr>
        <w:tc>
          <w:tcPr>
            <w:tcW w:w="3794" w:type="dxa"/>
            <w:tcBorders>
              <w:top w:val="nil"/>
              <w:left w:val="nil"/>
              <w:bottom w:val="nil"/>
              <w:right w:val="nil"/>
            </w:tcBorders>
            <w:hideMark/>
          </w:tcPr>
          <w:p w:rsidR="004B7435" w:rsidRDefault="004B7435"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 xml:space="preserve">2. Предоставени административни услуги на гражданите в областта на пожарната безопасност </w:t>
            </w:r>
          </w:p>
        </w:tc>
        <w:tc>
          <w:tcPr>
            <w:tcW w:w="992" w:type="dxa"/>
            <w:tcBorders>
              <w:top w:val="nil"/>
              <w:left w:val="nil"/>
              <w:bottom w:val="nil"/>
              <w:right w:val="nil"/>
            </w:tcBorders>
            <w:shd w:val="clear" w:color="auto" w:fill="F2F2F2" w:themeFill="background1" w:themeFillShade="F2"/>
            <w:hideMark/>
          </w:tcPr>
          <w:p w:rsidR="004B7435" w:rsidRDefault="004B7435" w:rsidP="00064BF8">
            <w:pPr>
              <w:widowControl w:val="0"/>
              <w:autoSpaceDE w:val="0"/>
              <w:autoSpaceDN w:val="0"/>
              <w:adjustRightInd w:val="0"/>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брой</w:t>
            </w:r>
          </w:p>
        </w:tc>
        <w:tc>
          <w:tcPr>
            <w:tcW w:w="1134"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13 000</w:t>
            </w:r>
          </w:p>
        </w:tc>
        <w:tc>
          <w:tcPr>
            <w:tcW w:w="92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11 000</w:t>
            </w:r>
          </w:p>
        </w:tc>
        <w:tc>
          <w:tcPr>
            <w:tcW w:w="106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11 000</w:t>
            </w:r>
          </w:p>
        </w:tc>
        <w:tc>
          <w:tcPr>
            <w:tcW w:w="106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11 000</w:t>
            </w:r>
          </w:p>
        </w:tc>
      </w:tr>
      <w:tr w:rsidR="004B7435" w:rsidTr="00264ABB">
        <w:trPr>
          <w:trHeight w:val="270"/>
          <w:jc w:val="center"/>
        </w:trPr>
        <w:tc>
          <w:tcPr>
            <w:tcW w:w="3794" w:type="dxa"/>
            <w:tcBorders>
              <w:top w:val="nil"/>
              <w:left w:val="nil"/>
              <w:bottom w:val="nil"/>
              <w:right w:val="nil"/>
            </w:tcBorders>
            <w:hideMark/>
          </w:tcPr>
          <w:p w:rsidR="004B7435" w:rsidRDefault="004B7435"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 xml:space="preserve">3. Проведени мероприятия за повишаване културата на населението в областта на пожарната безопасност и защита на населението (ПБЗН) </w:t>
            </w:r>
          </w:p>
        </w:tc>
        <w:tc>
          <w:tcPr>
            <w:tcW w:w="992" w:type="dxa"/>
            <w:tcBorders>
              <w:top w:val="nil"/>
              <w:left w:val="nil"/>
              <w:bottom w:val="nil"/>
              <w:right w:val="nil"/>
            </w:tcBorders>
            <w:shd w:val="clear" w:color="auto" w:fill="F2F2F2" w:themeFill="background1" w:themeFillShade="F2"/>
            <w:hideMark/>
          </w:tcPr>
          <w:p w:rsidR="004B7435" w:rsidRDefault="004B7435" w:rsidP="00064BF8">
            <w:pPr>
              <w:widowControl w:val="0"/>
              <w:autoSpaceDE w:val="0"/>
              <w:autoSpaceDN w:val="0"/>
              <w:adjustRightInd w:val="0"/>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брой</w:t>
            </w:r>
          </w:p>
        </w:tc>
        <w:tc>
          <w:tcPr>
            <w:tcW w:w="1134"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7 400</w:t>
            </w:r>
          </w:p>
        </w:tc>
        <w:tc>
          <w:tcPr>
            <w:tcW w:w="92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7 400</w:t>
            </w:r>
          </w:p>
        </w:tc>
        <w:tc>
          <w:tcPr>
            <w:tcW w:w="106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7 400</w:t>
            </w:r>
          </w:p>
        </w:tc>
        <w:tc>
          <w:tcPr>
            <w:tcW w:w="106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7 400</w:t>
            </w:r>
          </w:p>
        </w:tc>
      </w:tr>
      <w:tr w:rsidR="004B7435" w:rsidTr="00264ABB">
        <w:trPr>
          <w:trHeight w:val="270"/>
          <w:jc w:val="center"/>
        </w:trPr>
        <w:tc>
          <w:tcPr>
            <w:tcW w:w="3794" w:type="dxa"/>
            <w:tcBorders>
              <w:top w:val="nil"/>
              <w:left w:val="nil"/>
              <w:bottom w:val="nil"/>
              <w:right w:val="nil"/>
            </w:tcBorders>
            <w:hideMark/>
          </w:tcPr>
          <w:p w:rsidR="004B7435" w:rsidRDefault="004B7435"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4. Извършени проверки на обекти съгласно Закона за защита при бедствия (чл. 35, ал. 1 и чл. 36, ал. 2)</w:t>
            </w:r>
          </w:p>
        </w:tc>
        <w:tc>
          <w:tcPr>
            <w:tcW w:w="992" w:type="dxa"/>
            <w:tcBorders>
              <w:top w:val="nil"/>
              <w:left w:val="nil"/>
              <w:bottom w:val="nil"/>
              <w:right w:val="nil"/>
            </w:tcBorders>
            <w:shd w:val="clear" w:color="auto" w:fill="F2F2F2" w:themeFill="background1" w:themeFillShade="F2"/>
            <w:hideMark/>
          </w:tcPr>
          <w:p w:rsidR="004B7435" w:rsidRDefault="004B7435" w:rsidP="00064BF8">
            <w:pPr>
              <w:widowControl w:val="0"/>
              <w:autoSpaceDE w:val="0"/>
              <w:autoSpaceDN w:val="0"/>
              <w:adjustRightInd w:val="0"/>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брой</w:t>
            </w:r>
          </w:p>
        </w:tc>
        <w:tc>
          <w:tcPr>
            <w:tcW w:w="1134"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2000</w:t>
            </w:r>
          </w:p>
        </w:tc>
        <w:tc>
          <w:tcPr>
            <w:tcW w:w="92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2 000</w:t>
            </w:r>
          </w:p>
        </w:tc>
        <w:tc>
          <w:tcPr>
            <w:tcW w:w="106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2000</w:t>
            </w:r>
          </w:p>
        </w:tc>
        <w:tc>
          <w:tcPr>
            <w:tcW w:w="1062" w:type="dxa"/>
            <w:tcBorders>
              <w:top w:val="nil"/>
              <w:left w:val="nil"/>
              <w:bottom w:val="nil"/>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2 000</w:t>
            </w:r>
          </w:p>
        </w:tc>
      </w:tr>
      <w:tr w:rsidR="004B7435" w:rsidTr="00264ABB">
        <w:trPr>
          <w:trHeight w:val="270"/>
          <w:jc w:val="center"/>
        </w:trPr>
        <w:tc>
          <w:tcPr>
            <w:tcW w:w="3794" w:type="dxa"/>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5. Повишаване на готовността на силите и средствата от териториалните звена на ГДПБЗН и основните съставни части на Единната спасителна система за реагиране при пожари, бедствия и извънредни ситуации чрез провеждане на пожаро-тактически учения от СДПБЗН и РДПБЗН с участието на сили и средства от създадените специализирани сектори оперативни дейности (СОД), СДВР, ОДМВР, Центровете за спешна медицинска помощ, БЧК и доброволни формирования.</w:t>
            </w:r>
          </w:p>
        </w:tc>
        <w:tc>
          <w:tcPr>
            <w:tcW w:w="992" w:type="dxa"/>
            <w:tcBorders>
              <w:top w:val="nil"/>
              <w:left w:val="nil"/>
              <w:bottom w:val="single" w:sz="4" w:space="0" w:color="auto"/>
              <w:right w:val="nil"/>
            </w:tcBorders>
            <w:shd w:val="clear" w:color="auto" w:fill="F2F2F2" w:themeFill="background1" w:themeFillShade="F2"/>
            <w:hideMark/>
          </w:tcPr>
          <w:p w:rsidR="004B7435" w:rsidRDefault="004B7435" w:rsidP="00064BF8">
            <w:pPr>
              <w:widowControl w:val="0"/>
              <w:autoSpaceDE w:val="0"/>
              <w:autoSpaceDN w:val="0"/>
              <w:adjustRightInd w:val="0"/>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брой</w:t>
            </w:r>
          </w:p>
        </w:tc>
        <w:tc>
          <w:tcPr>
            <w:tcW w:w="1134" w:type="dxa"/>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28</w:t>
            </w:r>
          </w:p>
        </w:tc>
        <w:tc>
          <w:tcPr>
            <w:tcW w:w="922" w:type="dxa"/>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30</w:t>
            </w:r>
          </w:p>
        </w:tc>
        <w:tc>
          <w:tcPr>
            <w:tcW w:w="1062" w:type="dxa"/>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33</w:t>
            </w:r>
          </w:p>
        </w:tc>
        <w:tc>
          <w:tcPr>
            <w:tcW w:w="1062" w:type="dxa"/>
            <w:tcBorders>
              <w:top w:val="nil"/>
              <w:left w:val="nil"/>
              <w:bottom w:val="single" w:sz="4" w:space="0" w:color="auto"/>
              <w:right w:val="nil"/>
            </w:tcBorders>
            <w:hideMark/>
          </w:tcPr>
          <w:p w:rsidR="004B7435" w:rsidRDefault="004B7435" w:rsidP="00064BF8">
            <w:pPr>
              <w:widowControl w:val="0"/>
              <w:autoSpaceDE w:val="0"/>
              <w:autoSpaceDN w:val="0"/>
              <w:adjustRightInd w:val="0"/>
              <w:spacing w:after="0" w:line="320" w:lineRule="exact"/>
              <w:ind w:right="-8"/>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35</w:t>
            </w:r>
          </w:p>
        </w:tc>
      </w:tr>
    </w:tbl>
    <w:p w:rsidR="00EB672D" w:rsidRPr="003B19D0" w:rsidRDefault="003B19D0" w:rsidP="00202515">
      <w:pPr>
        <w:spacing w:before="240"/>
        <w:rPr>
          <w:sz w:val="16"/>
          <w:szCs w:val="16"/>
        </w:rPr>
      </w:pPr>
      <w:r w:rsidRPr="003B19D0">
        <w:rPr>
          <w:b/>
          <w:sz w:val="16"/>
          <w:szCs w:val="16"/>
        </w:rPr>
        <w:t>Забележка:</w:t>
      </w:r>
      <w:r w:rsidRPr="003B19D0">
        <w:rPr>
          <w:sz w:val="16"/>
          <w:szCs w:val="16"/>
        </w:rPr>
        <w:t xml:space="preserve"> </w:t>
      </w:r>
      <w:r>
        <w:rPr>
          <w:sz w:val="16"/>
          <w:szCs w:val="16"/>
        </w:rPr>
        <w:t xml:space="preserve">ГДПБЗН </w:t>
      </w:r>
      <w:r w:rsidRPr="003B19D0">
        <w:rPr>
          <w:sz w:val="16"/>
          <w:szCs w:val="16"/>
        </w:rPr>
        <w:t>–</w:t>
      </w:r>
      <w:r>
        <w:rPr>
          <w:sz w:val="16"/>
          <w:szCs w:val="16"/>
        </w:rPr>
        <w:t xml:space="preserve"> </w:t>
      </w:r>
      <w:r w:rsidRPr="003B19D0">
        <w:rPr>
          <w:sz w:val="16"/>
          <w:szCs w:val="16"/>
        </w:rPr>
        <w:t>Главна дирекция „Пожарна безопасност и защита на населението</w:t>
      </w:r>
      <w:r>
        <w:rPr>
          <w:sz w:val="16"/>
          <w:szCs w:val="16"/>
        </w:rPr>
        <w:t>“; СДПБЗН</w:t>
      </w:r>
      <w:r w:rsidRPr="003B19D0">
        <w:rPr>
          <w:sz w:val="16"/>
          <w:szCs w:val="16"/>
        </w:rPr>
        <w:t xml:space="preserve"> – </w:t>
      </w:r>
      <w:r>
        <w:rPr>
          <w:sz w:val="16"/>
          <w:szCs w:val="16"/>
        </w:rPr>
        <w:t xml:space="preserve">Столична дирекция </w:t>
      </w:r>
      <w:r w:rsidRPr="003B19D0">
        <w:rPr>
          <w:sz w:val="16"/>
          <w:szCs w:val="16"/>
        </w:rPr>
        <w:t>„Пожарна безопасност и защита на населението“</w:t>
      </w:r>
      <w:r>
        <w:rPr>
          <w:sz w:val="16"/>
          <w:szCs w:val="16"/>
        </w:rPr>
        <w:t>;</w:t>
      </w:r>
      <w:r w:rsidR="00F6006D">
        <w:rPr>
          <w:sz w:val="16"/>
          <w:szCs w:val="16"/>
        </w:rPr>
        <w:t xml:space="preserve"> </w:t>
      </w:r>
      <w:r>
        <w:rPr>
          <w:sz w:val="16"/>
          <w:szCs w:val="16"/>
        </w:rPr>
        <w:t xml:space="preserve">РДПБЗН </w:t>
      </w:r>
      <w:r w:rsidRPr="003B19D0">
        <w:rPr>
          <w:sz w:val="16"/>
          <w:szCs w:val="16"/>
        </w:rPr>
        <w:t>–</w:t>
      </w:r>
      <w:r>
        <w:rPr>
          <w:sz w:val="16"/>
          <w:szCs w:val="16"/>
        </w:rPr>
        <w:t xml:space="preserve"> </w:t>
      </w:r>
      <w:r w:rsidR="00F6006D">
        <w:rPr>
          <w:sz w:val="16"/>
          <w:szCs w:val="16"/>
        </w:rPr>
        <w:t>Регионална дирекция „</w:t>
      </w:r>
      <w:r w:rsidR="00F6006D" w:rsidRPr="00F6006D">
        <w:rPr>
          <w:sz w:val="16"/>
          <w:szCs w:val="16"/>
        </w:rPr>
        <w:t>Пожарна безо</w:t>
      </w:r>
      <w:r w:rsidR="00F6006D">
        <w:rPr>
          <w:sz w:val="16"/>
          <w:szCs w:val="16"/>
        </w:rPr>
        <w:t>пасност и защита на населението“</w:t>
      </w:r>
      <w:r>
        <w:rPr>
          <w:sz w:val="16"/>
          <w:szCs w:val="16"/>
        </w:rPr>
        <w:t xml:space="preserve">; </w:t>
      </w:r>
      <w:r w:rsidRPr="003B19D0">
        <w:rPr>
          <w:sz w:val="16"/>
          <w:szCs w:val="16"/>
        </w:rPr>
        <w:t>СДВР –</w:t>
      </w:r>
      <w:r>
        <w:rPr>
          <w:sz w:val="16"/>
          <w:szCs w:val="16"/>
        </w:rPr>
        <w:t xml:space="preserve"> </w:t>
      </w:r>
      <w:r w:rsidRPr="003B19D0">
        <w:rPr>
          <w:sz w:val="16"/>
          <w:szCs w:val="16"/>
        </w:rPr>
        <w:t>Столична дирекция на вътрешните работи; ОДМВР – Областни дирекции на МВР</w:t>
      </w:r>
      <w:r>
        <w:rPr>
          <w:sz w:val="16"/>
          <w:szCs w:val="16"/>
        </w:rPr>
        <w:t>.</w:t>
      </w:r>
    </w:p>
    <w:p w:rsidR="00482775" w:rsidRPr="00CF4178" w:rsidRDefault="00482775" w:rsidP="00482775">
      <w:pPr>
        <w:widowControl w:val="0"/>
        <w:spacing w:after="120"/>
        <w:rPr>
          <w:rFonts w:eastAsia="Times New Roman" w:cs="Times New Roman"/>
          <w:szCs w:val="24"/>
        </w:rPr>
      </w:pPr>
      <w:r w:rsidRPr="00CF4178">
        <w:rPr>
          <w:rFonts w:eastAsia="Times New Roman" w:cs="Times New Roman"/>
          <w:szCs w:val="24"/>
        </w:rPr>
        <w:t xml:space="preserve">В проектобюджета за 2020 г. за </w:t>
      </w:r>
      <w:r w:rsidRPr="00CF4178">
        <w:rPr>
          <w:rFonts w:eastAsia="Times New Roman" w:cs="Times New Roman"/>
          <w:b/>
          <w:i/>
          <w:szCs w:val="24"/>
        </w:rPr>
        <w:t>делегираните от държавата дейности в областта на сигурността и защитата на населението при извънредни ситуации за общините</w:t>
      </w:r>
      <w:r w:rsidRPr="00CF4178">
        <w:rPr>
          <w:rFonts w:eastAsia="Times New Roman" w:cs="Times New Roman"/>
          <w:szCs w:val="24"/>
        </w:rPr>
        <w:t xml:space="preserve"> са предвидени средства за текущи разходи в размер </w:t>
      </w:r>
      <w:r w:rsidRPr="00264ABB">
        <w:rPr>
          <w:rFonts w:eastAsia="Times New Roman" w:cs="Times New Roman"/>
          <w:szCs w:val="24"/>
        </w:rPr>
        <w:t xml:space="preserve">на 49,7 млн. лв. или със 7,1 млн. лв. повече спрямо ЗДБРБ за 2019 г. Стандартите за финансиране на денонощните </w:t>
      </w:r>
      <w:r w:rsidRPr="00CF4178">
        <w:rPr>
          <w:rFonts w:eastAsia="Times New Roman" w:cs="Times New Roman"/>
          <w:szCs w:val="24"/>
        </w:rPr>
        <w:t>оперативни дежурни, на изпълнителите по поддръжка и по охрана на пунктовете за управление и на секретарите на местните комисии за борба с трафик на хора са увеличени с 10%, а стандартът за финансиране на местните комисии за борба срещу противообществените прояви на малолетните и пълнолетните е увеличен с 6,1%.</w:t>
      </w:r>
    </w:p>
    <w:p w:rsidR="00482775" w:rsidRPr="00CF4178" w:rsidRDefault="00482775" w:rsidP="00482775">
      <w:pPr>
        <w:widowControl w:val="0"/>
        <w:spacing w:after="120"/>
        <w:rPr>
          <w:rFonts w:eastAsia="Times New Roman" w:cs="Times New Roman"/>
          <w:szCs w:val="24"/>
        </w:rPr>
      </w:pPr>
      <w:r w:rsidRPr="00CF4178">
        <w:rPr>
          <w:rFonts w:eastAsia="Times New Roman" w:cs="Times New Roman"/>
          <w:szCs w:val="24"/>
        </w:rPr>
        <w:t xml:space="preserve">През 2020 г. се въвеждат стандарти за финансиране издръжката на районните полицейски инспектори и детските педагогически стаи, за което са осигурени 4.1 млн. лв. Средствата за финансиране на доброволните формирования са предвидени на база вписаните в Регистъра на доброволните формирования за защита при бедствия към МВР (ГДПБЗН) доброволци към 31.08.2019 г., които са увеличени с 58 броя спрямо предходната година. Стандартът за финансиране на доброволните формирования за възнаграждения и съответните осигурителни вноски от работодател за участия в обучения и в </w:t>
      </w:r>
      <w:r w:rsidR="00E0379B">
        <w:rPr>
          <w:rFonts w:eastAsia="Times New Roman" w:cs="Times New Roman"/>
          <w:szCs w:val="24"/>
        </w:rPr>
        <w:t>спасителни мероприятия е увеличен</w:t>
      </w:r>
      <w:r w:rsidRPr="00CF4178">
        <w:rPr>
          <w:rFonts w:eastAsia="Times New Roman" w:cs="Times New Roman"/>
          <w:szCs w:val="24"/>
        </w:rPr>
        <w:t xml:space="preserve"> с 10%, а останалите стандарти - за застраховка срещу злополука и за екипировка запазват нивото си от 2019 г. </w:t>
      </w:r>
    </w:p>
    <w:p w:rsidR="00482775" w:rsidRPr="00CF4178" w:rsidRDefault="00482775" w:rsidP="00482775">
      <w:pPr>
        <w:widowControl w:val="0"/>
        <w:spacing w:after="120"/>
        <w:rPr>
          <w:rFonts w:eastAsia="Times New Roman" w:cs="Times New Roman"/>
          <w:szCs w:val="24"/>
        </w:rPr>
      </w:pPr>
      <w:r w:rsidRPr="00CF4178">
        <w:rPr>
          <w:rFonts w:eastAsia="Times New Roman" w:cs="Times New Roman"/>
          <w:szCs w:val="24"/>
        </w:rPr>
        <w:t xml:space="preserve">В прогнозата за 2021 г. за текущи разходи за делегираните от държавата дейности в областта на сигурността и защитата на населението при извънредни ситуации за общините са предвидени средства в общ размер </w:t>
      </w:r>
      <w:r w:rsidRPr="00264ABB">
        <w:rPr>
          <w:rFonts w:eastAsia="Times New Roman" w:cs="Times New Roman"/>
          <w:szCs w:val="24"/>
        </w:rPr>
        <w:t xml:space="preserve">на 51,5 млн. лв., </w:t>
      </w:r>
      <w:r w:rsidRPr="00CF4178">
        <w:rPr>
          <w:rFonts w:eastAsia="Times New Roman" w:cs="Times New Roman"/>
          <w:szCs w:val="24"/>
        </w:rPr>
        <w:t xml:space="preserve">като е планирано увеличение </w:t>
      </w:r>
      <w:r w:rsidRPr="00264ABB">
        <w:rPr>
          <w:rFonts w:eastAsia="Times New Roman" w:cs="Times New Roman"/>
          <w:szCs w:val="24"/>
        </w:rPr>
        <w:t xml:space="preserve">с 1,8 млн. лв. </w:t>
      </w:r>
      <w:r w:rsidRPr="00CF4178">
        <w:rPr>
          <w:rFonts w:eastAsia="Times New Roman" w:cs="Times New Roman"/>
          <w:szCs w:val="24"/>
        </w:rPr>
        <w:t>спрямо проектобюджета за 2020 г. Предвижда се запазване на размера на средствата за 2022 г. на нивото от 2021 г.</w:t>
      </w:r>
    </w:p>
    <w:p w:rsidR="00803352" w:rsidRDefault="00803352" w:rsidP="00803352">
      <w:pPr>
        <w:spacing w:before="120" w:after="0"/>
        <w:rPr>
          <w:highlight w:val="yellow"/>
        </w:rPr>
      </w:pPr>
    </w:p>
    <w:p w:rsidR="00E7639F" w:rsidRPr="008A422F" w:rsidRDefault="00DD3970" w:rsidP="00E7639F">
      <w:pPr>
        <w:pStyle w:val="Heading4"/>
        <w:rPr>
          <w:rFonts w:eastAsia="Times New Roman"/>
        </w:rPr>
      </w:pPr>
      <w:r>
        <w:rPr>
          <w:rFonts w:eastAsia="Times New Roman"/>
        </w:rPr>
        <w:t>П</w:t>
      </w:r>
      <w:r w:rsidR="00E7639F" w:rsidRPr="008A422F">
        <w:rPr>
          <w:rFonts w:eastAsia="Times New Roman"/>
        </w:rPr>
        <w:t xml:space="preserve">олитика </w:t>
      </w:r>
      <w:r>
        <w:rPr>
          <w:rFonts w:eastAsia="Times New Roman"/>
        </w:rPr>
        <w:t>в областта на у</w:t>
      </w:r>
      <w:r w:rsidR="00E7639F" w:rsidRPr="008A422F">
        <w:rPr>
          <w:rFonts w:eastAsia="Times New Roman"/>
        </w:rPr>
        <w:t xml:space="preserve">правление и развитие на МВР </w:t>
      </w:r>
    </w:p>
    <w:p w:rsidR="00A13599" w:rsidRDefault="00A13599" w:rsidP="00275B35">
      <w:pPr>
        <w:spacing w:before="120" w:after="0"/>
        <w:rPr>
          <w:rFonts w:eastAsia="Batang"/>
        </w:rPr>
      </w:pPr>
    </w:p>
    <w:p w:rsidR="00A13599" w:rsidRDefault="00A13599" w:rsidP="00A13599">
      <w:pPr>
        <w:rPr>
          <w:rFonts w:eastAsia="Batang"/>
        </w:rPr>
      </w:pPr>
      <w:r>
        <w:rPr>
          <w:rFonts w:eastAsia="Batang"/>
        </w:rPr>
        <w:t>Тази област на политика е насочена към: повишаване на институционалния капацитет чрез гъвкаво управление на ресурсите; обучение и квалификация и подобряване координацията между структурите; развитие на информационно-аналитичната, експертната, научната и административната дейност и дейността по здравеопазване.</w:t>
      </w:r>
      <w:r>
        <w:rPr>
          <w:rFonts w:eastAsia="Batang"/>
          <w:lang w:val="ru-RU"/>
        </w:rPr>
        <w:t xml:space="preserve"> </w:t>
      </w:r>
      <w:r>
        <w:rPr>
          <w:rFonts w:eastAsia="Batang"/>
        </w:rPr>
        <w:t>Дейностите по тази политика се изпълняват от  дирекция „Човешки ресурси“, дирекция „Комуникационни и информационни системи“, НС 112, Академия на МВР, Медицински институт-МВР.</w:t>
      </w:r>
    </w:p>
    <w:p w:rsidR="00B54FAB" w:rsidRDefault="00E7639F" w:rsidP="00B54FAB">
      <w:pPr>
        <w:widowControl w:val="0"/>
        <w:autoSpaceDE w:val="0"/>
        <w:autoSpaceDN w:val="0"/>
        <w:adjustRightInd w:val="0"/>
        <w:spacing w:after="120"/>
        <w:ind w:right="-8"/>
        <w:jc w:val="left"/>
        <w:rPr>
          <w:rFonts w:eastAsia="Times New Roman" w:cs="Times New Roman"/>
          <w:b/>
          <w:bCs/>
          <w:sz w:val="20"/>
          <w:szCs w:val="20"/>
        </w:rPr>
      </w:pPr>
      <w:r w:rsidRPr="002C0F8C">
        <w:rPr>
          <w:rFonts w:eastAsia="Times New Roman" w:cs="Times New Roman"/>
          <w:b/>
          <w:bCs/>
          <w:sz w:val="20"/>
          <w:szCs w:val="20"/>
        </w:rPr>
        <w:t>КЛЮЧОВИ ИНДИКАТОРИ ЗА ИЗПЪЛНЕНИЕ И ЦЕЛЕВИ СТОЙНОСТИ</w:t>
      </w:r>
    </w:p>
    <w:tbl>
      <w:tblPr>
        <w:tblStyle w:val="TableGrid2"/>
        <w:tblW w:w="8950"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19"/>
        <w:gridCol w:w="1003"/>
        <w:gridCol w:w="1092"/>
        <w:gridCol w:w="1134"/>
        <w:gridCol w:w="1134"/>
        <w:gridCol w:w="1168"/>
      </w:tblGrid>
      <w:tr w:rsidR="00A13599" w:rsidTr="00264ABB">
        <w:trPr>
          <w:trHeight w:val="64"/>
          <w:tblHeader/>
          <w:jc w:val="center"/>
        </w:trPr>
        <w:tc>
          <w:tcPr>
            <w:tcW w:w="3418" w:type="dxa"/>
            <w:tcBorders>
              <w:top w:val="single" w:sz="4" w:space="0" w:color="auto"/>
              <w:left w:val="nil"/>
              <w:bottom w:val="nil"/>
              <w:right w:val="nil"/>
            </w:tcBorders>
            <w:vAlign w:val="center"/>
            <w:hideMark/>
          </w:tcPr>
          <w:p w:rsidR="00A13599" w:rsidRDefault="00A13599" w:rsidP="00064BF8">
            <w:pPr>
              <w:spacing w:after="0"/>
              <w:jc w:val="center"/>
              <w:rPr>
                <w:rFonts w:asciiTheme="majorHAnsi" w:eastAsia="Times New Roman" w:hAnsiTheme="majorHAnsi" w:cstheme="majorHAnsi"/>
                <w:b/>
                <w:bCs/>
                <w:i/>
                <w:iCs/>
                <w:color w:val="000000"/>
                <w:sz w:val="18"/>
                <w:szCs w:val="18"/>
              </w:rPr>
            </w:pPr>
            <w:r>
              <w:rPr>
                <w:rFonts w:asciiTheme="majorHAnsi" w:eastAsia="Times New Roman" w:hAnsiTheme="majorHAnsi" w:cstheme="majorHAnsi"/>
                <w:b/>
                <w:bCs/>
                <w:i/>
                <w:iCs/>
                <w:color w:val="000000"/>
                <w:sz w:val="18"/>
                <w:szCs w:val="18"/>
              </w:rPr>
              <w:t>Политика в областта на управлението и развитието на МВР</w:t>
            </w:r>
          </w:p>
        </w:tc>
        <w:tc>
          <w:tcPr>
            <w:tcW w:w="1003" w:type="dxa"/>
            <w:vMerge w:val="restart"/>
            <w:tcBorders>
              <w:top w:val="single" w:sz="4" w:space="0" w:color="auto"/>
              <w:left w:val="nil"/>
              <w:bottom w:val="single" w:sz="4" w:space="0" w:color="auto"/>
              <w:right w:val="nil"/>
            </w:tcBorders>
            <w:shd w:val="clear" w:color="auto" w:fill="F2F2F2" w:themeFill="background1" w:themeFillShade="F2"/>
            <w:vAlign w:val="center"/>
          </w:tcPr>
          <w:p w:rsidR="00A13599" w:rsidRDefault="00A13599" w:rsidP="00064BF8">
            <w:pPr>
              <w:spacing w:after="0"/>
              <w:jc w:val="center"/>
              <w:rPr>
                <w:rFonts w:asciiTheme="majorHAnsi" w:eastAsia="Times New Roman" w:hAnsiTheme="majorHAnsi" w:cstheme="majorHAnsi"/>
                <w:b/>
                <w:bCs/>
                <w:i/>
                <w:iCs/>
                <w:color w:val="000000"/>
                <w:sz w:val="18"/>
                <w:szCs w:val="18"/>
              </w:rPr>
            </w:pPr>
          </w:p>
          <w:p w:rsidR="00A13599" w:rsidRPr="005238B9" w:rsidRDefault="00A13599" w:rsidP="00064BF8">
            <w:pPr>
              <w:spacing w:after="0"/>
              <w:jc w:val="center"/>
              <w:rPr>
                <w:rFonts w:asciiTheme="majorHAnsi" w:eastAsia="Times New Roman" w:hAnsiTheme="majorHAnsi" w:cstheme="majorHAnsi"/>
                <w:b/>
                <w:bCs/>
                <w:iCs/>
                <w:color w:val="000000"/>
                <w:sz w:val="18"/>
                <w:szCs w:val="18"/>
              </w:rPr>
            </w:pPr>
            <w:r w:rsidRPr="005238B9">
              <w:rPr>
                <w:rFonts w:asciiTheme="majorHAnsi" w:eastAsia="Times New Roman" w:hAnsiTheme="majorHAnsi" w:cstheme="majorHAnsi"/>
                <w:b/>
                <w:bCs/>
                <w:iCs/>
                <w:color w:val="000000"/>
                <w:sz w:val="18"/>
                <w:szCs w:val="18"/>
              </w:rPr>
              <w:t>Мерна единица</w:t>
            </w:r>
          </w:p>
        </w:tc>
        <w:tc>
          <w:tcPr>
            <w:tcW w:w="4528" w:type="dxa"/>
            <w:gridSpan w:val="4"/>
            <w:tcBorders>
              <w:top w:val="single" w:sz="4" w:space="0" w:color="auto"/>
              <w:left w:val="nil"/>
              <w:bottom w:val="single" w:sz="4" w:space="0" w:color="auto"/>
              <w:right w:val="nil"/>
            </w:tcBorders>
            <w:vAlign w:val="center"/>
            <w:hideMark/>
          </w:tcPr>
          <w:p w:rsidR="00A13599" w:rsidRPr="00F837DF" w:rsidRDefault="00A13599" w:rsidP="00064BF8">
            <w:pPr>
              <w:spacing w:after="0"/>
              <w:jc w:val="center"/>
              <w:rPr>
                <w:rFonts w:asciiTheme="majorHAnsi" w:eastAsia="Times New Roman" w:hAnsiTheme="majorHAnsi" w:cstheme="majorHAnsi"/>
                <w:b/>
                <w:bCs/>
                <w:iCs/>
                <w:color w:val="000000"/>
                <w:sz w:val="18"/>
                <w:szCs w:val="18"/>
              </w:rPr>
            </w:pPr>
            <w:r w:rsidRPr="00F837DF">
              <w:rPr>
                <w:rFonts w:asciiTheme="majorHAnsi" w:eastAsia="Times New Roman" w:hAnsiTheme="majorHAnsi" w:cstheme="majorHAnsi"/>
                <w:b/>
                <w:bCs/>
                <w:iCs/>
                <w:color w:val="000000"/>
                <w:sz w:val="18"/>
                <w:szCs w:val="18"/>
              </w:rPr>
              <w:t>Целева стойност</w:t>
            </w:r>
          </w:p>
        </w:tc>
      </w:tr>
      <w:tr w:rsidR="00A13599" w:rsidTr="00264ABB">
        <w:trPr>
          <w:trHeight w:val="450"/>
          <w:tblHeader/>
          <w:jc w:val="center"/>
        </w:trPr>
        <w:tc>
          <w:tcPr>
            <w:tcW w:w="3418" w:type="dxa"/>
            <w:tcBorders>
              <w:top w:val="nil"/>
              <w:left w:val="nil"/>
              <w:bottom w:val="single" w:sz="4" w:space="0" w:color="auto"/>
              <w:right w:val="nil"/>
            </w:tcBorders>
            <w:vAlign w:val="center"/>
            <w:hideMark/>
          </w:tcPr>
          <w:p w:rsidR="00A13599" w:rsidRDefault="00A13599" w:rsidP="00064BF8">
            <w:pPr>
              <w:spacing w:after="0"/>
              <w:jc w:val="center"/>
              <w:rPr>
                <w:rFonts w:asciiTheme="majorHAnsi" w:eastAsia="Times New Roman" w:hAnsiTheme="majorHAnsi" w:cstheme="majorHAnsi"/>
                <w:b/>
                <w:bCs/>
                <w:iCs/>
                <w:color w:val="000000"/>
                <w:sz w:val="18"/>
                <w:szCs w:val="18"/>
              </w:rPr>
            </w:pPr>
            <w:r>
              <w:rPr>
                <w:rFonts w:asciiTheme="majorHAnsi" w:eastAsia="Times New Roman" w:hAnsiTheme="majorHAnsi" w:cstheme="majorHAnsi"/>
                <w:b/>
                <w:bCs/>
                <w:iCs/>
                <w:color w:val="000000"/>
                <w:sz w:val="18"/>
                <w:szCs w:val="18"/>
              </w:rPr>
              <w:t>Наименование на индикатора</w:t>
            </w:r>
          </w:p>
        </w:tc>
        <w:tc>
          <w:tcPr>
            <w:tcW w:w="1003" w:type="dxa"/>
            <w:vMerge/>
            <w:tcBorders>
              <w:top w:val="single" w:sz="4" w:space="0" w:color="auto"/>
              <w:left w:val="nil"/>
              <w:bottom w:val="single" w:sz="4" w:space="0" w:color="auto"/>
              <w:right w:val="nil"/>
            </w:tcBorders>
            <w:shd w:val="clear" w:color="auto" w:fill="F2F2F2" w:themeFill="background1" w:themeFillShade="F2"/>
            <w:vAlign w:val="center"/>
            <w:hideMark/>
          </w:tcPr>
          <w:p w:rsidR="00A13599" w:rsidRDefault="00A13599" w:rsidP="00064BF8">
            <w:pPr>
              <w:spacing w:after="0"/>
              <w:rPr>
                <w:rFonts w:asciiTheme="majorHAnsi" w:eastAsia="Times New Roman" w:hAnsiTheme="majorHAnsi" w:cstheme="majorHAnsi"/>
                <w:b/>
                <w:bCs/>
                <w:i/>
                <w:iCs/>
                <w:color w:val="000000"/>
                <w:sz w:val="18"/>
                <w:szCs w:val="18"/>
              </w:rPr>
            </w:pPr>
          </w:p>
        </w:tc>
        <w:tc>
          <w:tcPr>
            <w:tcW w:w="1092" w:type="dxa"/>
            <w:tcBorders>
              <w:top w:val="single" w:sz="4" w:space="0" w:color="auto"/>
              <w:left w:val="nil"/>
              <w:bottom w:val="single" w:sz="4" w:space="0" w:color="auto"/>
              <w:right w:val="nil"/>
            </w:tcBorders>
            <w:vAlign w:val="center"/>
            <w:hideMark/>
          </w:tcPr>
          <w:p w:rsidR="00A13599" w:rsidRDefault="00A13599" w:rsidP="00064BF8">
            <w:pPr>
              <w:spacing w:after="0"/>
              <w:jc w:val="center"/>
              <w:rPr>
                <w:rFonts w:asciiTheme="majorHAnsi" w:eastAsia="Times New Roman" w:hAnsiTheme="majorHAnsi" w:cstheme="majorHAnsi"/>
                <w:b/>
                <w:bCs/>
                <w:i/>
                <w:iCs/>
                <w:color w:val="000000"/>
                <w:sz w:val="18"/>
                <w:szCs w:val="18"/>
              </w:rPr>
            </w:pPr>
            <w:r>
              <w:rPr>
                <w:rFonts w:asciiTheme="majorHAnsi" w:eastAsia="Times New Roman" w:hAnsiTheme="majorHAnsi" w:cstheme="majorHAnsi"/>
                <w:b/>
                <w:bCs/>
                <w:i/>
                <w:iCs/>
                <w:color w:val="000000"/>
                <w:sz w:val="18"/>
                <w:szCs w:val="18"/>
              </w:rPr>
              <w:t>Програма 2019 г.</w:t>
            </w:r>
          </w:p>
        </w:tc>
        <w:tc>
          <w:tcPr>
            <w:tcW w:w="1134" w:type="dxa"/>
            <w:tcBorders>
              <w:top w:val="single" w:sz="4" w:space="0" w:color="auto"/>
              <w:left w:val="nil"/>
              <w:bottom w:val="single" w:sz="4" w:space="0" w:color="auto"/>
              <w:right w:val="nil"/>
            </w:tcBorders>
            <w:vAlign w:val="center"/>
            <w:hideMark/>
          </w:tcPr>
          <w:p w:rsidR="00A13599" w:rsidRDefault="00A13599" w:rsidP="00064BF8">
            <w:pPr>
              <w:spacing w:after="0"/>
              <w:ind w:hanging="43"/>
              <w:jc w:val="center"/>
              <w:rPr>
                <w:rFonts w:asciiTheme="majorHAnsi" w:eastAsia="Times New Roman" w:hAnsiTheme="majorHAnsi" w:cstheme="majorHAnsi"/>
                <w:b/>
                <w:bCs/>
                <w:i/>
                <w:iCs/>
                <w:color w:val="000000"/>
                <w:sz w:val="18"/>
                <w:szCs w:val="18"/>
              </w:rPr>
            </w:pPr>
            <w:r>
              <w:rPr>
                <w:rFonts w:asciiTheme="majorHAnsi" w:eastAsia="Times New Roman" w:hAnsiTheme="majorHAnsi" w:cstheme="majorHAnsi"/>
                <w:b/>
                <w:bCs/>
                <w:i/>
                <w:iCs/>
                <w:color w:val="000000"/>
                <w:sz w:val="18"/>
                <w:szCs w:val="18"/>
              </w:rPr>
              <w:t>Проект 2020 г.</w:t>
            </w:r>
          </w:p>
        </w:tc>
        <w:tc>
          <w:tcPr>
            <w:tcW w:w="1134" w:type="dxa"/>
            <w:tcBorders>
              <w:top w:val="single" w:sz="4" w:space="0" w:color="auto"/>
              <w:left w:val="nil"/>
              <w:bottom w:val="single" w:sz="4" w:space="0" w:color="auto"/>
              <w:right w:val="nil"/>
            </w:tcBorders>
            <w:vAlign w:val="center"/>
            <w:hideMark/>
          </w:tcPr>
          <w:p w:rsidR="00A13599" w:rsidRDefault="00A13599" w:rsidP="00064BF8">
            <w:pPr>
              <w:spacing w:after="0"/>
              <w:jc w:val="center"/>
              <w:rPr>
                <w:rFonts w:asciiTheme="majorHAnsi" w:eastAsia="Times New Roman" w:hAnsiTheme="majorHAnsi" w:cstheme="majorHAnsi"/>
                <w:b/>
                <w:bCs/>
                <w:i/>
                <w:iCs/>
                <w:color w:val="000000"/>
                <w:sz w:val="18"/>
                <w:szCs w:val="18"/>
              </w:rPr>
            </w:pPr>
            <w:r>
              <w:rPr>
                <w:rFonts w:asciiTheme="majorHAnsi" w:eastAsia="Times New Roman" w:hAnsiTheme="majorHAnsi" w:cstheme="majorHAnsi"/>
                <w:b/>
                <w:bCs/>
                <w:i/>
                <w:iCs/>
                <w:color w:val="000000"/>
                <w:sz w:val="18"/>
                <w:szCs w:val="18"/>
              </w:rPr>
              <w:t>Прогноза 2021 г.</w:t>
            </w:r>
          </w:p>
        </w:tc>
        <w:tc>
          <w:tcPr>
            <w:tcW w:w="1168" w:type="dxa"/>
            <w:tcBorders>
              <w:top w:val="single" w:sz="4" w:space="0" w:color="auto"/>
              <w:left w:val="nil"/>
              <w:bottom w:val="single" w:sz="4" w:space="0" w:color="auto"/>
              <w:right w:val="nil"/>
            </w:tcBorders>
            <w:vAlign w:val="center"/>
            <w:hideMark/>
          </w:tcPr>
          <w:p w:rsidR="00A13599" w:rsidRDefault="00A13599" w:rsidP="00064BF8">
            <w:pPr>
              <w:spacing w:after="0"/>
              <w:jc w:val="center"/>
              <w:rPr>
                <w:rFonts w:asciiTheme="majorHAnsi" w:eastAsia="Times New Roman" w:hAnsiTheme="majorHAnsi" w:cstheme="majorHAnsi"/>
                <w:b/>
                <w:bCs/>
                <w:i/>
                <w:iCs/>
                <w:color w:val="000000"/>
                <w:sz w:val="18"/>
                <w:szCs w:val="18"/>
              </w:rPr>
            </w:pPr>
            <w:r>
              <w:rPr>
                <w:rFonts w:asciiTheme="majorHAnsi" w:eastAsia="Times New Roman" w:hAnsiTheme="majorHAnsi" w:cstheme="majorHAnsi"/>
                <w:b/>
                <w:bCs/>
                <w:i/>
                <w:iCs/>
                <w:color w:val="000000"/>
                <w:sz w:val="18"/>
                <w:szCs w:val="18"/>
              </w:rPr>
              <w:t>Прогноза 2022 г.</w:t>
            </w:r>
          </w:p>
        </w:tc>
      </w:tr>
      <w:tr w:rsidR="00A13599" w:rsidTr="00264ABB">
        <w:trPr>
          <w:trHeight w:val="283"/>
          <w:jc w:val="center"/>
        </w:trPr>
        <w:tc>
          <w:tcPr>
            <w:tcW w:w="3418" w:type="dxa"/>
            <w:tcBorders>
              <w:top w:val="single" w:sz="4" w:space="0" w:color="auto"/>
              <w:left w:val="nil"/>
              <w:bottom w:val="nil"/>
              <w:right w:val="nil"/>
            </w:tcBorders>
            <w:hideMark/>
          </w:tcPr>
          <w:p w:rsidR="00A13599" w:rsidRDefault="00A13599" w:rsidP="00064BF8">
            <w:pPr>
              <w:widowControl w:val="0"/>
              <w:tabs>
                <w:tab w:val="left" w:pos="258"/>
              </w:tabs>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1. Поддръжка и оптимизация на комуникационните системи на МВР.</w:t>
            </w:r>
          </w:p>
        </w:tc>
        <w:tc>
          <w:tcPr>
            <w:tcW w:w="1003" w:type="dxa"/>
            <w:tcBorders>
              <w:top w:val="single" w:sz="4" w:space="0" w:color="auto"/>
              <w:left w:val="nil"/>
              <w:bottom w:val="nil"/>
              <w:right w:val="nil"/>
            </w:tcBorders>
            <w:shd w:val="clear" w:color="auto" w:fill="F2F2F2" w:themeFill="background1" w:themeFillShade="F2"/>
            <w:hideMark/>
          </w:tcPr>
          <w:p w:rsidR="00A13599" w:rsidRDefault="00A13599" w:rsidP="00064BF8">
            <w:pPr>
              <w:widowControl w:val="0"/>
              <w:autoSpaceDE w:val="0"/>
              <w:autoSpaceDN w:val="0"/>
              <w:adjustRightInd w:val="0"/>
              <w:spacing w:after="0"/>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брой</w:t>
            </w:r>
          </w:p>
        </w:tc>
        <w:tc>
          <w:tcPr>
            <w:tcW w:w="1092" w:type="dxa"/>
            <w:tcBorders>
              <w:top w:val="single" w:sz="4" w:space="0" w:color="auto"/>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w:t>
            </w:r>
          </w:p>
        </w:tc>
        <w:tc>
          <w:tcPr>
            <w:tcW w:w="1134" w:type="dxa"/>
            <w:tcBorders>
              <w:top w:val="single" w:sz="4" w:space="0" w:color="auto"/>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w:t>
            </w:r>
          </w:p>
        </w:tc>
        <w:tc>
          <w:tcPr>
            <w:tcW w:w="1134" w:type="dxa"/>
            <w:tcBorders>
              <w:top w:val="single" w:sz="4" w:space="0" w:color="auto"/>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w:t>
            </w:r>
          </w:p>
        </w:tc>
        <w:tc>
          <w:tcPr>
            <w:tcW w:w="1168" w:type="dxa"/>
            <w:tcBorders>
              <w:top w:val="single" w:sz="4" w:space="0" w:color="auto"/>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w:t>
            </w:r>
          </w:p>
        </w:tc>
      </w:tr>
      <w:tr w:rsidR="00A13599" w:rsidTr="00264ABB">
        <w:trPr>
          <w:trHeight w:val="131"/>
          <w:jc w:val="center"/>
        </w:trPr>
        <w:tc>
          <w:tcPr>
            <w:tcW w:w="3418" w:type="dxa"/>
            <w:tcBorders>
              <w:top w:val="nil"/>
              <w:left w:val="nil"/>
              <w:bottom w:val="nil"/>
              <w:right w:val="nil"/>
            </w:tcBorders>
            <w:hideMark/>
          </w:tcPr>
          <w:p w:rsidR="00A13599" w:rsidRDefault="00A13599" w:rsidP="00064BF8">
            <w:pPr>
              <w:widowControl w:val="0"/>
              <w:tabs>
                <w:tab w:val="left" w:pos="258"/>
              </w:tabs>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2. Поддръжка и оптимизация на информационните системи на МВР.</w:t>
            </w:r>
          </w:p>
        </w:tc>
        <w:tc>
          <w:tcPr>
            <w:tcW w:w="1003" w:type="dxa"/>
            <w:tcBorders>
              <w:top w:val="nil"/>
              <w:left w:val="nil"/>
              <w:bottom w:val="nil"/>
              <w:right w:val="nil"/>
            </w:tcBorders>
            <w:shd w:val="clear" w:color="auto" w:fill="F2F2F2" w:themeFill="background1" w:themeFillShade="F2"/>
            <w:hideMark/>
          </w:tcPr>
          <w:p w:rsidR="00A13599" w:rsidRDefault="00A13599" w:rsidP="00064BF8">
            <w:pPr>
              <w:widowControl w:val="0"/>
              <w:autoSpaceDE w:val="0"/>
              <w:autoSpaceDN w:val="0"/>
              <w:adjustRightInd w:val="0"/>
              <w:spacing w:after="0"/>
              <w:jc w:val="center"/>
              <w:rPr>
                <w:rFonts w:asciiTheme="majorHAnsi" w:eastAsia="Times New Roman" w:hAnsiTheme="majorHAnsi" w:cstheme="majorHAnsi"/>
                <w:sz w:val="18"/>
                <w:szCs w:val="18"/>
                <w:lang w:val="en"/>
              </w:rPr>
            </w:pPr>
            <w:r>
              <w:rPr>
                <w:rFonts w:asciiTheme="majorHAnsi" w:eastAsia="Times New Roman" w:hAnsiTheme="majorHAnsi" w:cstheme="majorHAnsi"/>
                <w:sz w:val="18"/>
                <w:szCs w:val="18"/>
              </w:rPr>
              <w:t>брой</w:t>
            </w:r>
          </w:p>
        </w:tc>
        <w:tc>
          <w:tcPr>
            <w:tcW w:w="1092"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45</w:t>
            </w:r>
          </w:p>
        </w:tc>
        <w:tc>
          <w:tcPr>
            <w:tcW w:w="1134"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45</w:t>
            </w:r>
          </w:p>
        </w:tc>
        <w:tc>
          <w:tcPr>
            <w:tcW w:w="1134"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45</w:t>
            </w:r>
          </w:p>
        </w:tc>
        <w:tc>
          <w:tcPr>
            <w:tcW w:w="1168"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45</w:t>
            </w:r>
          </w:p>
        </w:tc>
      </w:tr>
      <w:tr w:rsidR="00A13599" w:rsidTr="00264ABB">
        <w:trPr>
          <w:trHeight w:val="270"/>
          <w:jc w:val="center"/>
        </w:trPr>
        <w:tc>
          <w:tcPr>
            <w:tcW w:w="3418" w:type="dxa"/>
            <w:tcBorders>
              <w:top w:val="nil"/>
              <w:left w:val="nil"/>
              <w:bottom w:val="nil"/>
              <w:right w:val="nil"/>
            </w:tcBorders>
            <w:hideMark/>
          </w:tcPr>
          <w:p w:rsidR="00A13599" w:rsidRDefault="00A13599" w:rsidP="00064BF8">
            <w:pPr>
              <w:widowControl w:val="0"/>
              <w:tabs>
                <w:tab w:val="left" w:pos="258"/>
              </w:tabs>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3. Процент на обажданията, отговорени до 10-тата секунда.</w:t>
            </w:r>
          </w:p>
        </w:tc>
        <w:tc>
          <w:tcPr>
            <w:tcW w:w="1003" w:type="dxa"/>
            <w:tcBorders>
              <w:top w:val="nil"/>
              <w:left w:val="nil"/>
              <w:bottom w:val="nil"/>
              <w:right w:val="nil"/>
            </w:tcBorders>
            <w:shd w:val="clear" w:color="auto" w:fill="F2F2F2" w:themeFill="background1" w:themeFillShade="F2"/>
            <w:hideMark/>
          </w:tcPr>
          <w:p w:rsidR="00A13599" w:rsidRDefault="00A1359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процент</w:t>
            </w:r>
          </w:p>
        </w:tc>
        <w:tc>
          <w:tcPr>
            <w:tcW w:w="1092"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80</w:t>
            </w:r>
          </w:p>
        </w:tc>
        <w:tc>
          <w:tcPr>
            <w:tcW w:w="1134"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83</w:t>
            </w:r>
          </w:p>
        </w:tc>
        <w:tc>
          <w:tcPr>
            <w:tcW w:w="1134"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85</w:t>
            </w:r>
          </w:p>
        </w:tc>
        <w:tc>
          <w:tcPr>
            <w:tcW w:w="1168"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85</w:t>
            </w:r>
          </w:p>
        </w:tc>
      </w:tr>
      <w:tr w:rsidR="00A13599" w:rsidTr="00264ABB">
        <w:trPr>
          <w:trHeight w:val="539"/>
          <w:jc w:val="center"/>
        </w:trPr>
        <w:tc>
          <w:tcPr>
            <w:tcW w:w="3418" w:type="dxa"/>
            <w:tcBorders>
              <w:top w:val="nil"/>
              <w:left w:val="nil"/>
              <w:bottom w:val="nil"/>
              <w:right w:val="nil"/>
            </w:tcBorders>
            <w:hideMark/>
          </w:tcPr>
          <w:p w:rsidR="00A13599" w:rsidRDefault="00A13599" w:rsidP="00064BF8">
            <w:pPr>
              <w:widowControl w:val="0"/>
              <w:tabs>
                <w:tab w:val="left" w:pos="258"/>
              </w:tabs>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4. Обучени лица по професионалното направление.</w:t>
            </w:r>
          </w:p>
        </w:tc>
        <w:tc>
          <w:tcPr>
            <w:tcW w:w="1003" w:type="dxa"/>
            <w:tcBorders>
              <w:top w:val="nil"/>
              <w:left w:val="nil"/>
              <w:bottom w:val="nil"/>
              <w:right w:val="nil"/>
            </w:tcBorders>
            <w:shd w:val="clear" w:color="auto" w:fill="F2F2F2" w:themeFill="background1" w:themeFillShade="F2"/>
            <w:hideMark/>
          </w:tcPr>
          <w:p w:rsidR="00A13599" w:rsidRDefault="00A13599"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1092"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6 000</w:t>
            </w:r>
          </w:p>
        </w:tc>
        <w:tc>
          <w:tcPr>
            <w:tcW w:w="1134"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6 000</w:t>
            </w:r>
          </w:p>
        </w:tc>
        <w:tc>
          <w:tcPr>
            <w:tcW w:w="1134"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6 000</w:t>
            </w:r>
          </w:p>
        </w:tc>
        <w:tc>
          <w:tcPr>
            <w:tcW w:w="1168"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6 000</w:t>
            </w:r>
          </w:p>
        </w:tc>
      </w:tr>
      <w:tr w:rsidR="00A13599" w:rsidTr="00264ABB">
        <w:trPr>
          <w:trHeight w:val="561"/>
          <w:jc w:val="center"/>
        </w:trPr>
        <w:tc>
          <w:tcPr>
            <w:tcW w:w="3418" w:type="dxa"/>
            <w:tcBorders>
              <w:top w:val="nil"/>
              <w:left w:val="nil"/>
              <w:bottom w:val="nil"/>
              <w:right w:val="nil"/>
            </w:tcBorders>
            <w:hideMark/>
          </w:tcPr>
          <w:p w:rsidR="00A13599" w:rsidRDefault="00A13599" w:rsidP="00064BF8">
            <w:pPr>
              <w:widowControl w:val="0"/>
              <w:tabs>
                <w:tab w:val="left" w:pos="258"/>
              </w:tabs>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5. Брой лица, с които е проведено психологично изследване.</w:t>
            </w:r>
          </w:p>
        </w:tc>
        <w:tc>
          <w:tcPr>
            <w:tcW w:w="1003" w:type="dxa"/>
            <w:tcBorders>
              <w:top w:val="nil"/>
              <w:left w:val="nil"/>
              <w:bottom w:val="nil"/>
              <w:right w:val="nil"/>
            </w:tcBorders>
            <w:shd w:val="clear" w:color="auto" w:fill="F2F2F2" w:themeFill="background1" w:themeFillShade="F2"/>
            <w:hideMark/>
          </w:tcPr>
          <w:p w:rsidR="00A13599" w:rsidRDefault="00A1359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1092"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6 000</w:t>
            </w:r>
          </w:p>
        </w:tc>
        <w:tc>
          <w:tcPr>
            <w:tcW w:w="1134"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6 000</w:t>
            </w:r>
          </w:p>
        </w:tc>
        <w:tc>
          <w:tcPr>
            <w:tcW w:w="1134"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6 500</w:t>
            </w:r>
          </w:p>
        </w:tc>
        <w:tc>
          <w:tcPr>
            <w:tcW w:w="1168" w:type="dxa"/>
            <w:tcBorders>
              <w:top w:val="nil"/>
              <w:left w:val="nil"/>
              <w:bottom w:val="nil"/>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6 500</w:t>
            </w:r>
          </w:p>
        </w:tc>
      </w:tr>
      <w:tr w:rsidR="00A13599" w:rsidTr="00264ABB">
        <w:trPr>
          <w:trHeight w:val="697"/>
          <w:jc w:val="center"/>
        </w:trPr>
        <w:tc>
          <w:tcPr>
            <w:tcW w:w="3418" w:type="dxa"/>
            <w:tcBorders>
              <w:top w:val="nil"/>
              <w:left w:val="nil"/>
              <w:bottom w:val="single" w:sz="4" w:space="0" w:color="auto"/>
              <w:right w:val="nil"/>
            </w:tcBorders>
            <w:hideMark/>
          </w:tcPr>
          <w:p w:rsidR="00A13599" w:rsidRDefault="00A13599" w:rsidP="00064BF8">
            <w:pPr>
              <w:widowControl w:val="0"/>
              <w:tabs>
                <w:tab w:val="left" w:pos="258"/>
              </w:tabs>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 xml:space="preserve">  6. Преминали през МИ-МВР болни служители и други лица. </w:t>
            </w:r>
          </w:p>
        </w:tc>
        <w:tc>
          <w:tcPr>
            <w:tcW w:w="1003" w:type="dxa"/>
            <w:tcBorders>
              <w:top w:val="nil"/>
              <w:left w:val="nil"/>
              <w:bottom w:val="single" w:sz="4" w:space="0" w:color="auto"/>
              <w:right w:val="nil"/>
            </w:tcBorders>
            <w:shd w:val="clear" w:color="auto" w:fill="F2F2F2" w:themeFill="background1" w:themeFillShade="F2"/>
            <w:hideMark/>
          </w:tcPr>
          <w:p w:rsidR="00A13599" w:rsidRDefault="00A13599" w:rsidP="00064BF8">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1092" w:type="dxa"/>
            <w:tcBorders>
              <w:top w:val="nil"/>
              <w:left w:val="nil"/>
              <w:bottom w:val="single" w:sz="4" w:space="0" w:color="auto"/>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16 500</w:t>
            </w:r>
          </w:p>
        </w:tc>
        <w:tc>
          <w:tcPr>
            <w:tcW w:w="1134" w:type="dxa"/>
            <w:tcBorders>
              <w:top w:val="nil"/>
              <w:left w:val="nil"/>
              <w:bottom w:val="single" w:sz="4" w:space="0" w:color="auto"/>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16 500</w:t>
            </w:r>
          </w:p>
        </w:tc>
        <w:tc>
          <w:tcPr>
            <w:tcW w:w="1134" w:type="dxa"/>
            <w:tcBorders>
              <w:top w:val="nil"/>
              <w:left w:val="nil"/>
              <w:bottom w:val="single" w:sz="4" w:space="0" w:color="auto"/>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16 500</w:t>
            </w:r>
          </w:p>
        </w:tc>
        <w:tc>
          <w:tcPr>
            <w:tcW w:w="1168" w:type="dxa"/>
            <w:tcBorders>
              <w:top w:val="nil"/>
              <w:left w:val="nil"/>
              <w:bottom w:val="single" w:sz="4" w:space="0" w:color="auto"/>
              <w:right w:val="nil"/>
            </w:tcBorders>
            <w:hideMark/>
          </w:tcPr>
          <w:p w:rsidR="00A13599" w:rsidRDefault="00A13599" w:rsidP="00064BF8">
            <w:pPr>
              <w:spacing w:after="0"/>
              <w:jc w:val="center"/>
              <w:rPr>
                <w:rFonts w:asciiTheme="majorHAnsi" w:eastAsia="Times New Roman" w:hAnsiTheme="majorHAnsi" w:cstheme="majorHAnsi"/>
                <w:sz w:val="18"/>
                <w:szCs w:val="18"/>
                <w:lang w:val="en-US"/>
              </w:rPr>
            </w:pPr>
            <w:r>
              <w:rPr>
                <w:rFonts w:asciiTheme="majorHAnsi" w:eastAsia="Times New Roman" w:hAnsiTheme="majorHAnsi" w:cstheme="majorHAnsi"/>
                <w:sz w:val="18"/>
                <w:szCs w:val="18"/>
                <w:lang w:val="en-US"/>
              </w:rPr>
              <w:t>16 500</w:t>
            </w:r>
          </w:p>
        </w:tc>
      </w:tr>
    </w:tbl>
    <w:p w:rsidR="00A13599" w:rsidRDefault="00A13599" w:rsidP="00B54FAB">
      <w:pPr>
        <w:widowControl w:val="0"/>
        <w:autoSpaceDE w:val="0"/>
        <w:autoSpaceDN w:val="0"/>
        <w:adjustRightInd w:val="0"/>
        <w:spacing w:after="120"/>
        <w:ind w:right="-8"/>
        <w:jc w:val="left"/>
        <w:rPr>
          <w:rFonts w:eastAsia="Times New Roman" w:cs="Times New Roman"/>
          <w:b/>
          <w:bCs/>
          <w:sz w:val="20"/>
          <w:szCs w:val="20"/>
        </w:rPr>
      </w:pPr>
    </w:p>
    <w:p w:rsidR="008C1DE7" w:rsidRDefault="00A13599" w:rsidP="00F11BBA">
      <w:r>
        <w:rPr>
          <w:rFonts w:eastAsia="Batang"/>
          <w:lang w:val="ru-RU"/>
        </w:rPr>
        <w:t xml:space="preserve">Финансирането на </w:t>
      </w:r>
      <w:r>
        <w:rPr>
          <w:rFonts w:eastAsia="Batang"/>
        </w:rPr>
        <w:t xml:space="preserve">политиката в областта на вътрешния ред и сигурността се допълва със средства от Европейския съюз </w:t>
      </w:r>
      <w:r>
        <w:rPr>
          <w:lang w:val="ru-RU"/>
        </w:rPr>
        <w:t>(</w:t>
      </w:r>
      <w:r>
        <w:rPr>
          <w:lang w:val="en-US"/>
        </w:rPr>
        <w:t>EC</w:t>
      </w:r>
      <w:r>
        <w:rPr>
          <w:lang w:val="ru-RU"/>
        </w:rPr>
        <w:t xml:space="preserve">) </w:t>
      </w:r>
      <w:r>
        <w:rPr>
          <w:rFonts w:eastAsia="Batang"/>
        </w:rPr>
        <w:t xml:space="preserve">и средства по други международни програми и договори. </w:t>
      </w:r>
      <w:r>
        <w:t xml:space="preserve">В прогнозата за другите сметки за средства от ЕС и средства по други международни програми и договори, за които се прилага режимът на сметките за средства от ЕС за Министерството на вътрешните работи са включени средства по Европейския фонд „Убежище, миграция и интеграция“ </w:t>
      </w:r>
      <w:r>
        <w:rPr>
          <w:lang w:val="ru-RU"/>
        </w:rPr>
        <w:t xml:space="preserve">(ФУМИ) </w:t>
      </w:r>
      <w:r>
        <w:t>и Европейския фонд „Вътрешна сигурност“</w:t>
      </w:r>
      <w:r>
        <w:rPr>
          <w:lang w:val="ru-RU"/>
        </w:rPr>
        <w:t xml:space="preserve"> (ФВС), </w:t>
      </w:r>
      <w:r>
        <w:t>проекти, програми и грантови споразумения. Предвиденото национално съфинансиране по тях за 2020 г. възлиза на 40,</w:t>
      </w:r>
      <w:r>
        <w:rPr>
          <w:lang w:val="ru-RU"/>
        </w:rPr>
        <w:t xml:space="preserve">0 </w:t>
      </w:r>
      <w:r w:rsidR="00424768">
        <w:t>млн. лв., в т.ч. 27,</w:t>
      </w:r>
      <w:r>
        <w:t>4 млн. лв. по ФВС</w:t>
      </w:r>
      <w:r w:rsidR="0015692F">
        <w:t>, предв</w:t>
      </w:r>
      <w:r w:rsidR="008C1DE7">
        <w:t>ид удължаването срока за неговот</w:t>
      </w:r>
      <w:r w:rsidR="0015692F">
        <w:t>о изпълнение</w:t>
      </w:r>
      <w:r>
        <w:t xml:space="preserve">. </w:t>
      </w:r>
    </w:p>
    <w:p w:rsidR="004D5326" w:rsidRPr="001663E8" w:rsidRDefault="004D5326" w:rsidP="00F11BBA"/>
    <w:p w:rsidR="002E1052" w:rsidRDefault="002E1052" w:rsidP="00517D0A">
      <w:pPr>
        <w:pStyle w:val="Heading3"/>
        <w:ind w:left="0"/>
      </w:pPr>
      <w:bookmarkStart w:id="487" w:name="_Toc465070479"/>
      <w:bookmarkStart w:id="488" w:name="_Toc465205529"/>
      <w:r w:rsidRPr="00AE46B6">
        <w:t>Политика в областта на</w:t>
      </w:r>
      <w:r w:rsidRPr="009D2915">
        <w:t xml:space="preserve"> </w:t>
      </w:r>
      <w:bookmarkEnd w:id="487"/>
      <w:bookmarkEnd w:id="488"/>
      <w:r w:rsidR="00424768">
        <w:t>съдебната система</w:t>
      </w:r>
    </w:p>
    <w:p w:rsidR="00756BA7" w:rsidRDefault="00756BA7" w:rsidP="001F2302">
      <w:pPr>
        <w:spacing w:before="120" w:after="0"/>
      </w:pPr>
    </w:p>
    <w:p w:rsidR="00756BA7" w:rsidRDefault="00756BA7" w:rsidP="00756BA7">
      <w:pPr>
        <w:spacing w:after="120"/>
        <w:rPr>
          <w:rFonts w:eastAsia="Times New Roman" w:cs="Times New Roman"/>
          <w:szCs w:val="24"/>
        </w:rPr>
      </w:pPr>
      <w:r w:rsidRPr="005A1241">
        <w:rPr>
          <w:rFonts w:eastAsia="Times New Roman" w:cs="Times New Roman"/>
          <w:szCs w:val="24"/>
        </w:rPr>
        <w:t>Приоритет е изграждането на добре функционираща и прозрачна съдебна система, която да гарантира ефективно прилагане на законите, да дава сигурност на гражданите да защитава спазването на техните права и свободи. Усилията в тази сфера са насочени към постигането на равен достъп до правосъдие и на европейски стандарти в</w:t>
      </w:r>
      <w:bookmarkStart w:id="489" w:name="page83"/>
      <w:bookmarkEnd w:id="489"/>
      <w:r w:rsidRPr="005A1241">
        <w:rPr>
          <w:rFonts w:eastAsia="Times New Roman" w:cs="Times New Roman"/>
          <w:szCs w:val="24"/>
        </w:rPr>
        <w:t xml:space="preserve"> областта на правната помощ и алтернативното решаване на спорове, в условията на пълноправно членство в Европейския съюз.</w:t>
      </w:r>
    </w:p>
    <w:p w:rsidR="001663E8" w:rsidRPr="001663E8" w:rsidRDefault="001663E8" w:rsidP="001663E8">
      <w:pPr>
        <w:spacing w:after="120"/>
        <w:rPr>
          <w:rFonts w:eastAsia="Times New Roman" w:cs="Times New Roman"/>
          <w:b/>
          <w:szCs w:val="24"/>
        </w:rPr>
      </w:pPr>
      <w:r w:rsidRPr="001663E8">
        <w:rPr>
          <w:rFonts w:eastAsia="Times New Roman" w:cs="Times New Roman"/>
          <w:b/>
          <w:szCs w:val="24"/>
        </w:rPr>
        <w:t xml:space="preserve">Съдебна власт </w:t>
      </w:r>
    </w:p>
    <w:p w:rsidR="001663E8" w:rsidRPr="005A1241" w:rsidRDefault="001663E8" w:rsidP="001663E8">
      <w:pPr>
        <w:spacing w:after="120"/>
        <w:rPr>
          <w:rFonts w:eastAsia="Times New Roman" w:cs="Times New Roman"/>
          <w:szCs w:val="24"/>
        </w:rPr>
      </w:pPr>
      <w:r w:rsidRPr="001663E8">
        <w:rPr>
          <w:rFonts w:eastAsia="Times New Roman" w:cs="Times New Roman"/>
          <w:szCs w:val="24"/>
        </w:rPr>
        <w:t>Политиките в областта на съдебната власт се координират от Висшия съдебен съвет, като постоянно действащ орган, представляващ съдебната власт, който осигурява и отстоява нейната независимост, определя състава и организацията на работа на съдилищата, прокуратурите и следствените органи и обезпечава финансово и технически тяхната дейност без да се намесва в нейното осъществяване.</w:t>
      </w:r>
    </w:p>
    <w:p w:rsidR="00756BA7" w:rsidRPr="005A1241" w:rsidRDefault="00756BA7" w:rsidP="00756BA7">
      <w:pPr>
        <w:spacing w:after="120"/>
        <w:rPr>
          <w:rFonts w:eastAsia="Times New Roman" w:cs="Times New Roman"/>
          <w:szCs w:val="24"/>
        </w:rPr>
      </w:pPr>
      <w:r w:rsidRPr="005A1241">
        <w:rPr>
          <w:rFonts w:eastAsia="Times New Roman" w:cs="Times New Roman"/>
          <w:szCs w:val="24"/>
        </w:rPr>
        <w:t>Изпълнението на заложените политики цели повишаване на общественото доверие в съдебната власт, постигане на ефективно, бързо, прозрачно, справедливо и достъпно правосъдие, както и създаване на съврем</w:t>
      </w:r>
      <w:r w:rsidR="00424768">
        <w:rPr>
          <w:rFonts w:eastAsia="Times New Roman" w:cs="Times New Roman"/>
          <w:szCs w:val="24"/>
        </w:rPr>
        <w:t>енни условия на гражданите, включително</w:t>
      </w:r>
      <w:r w:rsidRPr="005A1241">
        <w:rPr>
          <w:rFonts w:eastAsia="Times New Roman" w:cs="Times New Roman"/>
          <w:szCs w:val="24"/>
        </w:rPr>
        <w:t xml:space="preserve"> за обвиняемите, за провеждане на съдебния процес. За постигането на тези цели е важно да се наблегне на качествено изпълнение на предвидените в Закона за съдебната власт задължения и повишаване на общественото доверие в съдебната власт, както и да се засили контролът на органите на съдебната власт, основаващ се на принципите на законосъобразност, обективност и публичност.</w:t>
      </w:r>
    </w:p>
    <w:p w:rsidR="00756BA7" w:rsidRPr="005A1241" w:rsidRDefault="00756BA7" w:rsidP="00756BA7">
      <w:pPr>
        <w:spacing w:after="120"/>
        <w:rPr>
          <w:rFonts w:eastAsia="Times New Roman" w:cs="Times New Roman"/>
          <w:szCs w:val="24"/>
        </w:rPr>
      </w:pPr>
      <w:r w:rsidRPr="005A1241">
        <w:rPr>
          <w:rFonts w:eastAsia="Times New Roman" w:cs="Times New Roman"/>
          <w:szCs w:val="24"/>
        </w:rPr>
        <w:t>Важен момент при изпълнението на политиките в областта на съдебната система е засилването на ефективността в борбата на Прокуратурата срещу организираната престъпност и корупцията и осигуряването на средства за увеличения брой експертизи, поради повишената роля на Прокуратурата в досъдебното производство и в съдебния процес.</w:t>
      </w:r>
    </w:p>
    <w:p w:rsidR="00756BA7" w:rsidRPr="005A1241" w:rsidRDefault="00756BA7" w:rsidP="00756BA7">
      <w:pPr>
        <w:spacing w:after="120"/>
        <w:rPr>
          <w:rFonts w:eastAsia="Times New Roman" w:cs="Times New Roman"/>
          <w:szCs w:val="24"/>
        </w:rPr>
      </w:pPr>
      <w:r w:rsidRPr="005A1241">
        <w:rPr>
          <w:rFonts w:eastAsia="Times New Roman" w:cs="Times New Roman"/>
          <w:szCs w:val="24"/>
        </w:rPr>
        <w:t xml:space="preserve">Предвижда се подобряване на административното обслужване чрез изграждане на информационна система с електронни услуги и внедряването на нови технологии, като част от електронното правосъдие, във връзка с изпълнението на разпоредбите на чл. 360 е от ЗСВ и Наредба </w:t>
      </w:r>
      <w:r w:rsidR="00E042F1">
        <w:rPr>
          <w:rFonts w:eastAsia="Times New Roman" w:cs="Times New Roman"/>
          <w:szCs w:val="24"/>
        </w:rPr>
        <w:t>№ 6 от 2017 г.</w:t>
      </w:r>
      <w:r w:rsidR="00E042F1" w:rsidRPr="005A1241">
        <w:rPr>
          <w:rFonts w:eastAsia="Times New Roman" w:cs="Times New Roman"/>
          <w:szCs w:val="24"/>
        </w:rPr>
        <w:t xml:space="preserve"> </w:t>
      </w:r>
      <w:r w:rsidRPr="005A1241">
        <w:rPr>
          <w:rFonts w:eastAsia="Times New Roman" w:cs="Times New Roman"/>
          <w:szCs w:val="24"/>
        </w:rPr>
        <w:t>за извършване на процесуални действия и удостоверителни изявления в електронна форма</w:t>
      </w:r>
      <w:r w:rsidR="00E042F1" w:rsidRPr="00E042F1">
        <w:rPr>
          <w:rFonts w:eastAsia="Times New Roman" w:cs="Times New Roman"/>
          <w:szCs w:val="24"/>
        </w:rPr>
        <w:t>, издадена от Висшия съдебен съвет</w:t>
      </w:r>
      <w:r w:rsidRPr="005A1241">
        <w:rPr>
          <w:rFonts w:eastAsia="Times New Roman" w:cs="Times New Roman"/>
          <w:szCs w:val="24"/>
        </w:rPr>
        <w:t>. Това ще бъде възможно чрез въвеждане на стандарти за обмен на информация между отделните подсистеми в съдебната власт, създаване и внедряване на стандартен софтуер за публичните регистри и информация за работата на съдебните институции, както и цялостна компютризация на съдилищата.</w:t>
      </w:r>
    </w:p>
    <w:p w:rsidR="001E4074" w:rsidRDefault="00756BA7" w:rsidP="001E4074">
      <w:pPr>
        <w:spacing w:after="120"/>
        <w:rPr>
          <w:rFonts w:eastAsia="Times New Roman" w:cs="Times New Roman"/>
          <w:szCs w:val="24"/>
        </w:rPr>
      </w:pPr>
      <w:r w:rsidRPr="005A1241">
        <w:rPr>
          <w:rFonts w:eastAsia="Times New Roman" w:cs="Times New Roman"/>
          <w:szCs w:val="24"/>
        </w:rPr>
        <w:t xml:space="preserve">Основният принцип при разработването на проекта на </w:t>
      </w:r>
      <w:r w:rsidR="00F53570">
        <w:rPr>
          <w:rFonts w:eastAsia="Times New Roman" w:cs="Times New Roman"/>
          <w:szCs w:val="24"/>
        </w:rPr>
        <w:t xml:space="preserve">бюджет и актуализираната </w:t>
      </w:r>
      <w:r w:rsidRPr="005A1241">
        <w:rPr>
          <w:rFonts w:eastAsia="Times New Roman" w:cs="Times New Roman"/>
          <w:szCs w:val="24"/>
        </w:rPr>
        <w:t xml:space="preserve">бюджетна прогноза за </w:t>
      </w:r>
      <w:r w:rsidR="00F53570">
        <w:rPr>
          <w:rFonts w:eastAsia="Times New Roman" w:cs="Times New Roman"/>
          <w:szCs w:val="24"/>
        </w:rPr>
        <w:t xml:space="preserve">2021 и 2022 г. </w:t>
      </w:r>
      <w:r w:rsidRPr="005A1241">
        <w:rPr>
          <w:rFonts w:eastAsia="Times New Roman" w:cs="Times New Roman"/>
          <w:szCs w:val="24"/>
        </w:rPr>
        <w:t>на съдебната власт е независимост и прогнозиране на оптимален размер на средствата за нормално функциониране на съдебните институции, като в нея се отразява стремежа за повишаване ефективността на цялостната работа на съдебната система на равнище, отговарящо на членството на Републи</w:t>
      </w:r>
      <w:r w:rsidR="001E4074">
        <w:rPr>
          <w:rFonts w:eastAsia="Times New Roman" w:cs="Times New Roman"/>
          <w:szCs w:val="24"/>
        </w:rPr>
        <w:t>ка България в Европейския съюз.</w:t>
      </w:r>
    </w:p>
    <w:p w:rsidR="001E4074" w:rsidRPr="001E4074" w:rsidRDefault="001E4074" w:rsidP="001E4074">
      <w:pPr>
        <w:spacing w:after="120"/>
        <w:rPr>
          <w:rFonts w:eastAsia="Times New Roman" w:cs="Times New Roman"/>
          <w:szCs w:val="24"/>
        </w:rPr>
      </w:pPr>
      <w:r w:rsidRPr="001E4074">
        <w:rPr>
          <w:b/>
        </w:rPr>
        <w:t>Конституционен съд</w:t>
      </w:r>
    </w:p>
    <w:p w:rsidR="001E4074" w:rsidRDefault="001E4074" w:rsidP="001E4074">
      <w:r w:rsidRPr="001E4074">
        <w:t>Конституционният съд на Република България е независим държавен орган, създаден с Конституцията и натоварен да осигурява нейното върховенство. Независим е от законодателната, изпълнителната и съдебната власт. Основната му дейност е да дава задължителни тълкувания на Конституцията, както и да се произнася по съответствието й със законите, актовете на Народното събрание и президента и международните договори, по които България е страна.</w:t>
      </w:r>
    </w:p>
    <w:p w:rsidR="001E4074" w:rsidRPr="001E4074" w:rsidRDefault="001E4074" w:rsidP="001E4074">
      <w:r w:rsidRPr="001E4074">
        <w:t>Конституционния</w:t>
      </w:r>
      <w:r w:rsidR="00D4577F">
        <w:t>т</w:t>
      </w:r>
      <w:r w:rsidRPr="001E4074">
        <w:t xml:space="preserve"> съд членува в три международни организации, като членството в тях е от изключително важно значение за развитието и работата на съда и за добрата позиция в международен аспект на българския Конституционен съд.</w:t>
      </w:r>
    </w:p>
    <w:p w:rsidR="001E4074" w:rsidRDefault="001E4074" w:rsidP="001E4074">
      <w:r w:rsidRPr="001E4074">
        <w:t>Актуализираната бюджетна прогноза на Конституционния съд отразява оптималния размер на средствата, необходими за нормално функциониране на съда и повишаване ефективността на работата му.</w:t>
      </w:r>
    </w:p>
    <w:p w:rsidR="001E4074" w:rsidRPr="001E4074" w:rsidRDefault="001E4074" w:rsidP="001E4074">
      <w:r w:rsidRPr="001E4074">
        <w:t xml:space="preserve">Считано от 2020 г. дейността на Конституционния съд попада в обхвата на функционална област „Върховенство на конституцията“. </w:t>
      </w:r>
    </w:p>
    <w:p w:rsidR="00275B35" w:rsidRDefault="00275B35" w:rsidP="00E7639F">
      <w:pPr>
        <w:rPr>
          <w:highlight w:val="yellow"/>
        </w:rPr>
      </w:pPr>
    </w:p>
    <w:p w:rsidR="00E7639F" w:rsidRPr="008A422F" w:rsidRDefault="00E7639F" w:rsidP="00E7639F">
      <w:pPr>
        <w:pStyle w:val="Heading4"/>
        <w:rPr>
          <w:rFonts w:eastAsia="Times New Roman"/>
        </w:rPr>
      </w:pPr>
      <w:r w:rsidRPr="008A422F">
        <w:rPr>
          <w:rFonts w:eastAsia="Times New Roman"/>
        </w:rPr>
        <w:t xml:space="preserve">Политика в областта на правосъдието </w:t>
      </w:r>
    </w:p>
    <w:p w:rsidR="00756BA7" w:rsidRDefault="00756BA7" w:rsidP="00753520">
      <w:pPr>
        <w:spacing w:before="120" w:after="0"/>
      </w:pPr>
    </w:p>
    <w:p w:rsidR="00756BA7" w:rsidRDefault="00756BA7" w:rsidP="00756BA7">
      <w:pPr>
        <w:spacing w:before="120" w:after="0"/>
        <w:rPr>
          <w:szCs w:val="24"/>
        </w:rPr>
      </w:pPr>
      <w:r w:rsidRPr="005B52A0">
        <w:rPr>
          <w:szCs w:val="24"/>
        </w:rPr>
        <w:t>Приоритет на Министерството на правосъдието е да се реформира работата на съдебната система за постигане на достъпно, предвидимо, бързо и справедливо правосъдие, за възстановяване на справедливостта в обществото, което да гарантира правовия ред в страната, постигане на конкретни резултати в борбата с престъпността и ефективно справяне с корупцията.</w:t>
      </w:r>
      <w:r>
        <w:rPr>
          <w:szCs w:val="24"/>
        </w:rPr>
        <w:t xml:space="preserve"> </w:t>
      </w:r>
    </w:p>
    <w:p w:rsidR="00756BA7" w:rsidRDefault="00756BA7" w:rsidP="00756BA7">
      <w:pPr>
        <w:spacing w:before="120" w:after="0"/>
        <w:rPr>
          <w:szCs w:val="24"/>
        </w:rPr>
      </w:pPr>
      <w:r w:rsidRPr="005B52A0">
        <w:rPr>
          <w:szCs w:val="24"/>
        </w:rPr>
        <w:t>За период</w:t>
      </w:r>
      <w:r>
        <w:rPr>
          <w:szCs w:val="24"/>
        </w:rPr>
        <w:t>а</w:t>
      </w:r>
      <w:r w:rsidRPr="005B52A0">
        <w:rPr>
          <w:szCs w:val="24"/>
        </w:rPr>
        <w:t xml:space="preserve"> 20</w:t>
      </w:r>
      <w:r>
        <w:rPr>
          <w:szCs w:val="24"/>
        </w:rPr>
        <w:t>20</w:t>
      </w:r>
      <w:r w:rsidRPr="005B52A0">
        <w:rPr>
          <w:szCs w:val="24"/>
        </w:rPr>
        <w:t>-202</w:t>
      </w:r>
      <w:r w:rsidR="00424768">
        <w:rPr>
          <w:szCs w:val="24"/>
        </w:rPr>
        <w:t xml:space="preserve">2 </w:t>
      </w:r>
      <w:r w:rsidRPr="005B52A0">
        <w:rPr>
          <w:szCs w:val="24"/>
        </w:rPr>
        <w:t>г. ще се предприемат законодателни мерки, свързани с реформиране и подобряване работата на съдебната система.</w:t>
      </w:r>
      <w:r>
        <w:rPr>
          <w:szCs w:val="24"/>
        </w:rPr>
        <w:t xml:space="preserve"> </w:t>
      </w:r>
    </w:p>
    <w:p w:rsidR="00756BA7" w:rsidRPr="00FF48C7" w:rsidRDefault="00756BA7" w:rsidP="00756BA7">
      <w:pPr>
        <w:spacing w:before="120" w:after="0"/>
        <w:rPr>
          <w:rFonts w:eastAsia="Times New Roman"/>
          <w:szCs w:val="24"/>
        </w:rPr>
      </w:pPr>
      <w:r w:rsidRPr="00FF48C7">
        <w:rPr>
          <w:rFonts w:eastAsia="Times New Roman"/>
          <w:szCs w:val="24"/>
        </w:rPr>
        <w:t>Приоритет на Министерството на правосъдието е извършването на законодателни промени, които следва да гарантират правовия ред в страната, борбата с престъпността и създаването на условия за ограничаване на корупцията на всички нива на държавното управление.</w:t>
      </w:r>
    </w:p>
    <w:p w:rsidR="00756BA7" w:rsidRDefault="00756BA7" w:rsidP="00756BA7">
      <w:pPr>
        <w:spacing w:before="120" w:after="0"/>
        <w:rPr>
          <w:rFonts w:eastAsia="Times New Roman"/>
          <w:szCs w:val="24"/>
        </w:rPr>
      </w:pPr>
      <w:r w:rsidRPr="00FF48C7">
        <w:rPr>
          <w:rFonts w:eastAsia="Times New Roman"/>
          <w:szCs w:val="24"/>
        </w:rPr>
        <w:t>Основен приоритет в развитието на Агенцията по вписванията е въвеждането на модерна централизирана електронна регистърна система, която да обхване освен съществуващите, водени от Агенцията по вписванията регистри и регистри, водени понастоящем в рамките на съдебната система и структурни звена на Министерството на правосъдието.</w:t>
      </w:r>
    </w:p>
    <w:p w:rsidR="00756BA7" w:rsidRDefault="00756BA7" w:rsidP="00756BA7">
      <w:pPr>
        <w:spacing w:before="120" w:after="0"/>
        <w:rPr>
          <w:rFonts w:eastAsia="Times New Roman"/>
          <w:szCs w:val="24"/>
        </w:rPr>
      </w:pPr>
      <w:r w:rsidRPr="00FF48C7">
        <w:rPr>
          <w:rFonts w:eastAsia="Times New Roman"/>
          <w:szCs w:val="24"/>
        </w:rPr>
        <w:t>Основната цел на реформата е извеждане на правоохранителни дейности от съдебната система, с което ще се укрепи административният й капацитет, като същевременно, с оглед централизация на информацията относно юридическите лица в Република България ще се изгради единен регистърен център, включващ и информацията от водените от Министерството на правосъдието, Централния регистър за особените залози и Регистъра на юридическите лица с нестопанска цел за общественополезна дейност.</w:t>
      </w:r>
      <w:r>
        <w:rPr>
          <w:rFonts w:eastAsia="Times New Roman"/>
          <w:szCs w:val="24"/>
        </w:rPr>
        <w:t xml:space="preserve"> </w:t>
      </w:r>
    </w:p>
    <w:p w:rsidR="00756BA7" w:rsidRDefault="00756BA7" w:rsidP="00756BA7">
      <w:pPr>
        <w:spacing w:before="120" w:after="0"/>
        <w:rPr>
          <w:rFonts w:eastAsia="Times New Roman"/>
          <w:szCs w:val="24"/>
        </w:rPr>
      </w:pPr>
      <w:r w:rsidRPr="00FF48C7">
        <w:rPr>
          <w:rFonts w:eastAsia="Times New Roman"/>
          <w:szCs w:val="24"/>
        </w:rPr>
        <w:t xml:space="preserve">Целта е изграждане и въвеждане на централизирана електронна система за регистрация на търговците, юридическите лица с нестопанска цел, други стопански субекти на частното право, които по силата на специални закони притежават правосубектност и понастоящем се регистрират в съдилищата. Това ще позволи оптимизиране на централните и регионални звена в системата на Министерството на правосъдието и ще въведе принципа </w:t>
      </w:r>
      <w:r>
        <w:rPr>
          <w:rFonts w:eastAsia="Times New Roman"/>
          <w:szCs w:val="24"/>
        </w:rPr>
        <w:t>„</w:t>
      </w:r>
      <w:r w:rsidRPr="00FF48C7">
        <w:rPr>
          <w:rFonts w:eastAsia="Times New Roman"/>
          <w:szCs w:val="24"/>
        </w:rPr>
        <w:t>обслужване на едно гише</w:t>
      </w:r>
      <w:r w:rsidR="00264ABB">
        <w:rPr>
          <w:rFonts w:eastAsia="Times New Roman"/>
          <w:szCs w:val="24"/>
        </w:rPr>
        <w:t>“</w:t>
      </w:r>
      <w:r w:rsidRPr="00FF48C7">
        <w:rPr>
          <w:rFonts w:eastAsia="Times New Roman"/>
          <w:szCs w:val="24"/>
        </w:rPr>
        <w:t xml:space="preserve"> за всички дейности, свързани с регистрация и последващи промени за всички юридически лица на територията на Република България, чрез единна централизирана електронна система за регистрация.</w:t>
      </w:r>
    </w:p>
    <w:p w:rsidR="00756BA7" w:rsidRDefault="00756BA7" w:rsidP="00756BA7">
      <w:pPr>
        <w:spacing w:before="120" w:after="0"/>
        <w:rPr>
          <w:rFonts w:eastAsia="Times New Roman"/>
          <w:szCs w:val="24"/>
        </w:rPr>
      </w:pPr>
      <w:r w:rsidRPr="00600349">
        <w:rPr>
          <w:rFonts w:eastAsia="Times New Roman"/>
          <w:szCs w:val="24"/>
        </w:rPr>
        <w:t>Ще бъдат положени усилия за усъвършенстване и надграждане на съществуващите електронни регистри към Агенцията по вписванията, създаване на нови регистри и свързването им с регистри поддържани от други държавни и общински институции и институции от държави-членки на Европейския съюз, както и за оптимизация на дейността по водене, съхраняване и достъп до регистрите</w:t>
      </w:r>
      <w:r>
        <w:rPr>
          <w:rFonts w:eastAsia="Times New Roman"/>
          <w:szCs w:val="24"/>
        </w:rPr>
        <w:t>.</w:t>
      </w:r>
      <w:r w:rsidRPr="00600349">
        <w:rPr>
          <w:rFonts w:eastAsia="Times New Roman"/>
          <w:szCs w:val="24"/>
        </w:rPr>
        <w:t xml:space="preserve"> </w:t>
      </w:r>
      <w:r>
        <w:rPr>
          <w:rFonts w:eastAsia="Times New Roman"/>
          <w:szCs w:val="24"/>
        </w:rPr>
        <w:t>Връзката между регистрите ще гарантира трансграничния обмен на данни между тях и ще улесни достъпа на гражданите и бизнеса до информация относно дружествата.</w:t>
      </w:r>
    </w:p>
    <w:p w:rsidR="00756BA7" w:rsidRDefault="00756BA7" w:rsidP="00756BA7">
      <w:pPr>
        <w:spacing w:before="120" w:after="0"/>
        <w:rPr>
          <w:rFonts w:eastAsia="Times New Roman"/>
          <w:szCs w:val="24"/>
        </w:rPr>
      </w:pPr>
      <w:r>
        <w:rPr>
          <w:rFonts w:eastAsia="Times New Roman"/>
          <w:szCs w:val="24"/>
        </w:rPr>
        <w:t>Във връзка с описаните приоритети, Министерството на правосъдието залага следните ключови индикатори по политиката в областта на правосъдието:</w:t>
      </w:r>
    </w:p>
    <w:p w:rsidR="00756BA7" w:rsidRDefault="00756BA7" w:rsidP="00753520">
      <w:pPr>
        <w:spacing w:before="120" w:after="0"/>
      </w:pPr>
    </w:p>
    <w:p w:rsidR="0091629A" w:rsidRDefault="00E7639F" w:rsidP="00E7639F">
      <w:pPr>
        <w:widowControl w:val="0"/>
        <w:autoSpaceDE w:val="0"/>
        <w:autoSpaceDN w:val="0"/>
        <w:adjustRightInd w:val="0"/>
        <w:spacing w:after="120"/>
        <w:ind w:right="-8"/>
        <w:jc w:val="left"/>
        <w:rPr>
          <w:rFonts w:eastAsia="Times New Roman" w:cs="Times New Roman"/>
          <w:b/>
          <w:bCs/>
          <w:sz w:val="20"/>
          <w:szCs w:val="20"/>
        </w:rPr>
      </w:pPr>
      <w:r w:rsidRPr="002C0F8C">
        <w:rPr>
          <w:rFonts w:eastAsia="Times New Roman" w:cs="Times New Roman"/>
          <w:b/>
          <w:bCs/>
          <w:sz w:val="20"/>
          <w:szCs w:val="20"/>
        </w:rPr>
        <w:t>КЛЮЧОВИ ИНДИКАТОРИ ЗА ИЗПЪЛНЕНИЕ И ЦЕЛЕВИ СТОЙНОСТИ</w:t>
      </w:r>
    </w:p>
    <w:tbl>
      <w:tblPr>
        <w:tblStyle w:val="TableGrid2"/>
        <w:tblW w:w="9483"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93"/>
        <w:gridCol w:w="992"/>
        <w:gridCol w:w="1402"/>
        <w:gridCol w:w="988"/>
        <w:gridCol w:w="1134"/>
        <w:gridCol w:w="1074"/>
      </w:tblGrid>
      <w:tr w:rsidR="00756BA7" w:rsidRPr="00B015A3" w:rsidTr="00264ABB">
        <w:trPr>
          <w:trHeight w:val="60"/>
          <w:tblHeader/>
          <w:jc w:val="center"/>
        </w:trPr>
        <w:tc>
          <w:tcPr>
            <w:tcW w:w="3893" w:type="dxa"/>
            <w:tcBorders>
              <w:bottom w:val="nil"/>
            </w:tcBorders>
            <w:vAlign w:val="center"/>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Политика в областта на правосъдието</w:t>
            </w:r>
          </w:p>
          <w:p w:rsidR="00756BA7" w:rsidRPr="00B015A3" w:rsidRDefault="00756BA7" w:rsidP="00064BF8">
            <w:pPr>
              <w:spacing w:after="0"/>
              <w:jc w:val="center"/>
              <w:rPr>
                <w:rFonts w:eastAsia="Times New Roman" w:cs="Times New Roman"/>
                <w:b/>
                <w:bCs/>
                <w:i/>
                <w:iCs/>
                <w:color w:val="000000"/>
                <w:sz w:val="18"/>
                <w:szCs w:val="18"/>
                <w:lang w:eastAsia="bg-BG"/>
              </w:rPr>
            </w:pPr>
          </w:p>
        </w:tc>
        <w:tc>
          <w:tcPr>
            <w:tcW w:w="992" w:type="dxa"/>
            <w:vMerge w:val="restart"/>
            <w:shd w:val="clear" w:color="auto" w:fill="F2F2F2" w:themeFill="background1" w:themeFillShade="F2"/>
            <w:vAlign w:val="center"/>
            <w:hideMark/>
          </w:tcPr>
          <w:p w:rsidR="00756BA7" w:rsidRPr="0083325D" w:rsidRDefault="00756BA7" w:rsidP="00064BF8">
            <w:pPr>
              <w:spacing w:after="0"/>
              <w:jc w:val="center"/>
              <w:rPr>
                <w:rFonts w:eastAsia="Times New Roman" w:cs="Times New Roman"/>
                <w:b/>
                <w:bCs/>
                <w:iCs/>
                <w:color w:val="000000"/>
                <w:sz w:val="18"/>
                <w:szCs w:val="18"/>
                <w:lang w:eastAsia="bg-BG"/>
              </w:rPr>
            </w:pPr>
            <w:r w:rsidRPr="0083325D">
              <w:rPr>
                <w:rFonts w:eastAsia="Times New Roman" w:cs="Times New Roman"/>
                <w:b/>
                <w:bCs/>
                <w:iCs/>
                <w:color w:val="000000"/>
                <w:sz w:val="18"/>
                <w:szCs w:val="18"/>
                <w:lang w:eastAsia="bg-BG"/>
              </w:rPr>
              <w:t>Мерна единица</w:t>
            </w:r>
          </w:p>
        </w:tc>
        <w:tc>
          <w:tcPr>
            <w:tcW w:w="4598" w:type="dxa"/>
            <w:gridSpan w:val="4"/>
            <w:tcBorders>
              <w:bottom w:val="single" w:sz="4" w:space="0" w:color="auto"/>
            </w:tcBorders>
            <w:vAlign w:val="center"/>
            <w:hideMark/>
          </w:tcPr>
          <w:p w:rsidR="00756BA7" w:rsidRPr="00F837DF" w:rsidRDefault="00756BA7" w:rsidP="00064BF8">
            <w:pPr>
              <w:spacing w:after="0"/>
              <w:jc w:val="center"/>
              <w:rPr>
                <w:rFonts w:eastAsia="Times New Roman" w:cs="Times New Roman"/>
                <w:b/>
                <w:bCs/>
                <w:iCs/>
                <w:color w:val="000000"/>
                <w:sz w:val="18"/>
                <w:szCs w:val="18"/>
                <w:lang w:eastAsia="bg-BG"/>
              </w:rPr>
            </w:pPr>
            <w:r w:rsidRPr="00F837DF">
              <w:rPr>
                <w:rFonts w:eastAsia="Times New Roman" w:cs="Times New Roman"/>
                <w:b/>
                <w:bCs/>
                <w:iCs/>
                <w:color w:val="000000"/>
                <w:sz w:val="18"/>
                <w:szCs w:val="18"/>
              </w:rPr>
              <w:t>Целева стойност</w:t>
            </w:r>
          </w:p>
        </w:tc>
      </w:tr>
      <w:tr w:rsidR="00756BA7" w:rsidRPr="00B015A3" w:rsidTr="00264ABB">
        <w:trPr>
          <w:trHeight w:val="307"/>
          <w:tblHeader/>
          <w:jc w:val="center"/>
        </w:trPr>
        <w:tc>
          <w:tcPr>
            <w:tcW w:w="3893" w:type="dxa"/>
            <w:tcBorders>
              <w:top w:val="nil"/>
              <w:bottom w:val="single" w:sz="4" w:space="0" w:color="auto"/>
            </w:tcBorders>
            <w:vAlign w:val="center"/>
            <w:hideMark/>
          </w:tcPr>
          <w:p w:rsidR="00756BA7" w:rsidRPr="00DB1977" w:rsidRDefault="00756BA7" w:rsidP="00064BF8">
            <w:pPr>
              <w:spacing w:after="0"/>
              <w:jc w:val="center"/>
              <w:rPr>
                <w:rFonts w:eastAsia="Times New Roman" w:cs="Times New Roman"/>
                <w:b/>
                <w:bCs/>
                <w:iCs/>
                <w:color w:val="000000"/>
                <w:sz w:val="18"/>
                <w:szCs w:val="18"/>
                <w:lang w:eastAsia="bg-BG"/>
              </w:rPr>
            </w:pPr>
            <w:r w:rsidRPr="00DB1977">
              <w:rPr>
                <w:rFonts w:eastAsia="Times New Roman" w:cs="Times New Roman"/>
                <w:b/>
                <w:bCs/>
                <w:iCs/>
                <w:color w:val="000000"/>
                <w:sz w:val="18"/>
                <w:szCs w:val="18"/>
                <w:lang w:eastAsia="bg-BG"/>
              </w:rPr>
              <w:t>Наименование на индикатора</w:t>
            </w:r>
          </w:p>
        </w:tc>
        <w:tc>
          <w:tcPr>
            <w:tcW w:w="992" w:type="dxa"/>
            <w:vMerge/>
            <w:tcBorders>
              <w:bottom w:val="single" w:sz="4" w:space="0" w:color="auto"/>
            </w:tcBorders>
            <w:shd w:val="clear" w:color="auto" w:fill="F2F2F2" w:themeFill="background1" w:themeFillShade="F2"/>
            <w:vAlign w:val="center"/>
            <w:hideMark/>
          </w:tcPr>
          <w:p w:rsidR="00756BA7" w:rsidRPr="00B015A3" w:rsidRDefault="00756BA7" w:rsidP="00064BF8">
            <w:pPr>
              <w:spacing w:after="0"/>
              <w:jc w:val="center"/>
              <w:rPr>
                <w:rFonts w:eastAsia="Times New Roman" w:cs="Times New Roman"/>
                <w:b/>
                <w:bCs/>
                <w:i/>
                <w:iCs/>
                <w:color w:val="000000"/>
                <w:sz w:val="18"/>
                <w:szCs w:val="18"/>
                <w:lang w:eastAsia="bg-BG"/>
              </w:rPr>
            </w:pPr>
          </w:p>
        </w:tc>
        <w:tc>
          <w:tcPr>
            <w:tcW w:w="1402" w:type="dxa"/>
            <w:tcBorders>
              <w:top w:val="single" w:sz="4" w:space="0" w:color="auto"/>
              <w:bottom w:val="single" w:sz="4" w:space="0" w:color="auto"/>
            </w:tcBorders>
            <w:vAlign w:val="center"/>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Програма</w:t>
            </w:r>
          </w:p>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2019 г.</w:t>
            </w:r>
          </w:p>
        </w:tc>
        <w:tc>
          <w:tcPr>
            <w:tcW w:w="988" w:type="dxa"/>
            <w:tcBorders>
              <w:top w:val="single" w:sz="4" w:space="0" w:color="auto"/>
              <w:bottom w:val="single" w:sz="4" w:space="0" w:color="auto"/>
            </w:tcBorders>
            <w:vAlign w:val="center"/>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Проект 2020 г.</w:t>
            </w:r>
          </w:p>
        </w:tc>
        <w:tc>
          <w:tcPr>
            <w:tcW w:w="1134" w:type="dxa"/>
            <w:tcBorders>
              <w:top w:val="single" w:sz="4" w:space="0" w:color="auto"/>
              <w:bottom w:val="single" w:sz="4" w:space="0" w:color="auto"/>
            </w:tcBorders>
            <w:vAlign w:val="center"/>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Прогноза 2021 г.</w:t>
            </w:r>
          </w:p>
        </w:tc>
        <w:tc>
          <w:tcPr>
            <w:tcW w:w="1074" w:type="dxa"/>
            <w:tcBorders>
              <w:top w:val="single" w:sz="4" w:space="0" w:color="auto"/>
              <w:bottom w:val="single" w:sz="4" w:space="0" w:color="auto"/>
            </w:tcBorders>
            <w:vAlign w:val="center"/>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Прогноза 2022 г.</w:t>
            </w:r>
          </w:p>
        </w:tc>
      </w:tr>
      <w:tr w:rsidR="00756BA7" w:rsidRPr="00B015A3" w:rsidTr="00A14763">
        <w:trPr>
          <w:trHeight w:val="60"/>
          <w:jc w:val="center"/>
        </w:trPr>
        <w:tc>
          <w:tcPr>
            <w:tcW w:w="3893" w:type="dxa"/>
            <w:tcBorders>
              <w:top w:val="single" w:sz="4" w:space="0" w:color="auto"/>
              <w:bottom w:val="nil"/>
            </w:tcBorders>
            <w:vAlign w:val="center"/>
            <w:hideMark/>
          </w:tcPr>
          <w:p w:rsidR="00756BA7" w:rsidRPr="00B015A3" w:rsidRDefault="00756BA7" w:rsidP="00064BF8">
            <w:pPr>
              <w:widowControl w:val="0"/>
              <w:autoSpaceDE w:val="0"/>
              <w:autoSpaceDN w:val="0"/>
              <w:adjustRightInd w:val="0"/>
              <w:spacing w:after="0"/>
              <w:rPr>
                <w:rFonts w:asciiTheme="majorHAnsi" w:eastAsia="Times New Roman" w:hAnsiTheme="majorHAnsi" w:cstheme="majorHAnsi"/>
                <w:sz w:val="18"/>
                <w:szCs w:val="18"/>
              </w:rPr>
            </w:pPr>
            <w:r w:rsidRPr="00B015A3">
              <w:rPr>
                <w:rFonts w:asciiTheme="majorHAnsi" w:eastAsia="Times New Roman" w:hAnsiTheme="majorHAnsi" w:cstheme="majorHAnsi"/>
                <w:sz w:val="18"/>
                <w:szCs w:val="18"/>
              </w:rPr>
              <w:t>1. Брой изготвени законопроекти и подзаконови нормативни актове, които осигуряват нормативната основа за функциониране на съдебната власт, включително, свързани с въвеждането, изпълнението и прилагането на актове на ЕС в о</w:t>
            </w:r>
            <w:r>
              <w:rPr>
                <w:rFonts w:asciiTheme="majorHAnsi" w:eastAsia="Times New Roman" w:hAnsiTheme="majorHAnsi" w:cstheme="majorHAnsi"/>
                <w:sz w:val="18"/>
                <w:szCs w:val="18"/>
              </w:rPr>
              <w:t>бластите от компетентност на МП</w:t>
            </w:r>
          </w:p>
        </w:tc>
        <w:tc>
          <w:tcPr>
            <w:tcW w:w="992" w:type="dxa"/>
            <w:tcBorders>
              <w:top w:val="single" w:sz="4" w:space="0" w:color="auto"/>
              <w:bottom w:val="nil"/>
            </w:tcBorders>
            <w:shd w:val="clear" w:color="auto" w:fill="F2F2F2" w:themeFill="background1" w:themeFillShade="F2"/>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Брой</w:t>
            </w:r>
          </w:p>
        </w:tc>
        <w:tc>
          <w:tcPr>
            <w:tcW w:w="1402" w:type="dxa"/>
            <w:tcBorders>
              <w:top w:val="single" w:sz="4" w:space="0" w:color="auto"/>
              <w:bottom w:val="nil"/>
            </w:tcBorders>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8</w:t>
            </w:r>
          </w:p>
        </w:tc>
        <w:tc>
          <w:tcPr>
            <w:tcW w:w="988" w:type="dxa"/>
            <w:tcBorders>
              <w:top w:val="single" w:sz="4" w:space="0" w:color="auto"/>
              <w:bottom w:val="nil"/>
            </w:tcBorders>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8</w:t>
            </w:r>
          </w:p>
        </w:tc>
        <w:tc>
          <w:tcPr>
            <w:tcW w:w="1134" w:type="dxa"/>
            <w:tcBorders>
              <w:top w:val="single" w:sz="4" w:space="0" w:color="auto"/>
              <w:bottom w:val="nil"/>
            </w:tcBorders>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8</w:t>
            </w:r>
          </w:p>
        </w:tc>
        <w:tc>
          <w:tcPr>
            <w:tcW w:w="1074" w:type="dxa"/>
            <w:tcBorders>
              <w:top w:val="single" w:sz="4" w:space="0" w:color="auto"/>
              <w:bottom w:val="nil"/>
            </w:tcBorders>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8</w:t>
            </w:r>
          </w:p>
        </w:tc>
      </w:tr>
      <w:tr w:rsidR="00756BA7" w:rsidRPr="00B015A3" w:rsidTr="00DC7E7A">
        <w:trPr>
          <w:trHeight w:val="129"/>
          <w:jc w:val="center"/>
        </w:trPr>
        <w:tc>
          <w:tcPr>
            <w:tcW w:w="3893" w:type="dxa"/>
            <w:tcBorders>
              <w:top w:val="nil"/>
            </w:tcBorders>
            <w:vAlign w:val="center"/>
            <w:hideMark/>
          </w:tcPr>
          <w:p w:rsidR="00756BA7" w:rsidRPr="00B015A3" w:rsidRDefault="00756BA7"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2</w:t>
            </w:r>
            <w:r w:rsidRPr="00B015A3">
              <w:rPr>
                <w:rFonts w:asciiTheme="majorHAnsi" w:eastAsia="Times New Roman" w:hAnsiTheme="majorHAnsi" w:cstheme="majorHAnsi"/>
                <w:sz w:val="18"/>
                <w:szCs w:val="18"/>
              </w:rPr>
              <w:t>.Анализ на прилагането на Наказателния кодекс и оценка на изпълнението на Концепцията за наказателната политика 2010-2014г.</w:t>
            </w:r>
          </w:p>
        </w:tc>
        <w:tc>
          <w:tcPr>
            <w:tcW w:w="992" w:type="dxa"/>
            <w:tcBorders>
              <w:top w:val="nil"/>
            </w:tcBorders>
            <w:shd w:val="clear" w:color="auto" w:fill="F2F2F2" w:themeFill="background1" w:themeFillShade="F2"/>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1402" w:type="dxa"/>
            <w:tcBorders>
              <w:top w:val="nil"/>
            </w:tcBorders>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988" w:type="dxa"/>
            <w:tcBorders>
              <w:top w:val="nil"/>
            </w:tcBorders>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1134" w:type="dxa"/>
            <w:tcBorders>
              <w:top w:val="nil"/>
            </w:tcBorders>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1074" w:type="dxa"/>
            <w:tcBorders>
              <w:top w:val="nil"/>
            </w:tcBorders>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r>
      <w:tr w:rsidR="00756BA7" w:rsidRPr="00B015A3" w:rsidTr="00064BF8">
        <w:trPr>
          <w:trHeight w:val="313"/>
          <w:jc w:val="center"/>
        </w:trPr>
        <w:tc>
          <w:tcPr>
            <w:tcW w:w="3893" w:type="dxa"/>
            <w:vAlign w:val="center"/>
            <w:hideMark/>
          </w:tcPr>
          <w:p w:rsidR="00756BA7" w:rsidRPr="00B015A3" w:rsidRDefault="00756BA7"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3</w:t>
            </w:r>
            <w:r w:rsidRPr="00B015A3">
              <w:rPr>
                <w:rFonts w:asciiTheme="majorHAnsi" w:eastAsia="Times New Roman" w:hAnsiTheme="majorHAnsi" w:cstheme="majorHAnsi"/>
                <w:sz w:val="18"/>
                <w:szCs w:val="18"/>
              </w:rPr>
              <w:t>. Разработване на нова Концепция за наказателна политика</w:t>
            </w:r>
          </w:p>
        </w:tc>
        <w:tc>
          <w:tcPr>
            <w:tcW w:w="992" w:type="dxa"/>
            <w:shd w:val="clear" w:color="auto" w:fill="F2F2F2" w:themeFill="background1" w:themeFillShade="F2"/>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Брой</w:t>
            </w:r>
          </w:p>
        </w:tc>
        <w:tc>
          <w:tcPr>
            <w:tcW w:w="1402" w:type="dxa"/>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988"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113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107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r>
      <w:tr w:rsidR="00756BA7" w:rsidRPr="00B015A3" w:rsidTr="00064BF8">
        <w:trPr>
          <w:trHeight w:val="101"/>
          <w:jc w:val="center"/>
        </w:trPr>
        <w:tc>
          <w:tcPr>
            <w:tcW w:w="3893" w:type="dxa"/>
            <w:vAlign w:val="center"/>
            <w:hideMark/>
          </w:tcPr>
          <w:p w:rsidR="00756BA7" w:rsidRPr="00B015A3" w:rsidRDefault="00756BA7"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4</w:t>
            </w:r>
            <w:r w:rsidRPr="00B015A3">
              <w:rPr>
                <w:rFonts w:asciiTheme="majorHAnsi" w:eastAsia="Times New Roman" w:hAnsiTheme="majorHAnsi" w:cstheme="majorHAnsi"/>
                <w:sz w:val="18"/>
                <w:szCs w:val="18"/>
              </w:rPr>
              <w:t>. Брой свързани регистри за изграждане на интег</w:t>
            </w:r>
            <w:r>
              <w:rPr>
                <w:rFonts w:asciiTheme="majorHAnsi" w:eastAsia="Times New Roman" w:hAnsiTheme="majorHAnsi" w:cstheme="majorHAnsi"/>
                <w:sz w:val="18"/>
                <w:szCs w:val="18"/>
              </w:rPr>
              <w:t>рирана свързаност на регистрите</w:t>
            </w:r>
          </w:p>
        </w:tc>
        <w:tc>
          <w:tcPr>
            <w:tcW w:w="992" w:type="dxa"/>
            <w:shd w:val="clear" w:color="auto" w:fill="F2F2F2" w:themeFill="background1" w:themeFillShade="F2"/>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Брой</w:t>
            </w:r>
          </w:p>
        </w:tc>
        <w:tc>
          <w:tcPr>
            <w:tcW w:w="1402" w:type="dxa"/>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w:t>
            </w:r>
          </w:p>
        </w:tc>
        <w:tc>
          <w:tcPr>
            <w:tcW w:w="988"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2</w:t>
            </w:r>
          </w:p>
        </w:tc>
        <w:tc>
          <w:tcPr>
            <w:tcW w:w="113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107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r>
      <w:tr w:rsidR="00756BA7" w:rsidRPr="00B015A3" w:rsidTr="00064BF8">
        <w:trPr>
          <w:trHeight w:val="70"/>
          <w:jc w:val="center"/>
        </w:trPr>
        <w:tc>
          <w:tcPr>
            <w:tcW w:w="3893" w:type="dxa"/>
            <w:vAlign w:val="center"/>
            <w:hideMark/>
          </w:tcPr>
          <w:p w:rsidR="00756BA7" w:rsidRPr="00B015A3" w:rsidRDefault="00756BA7"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5</w:t>
            </w:r>
            <w:r w:rsidRPr="00B015A3">
              <w:rPr>
                <w:rFonts w:asciiTheme="majorHAnsi" w:eastAsia="Times New Roman" w:hAnsiTheme="majorHAnsi" w:cstheme="majorHAnsi"/>
                <w:sz w:val="18"/>
                <w:szCs w:val="18"/>
              </w:rPr>
              <w:t>. Брой реализирани нови фун</w:t>
            </w:r>
            <w:r>
              <w:rPr>
                <w:rFonts w:asciiTheme="majorHAnsi" w:eastAsia="Times New Roman" w:hAnsiTheme="majorHAnsi" w:cstheme="majorHAnsi"/>
                <w:sz w:val="18"/>
                <w:szCs w:val="18"/>
              </w:rPr>
              <w:t>кционалности в Имотния регистър</w:t>
            </w:r>
          </w:p>
        </w:tc>
        <w:tc>
          <w:tcPr>
            <w:tcW w:w="992" w:type="dxa"/>
            <w:shd w:val="clear" w:color="auto" w:fill="F2F2F2" w:themeFill="background1" w:themeFillShade="F2"/>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Брой</w:t>
            </w:r>
          </w:p>
        </w:tc>
        <w:tc>
          <w:tcPr>
            <w:tcW w:w="1402" w:type="dxa"/>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11</w:t>
            </w:r>
          </w:p>
        </w:tc>
        <w:tc>
          <w:tcPr>
            <w:tcW w:w="988"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113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107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r>
      <w:tr w:rsidR="00756BA7" w:rsidRPr="00B015A3" w:rsidTr="00064BF8">
        <w:trPr>
          <w:trHeight w:val="70"/>
          <w:jc w:val="center"/>
        </w:trPr>
        <w:tc>
          <w:tcPr>
            <w:tcW w:w="3893" w:type="dxa"/>
            <w:vAlign w:val="center"/>
            <w:hideMark/>
          </w:tcPr>
          <w:p w:rsidR="00756BA7" w:rsidRPr="00B015A3" w:rsidRDefault="00756BA7"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6</w:t>
            </w:r>
            <w:r w:rsidRPr="00B015A3">
              <w:rPr>
                <w:rFonts w:asciiTheme="majorHAnsi" w:eastAsia="Times New Roman" w:hAnsiTheme="majorHAnsi" w:cstheme="majorHAnsi"/>
                <w:sz w:val="18"/>
                <w:szCs w:val="18"/>
              </w:rPr>
              <w:t>. Брой нови електрон</w:t>
            </w:r>
            <w:r>
              <w:rPr>
                <w:rFonts w:asciiTheme="majorHAnsi" w:eastAsia="Times New Roman" w:hAnsiTheme="majorHAnsi" w:cstheme="majorHAnsi"/>
                <w:sz w:val="18"/>
                <w:szCs w:val="18"/>
              </w:rPr>
              <w:t>ни услуги в Търговския регистър</w:t>
            </w:r>
          </w:p>
        </w:tc>
        <w:tc>
          <w:tcPr>
            <w:tcW w:w="992" w:type="dxa"/>
            <w:shd w:val="clear" w:color="auto" w:fill="F2F2F2" w:themeFill="background1" w:themeFillShade="F2"/>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Брой</w:t>
            </w:r>
          </w:p>
        </w:tc>
        <w:tc>
          <w:tcPr>
            <w:tcW w:w="1402" w:type="dxa"/>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18</w:t>
            </w:r>
          </w:p>
        </w:tc>
        <w:tc>
          <w:tcPr>
            <w:tcW w:w="988"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113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107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r>
      <w:tr w:rsidR="00756BA7" w:rsidRPr="00B015A3" w:rsidTr="00064BF8">
        <w:trPr>
          <w:trHeight w:val="483"/>
          <w:jc w:val="center"/>
        </w:trPr>
        <w:tc>
          <w:tcPr>
            <w:tcW w:w="3893" w:type="dxa"/>
            <w:vAlign w:val="center"/>
            <w:hideMark/>
          </w:tcPr>
          <w:p w:rsidR="00756BA7" w:rsidRPr="00B015A3" w:rsidRDefault="00756BA7" w:rsidP="00064BF8">
            <w:pPr>
              <w:widowControl w:val="0"/>
              <w:autoSpaceDE w:val="0"/>
              <w:autoSpaceDN w:val="0"/>
              <w:adjustRightInd w:val="0"/>
              <w:spacing w:after="0"/>
              <w:rPr>
                <w:rFonts w:asciiTheme="majorHAnsi" w:eastAsia="Times New Roman" w:hAnsiTheme="majorHAnsi" w:cstheme="majorHAnsi"/>
                <w:sz w:val="18"/>
                <w:szCs w:val="18"/>
              </w:rPr>
            </w:pPr>
            <w:r>
              <w:rPr>
                <w:rFonts w:asciiTheme="majorHAnsi" w:eastAsia="Times New Roman" w:hAnsiTheme="majorHAnsi" w:cstheme="majorHAnsi"/>
                <w:sz w:val="18"/>
                <w:szCs w:val="18"/>
              </w:rPr>
              <w:t>7</w:t>
            </w:r>
            <w:r w:rsidRPr="00B015A3">
              <w:rPr>
                <w:rFonts w:asciiTheme="majorHAnsi" w:eastAsia="Times New Roman" w:hAnsiTheme="majorHAnsi" w:cstheme="majorHAnsi"/>
                <w:sz w:val="18"/>
                <w:szCs w:val="18"/>
              </w:rPr>
              <w:t>. Изграждане на регистър на действителните собственици</w:t>
            </w:r>
          </w:p>
        </w:tc>
        <w:tc>
          <w:tcPr>
            <w:tcW w:w="992" w:type="dxa"/>
            <w:shd w:val="clear" w:color="auto" w:fill="F2F2F2" w:themeFill="background1" w:themeFillShade="F2"/>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1402" w:type="dxa"/>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988"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113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1074" w:type="dxa"/>
            <w:noWrap/>
            <w:vAlign w:val="center"/>
            <w:hideMark/>
          </w:tcPr>
          <w:p w:rsidR="00756BA7" w:rsidRPr="000D1B2A" w:rsidRDefault="00756BA7" w:rsidP="00064BF8">
            <w:pPr>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r>
    </w:tbl>
    <w:p w:rsidR="0091629A" w:rsidRDefault="0091629A" w:rsidP="00E7639F">
      <w:pPr>
        <w:widowControl w:val="0"/>
        <w:autoSpaceDE w:val="0"/>
        <w:autoSpaceDN w:val="0"/>
        <w:adjustRightInd w:val="0"/>
        <w:spacing w:after="120"/>
        <w:ind w:right="-8"/>
        <w:jc w:val="left"/>
        <w:rPr>
          <w:rFonts w:eastAsia="Times New Roman" w:cs="Times New Roman"/>
          <w:b/>
          <w:bCs/>
          <w:sz w:val="20"/>
          <w:szCs w:val="20"/>
        </w:rPr>
      </w:pPr>
    </w:p>
    <w:p w:rsidR="00E7639F" w:rsidRPr="00307B52" w:rsidRDefault="00E7639F" w:rsidP="00E7639F">
      <w:pPr>
        <w:pStyle w:val="Heading4"/>
        <w:rPr>
          <w:rFonts w:eastAsia="Times New Roman"/>
        </w:rPr>
      </w:pPr>
      <w:r w:rsidRPr="00307B52">
        <w:rPr>
          <w:rFonts w:eastAsia="Times New Roman"/>
        </w:rPr>
        <w:t xml:space="preserve"> Политика в областта на изпълнение на наказанията </w:t>
      </w:r>
    </w:p>
    <w:p w:rsidR="0091629A" w:rsidRDefault="0091629A" w:rsidP="0091629A">
      <w:pPr>
        <w:spacing w:before="120" w:after="0"/>
      </w:pPr>
    </w:p>
    <w:p w:rsidR="00756BA7" w:rsidRPr="00B6291A" w:rsidRDefault="00756BA7" w:rsidP="00756BA7">
      <w:pPr>
        <w:spacing w:before="120" w:after="0"/>
        <w:rPr>
          <w:rFonts w:eastAsia="Times New Roman"/>
          <w:szCs w:val="24"/>
        </w:rPr>
      </w:pPr>
      <w:r w:rsidRPr="004518BE">
        <w:rPr>
          <w:rFonts w:eastAsia="Times New Roman"/>
          <w:szCs w:val="24"/>
        </w:rPr>
        <w:t>Политиката по изпълнение на наказанията</w:t>
      </w:r>
      <w:r w:rsidRPr="00B6291A">
        <w:rPr>
          <w:rFonts w:eastAsia="Times New Roman"/>
          <w:szCs w:val="24"/>
        </w:rPr>
        <w:t xml:space="preserve"> e насочена към по-нататъшното развитие, усъвършенстване и демократизиране на институциите на наказател</w:t>
      </w:r>
      <w:r>
        <w:rPr>
          <w:rFonts w:eastAsia="Times New Roman"/>
          <w:szCs w:val="24"/>
        </w:rPr>
        <w:t xml:space="preserve">но-изпълнителната система, като необходима предпоставка </w:t>
      </w:r>
      <w:r w:rsidRPr="00B6291A">
        <w:rPr>
          <w:rFonts w:eastAsia="Times New Roman"/>
          <w:szCs w:val="24"/>
        </w:rPr>
        <w:t>за хуманно третиране на закононарушителите и гаранция за спазването на правата на човека.</w:t>
      </w:r>
    </w:p>
    <w:p w:rsidR="00756BA7" w:rsidRPr="00B6291A" w:rsidRDefault="00756BA7" w:rsidP="00756BA7">
      <w:pPr>
        <w:spacing w:before="120" w:after="0"/>
        <w:rPr>
          <w:rFonts w:eastAsia="Times New Roman"/>
          <w:szCs w:val="24"/>
        </w:rPr>
      </w:pPr>
      <w:r w:rsidRPr="00B6291A">
        <w:rPr>
          <w:rFonts w:eastAsia="Times New Roman"/>
          <w:szCs w:val="24"/>
        </w:rPr>
        <w:t>Политиката в наказателно</w:t>
      </w:r>
      <w:r>
        <w:rPr>
          <w:rFonts w:eastAsia="Times New Roman"/>
          <w:szCs w:val="24"/>
        </w:rPr>
        <w:t>-изпълнителната дейност цели</w:t>
      </w:r>
      <w:r w:rsidRPr="00B6291A">
        <w:rPr>
          <w:rFonts w:eastAsia="Times New Roman"/>
          <w:szCs w:val="24"/>
        </w:rPr>
        <w:t xml:space="preserve"> утвърждаването на съвременен модел на управление и развитие на пенитенциарната система, в съответствие с международните минимални стандарти, приети за местата за задържане и Европейските правила за затворите. </w:t>
      </w:r>
    </w:p>
    <w:p w:rsidR="00756BA7" w:rsidRDefault="00756BA7" w:rsidP="00756BA7">
      <w:pPr>
        <w:spacing w:before="120" w:after="0"/>
        <w:rPr>
          <w:rFonts w:eastAsia="Times New Roman"/>
          <w:szCs w:val="24"/>
        </w:rPr>
      </w:pPr>
      <w:r w:rsidRPr="00B6291A">
        <w:rPr>
          <w:rFonts w:eastAsia="Times New Roman"/>
          <w:szCs w:val="24"/>
        </w:rPr>
        <w:t>Дейността по изпълнение на наказанията е изцяло ориентирана към реформиране на пенитенциарните заведения и към създаването на условия в тях за поправянето и ресоциализацията на осъ</w:t>
      </w:r>
      <w:r>
        <w:rPr>
          <w:rFonts w:eastAsia="Times New Roman"/>
          <w:szCs w:val="24"/>
        </w:rPr>
        <w:t xml:space="preserve">дените лица. Основната й цел е </w:t>
      </w:r>
      <w:r w:rsidRPr="00B6291A">
        <w:rPr>
          <w:rFonts w:eastAsia="Times New Roman"/>
          <w:szCs w:val="24"/>
        </w:rPr>
        <w:t>да осигури защита на обществото от правонарушителите, да гарантира правата и свободите на лишените от свобода и възможностите за тяхната социална рехабилитация.</w:t>
      </w:r>
    </w:p>
    <w:p w:rsidR="00756BA7" w:rsidRDefault="00756BA7" w:rsidP="00756BA7">
      <w:pPr>
        <w:spacing w:before="120" w:after="0"/>
        <w:rPr>
          <w:rFonts w:eastAsia="Times New Roman"/>
          <w:szCs w:val="24"/>
        </w:rPr>
      </w:pPr>
      <w:r>
        <w:rPr>
          <w:rFonts w:eastAsia="Times New Roman"/>
          <w:szCs w:val="24"/>
        </w:rPr>
        <w:t>Отговорната структура за изпълнението на политика в областта на изпълнение на наказанията е Главна дирекция „Изпълнение на наказанията“.</w:t>
      </w:r>
    </w:p>
    <w:p w:rsidR="00756BA7" w:rsidRPr="00B6291A" w:rsidRDefault="00756BA7" w:rsidP="00756BA7">
      <w:pPr>
        <w:spacing w:before="120" w:after="0"/>
        <w:rPr>
          <w:rFonts w:eastAsia="Times New Roman"/>
          <w:szCs w:val="24"/>
        </w:rPr>
      </w:pPr>
      <w:r>
        <w:rPr>
          <w:rFonts w:eastAsia="Times New Roman"/>
          <w:szCs w:val="24"/>
        </w:rPr>
        <w:t>Индикаторите по политиката по изпълнение на наказанията са насочени към постигане на реформиране на пенитенциарната система и хуманизиране изпълнението на наказанията, повишаване на сигурността на затворите и следствените арести чрез внедряването на съвременни и модерни технически средства за наблюдение и контрол, охрана и управление, както и по-интензивно прилагане на програмите за обществено въздействие в пробационните служби, и са както следва:</w:t>
      </w:r>
    </w:p>
    <w:p w:rsidR="00264ABB" w:rsidRDefault="00264ABB" w:rsidP="00E7639F">
      <w:pPr>
        <w:rPr>
          <w:highlight w:val="yellow"/>
        </w:rPr>
      </w:pPr>
    </w:p>
    <w:p w:rsidR="0091629A" w:rsidRDefault="00E7639F" w:rsidP="0091629A">
      <w:pPr>
        <w:widowControl w:val="0"/>
        <w:autoSpaceDE w:val="0"/>
        <w:autoSpaceDN w:val="0"/>
        <w:adjustRightInd w:val="0"/>
        <w:spacing w:after="120"/>
        <w:ind w:right="-8"/>
        <w:jc w:val="left"/>
        <w:rPr>
          <w:rFonts w:eastAsia="Times New Roman" w:cs="Times New Roman"/>
          <w:b/>
          <w:bCs/>
          <w:sz w:val="20"/>
          <w:szCs w:val="20"/>
        </w:rPr>
      </w:pPr>
      <w:r w:rsidRPr="002C0F8C">
        <w:rPr>
          <w:rFonts w:eastAsia="Times New Roman" w:cs="Times New Roman"/>
          <w:b/>
          <w:bCs/>
          <w:sz w:val="20"/>
          <w:szCs w:val="20"/>
        </w:rPr>
        <w:t>КЛЮЧОВИ ИНДИКАТОРИ ЗА ИЗПЪЛНЕНИЕ И ЦЕЛЕВИ СТОЙНОСТИ</w:t>
      </w:r>
    </w:p>
    <w:tbl>
      <w:tblPr>
        <w:tblStyle w:val="TableGrid2"/>
        <w:tblW w:w="9605"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992"/>
        <w:gridCol w:w="1134"/>
        <w:gridCol w:w="1417"/>
        <w:gridCol w:w="1417"/>
        <w:gridCol w:w="1135"/>
        <w:gridCol w:w="141"/>
      </w:tblGrid>
      <w:tr w:rsidR="00756BA7" w:rsidRPr="00B015A3" w:rsidTr="00F11BBA">
        <w:trPr>
          <w:trHeight w:val="60"/>
          <w:tblHeader/>
        </w:trPr>
        <w:tc>
          <w:tcPr>
            <w:tcW w:w="3369" w:type="dxa"/>
            <w:tcBorders>
              <w:top w:val="single" w:sz="4" w:space="0" w:color="auto"/>
              <w:bottom w:val="nil"/>
            </w:tcBorders>
            <w:vAlign w:val="center"/>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Политика в областта на изпълнение на наказанията</w:t>
            </w:r>
          </w:p>
        </w:tc>
        <w:tc>
          <w:tcPr>
            <w:tcW w:w="992" w:type="dxa"/>
            <w:vMerge w:val="restart"/>
            <w:tcBorders>
              <w:top w:val="single" w:sz="4" w:space="0" w:color="auto"/>
            </w:tcBorders>
            <w:shd w:val="clear" w:color="auto" w:fill="F2F2F2" w:themeFill="background1" w:themeFillShade="F2"/>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 </w:t>
            </w:r>
          </w:p>
          <w:p w:rsidR="00756BA7" w:rsidRPr="002C7884" w:rsidRDefault="00756BA7" w:rsidP="00064BF8">
            <w:pPr>
              <w:spacing w:after="0"/>
              <w:jc w:val="center"/>
              <w:rPr>
                <w:rFonts w:eastAsia="Times New Roman" w:cs="Times New Roman"/>
                <w:b/>
                <w:bCs/>
                <w:iCs/>
                <w:color w:val="000000"/>
                <w:sz w:val="18"/>
                <w:szCs w:val="18"/>
                <w:lang w:eastAsia="bg-BG"/>
              </w:rPr>
            </w:pPr>
            <w:r w:rsidRPr="002C7884">
              <w:rPr>
                <w:rFonts w:eastAsia="Times New Roman" w:cs="Times New Roman"/>
                <w:b/>
                <w:bCs/>
                <w:iCs/>
                <w:color w:val="000000"/>
                <w:sz w:val="18"/>
                <w:szCs w:val="18"/>
                <w:lang w:eastAsia="bg-BG"/>
              </w:rPr>
              <w:t>Мерна  единица</w:t>
            </w:r>
          </w:p>
        </w:tc>
        <w:tc>
          <w:tcPr>
            <w:tcW w:w="5244" w:type="dxa"/>
            <w:gridSpan w:val="5"/>
            <w:tcBorders>
              <w:top w:val="single" w:sz="4" w:space="0" w:color="auto"/>
              <w:bottom w:val="nil"/>
            </w:tcBorders>
            <w:hideMark/>
          </w:tcPr>
          <w:p w:rsidR="00756BA7" w:rsidRPr="00756BA7" w:rsidRDefault="00756BA7" w:rsidP="00064BF8">
            <w:pPr>
              <w:spacing w:after="0"/>
              <w:jc w:val="center"/>
              <w:rPr>
                <w:rFonts w:eastAsia="Times New Roman" w:cs="Times New Roman"/>
                <w:b/>
                <w:bCs/>
                <w:iCs/>
                <w:color w:val="000000"/>
                <w:sz w:val="18"/>
                <w:szCs w:val="18"/>
                <w:lang w:eastAsia="bg-BG"/>
              </w:rPr>
            </w:pPr>
            <w:r w:rsidRPr="00756BA7">
              <w:rPr>
                <w:rFonts w:eastAsia="Times New Roman" w:cs="Times New Roman"/>
                <w:b/>
                <w:bCs/>
                <w:iCs/>
                <w:color w:val="000000"/>
                <w:sz w:val="18"/>
                <w:szCs w:val="18"/>
                <w:lang w:eastAsia="bg-BG"/>
              </w:rPr>
              <w:t>Целева стойност</w:t>
            </w:r>
          </w:p>
        </w:tc>
      </w:tr>
      <w:tr w:rsidR="00756BA7" w:rsidRPr="00B015A3" w:rsidTr="00F11BBA">
        <w:trPr>
          <w:gridAfter w:val="1"/>
          <w:wAfter w:w="141" w:type="dxa"/>
          <w:trHeight w:val="450"/>
          <w:tblHeader/>
        </w:trPr>
        <w:tc>
          <w:tcPr>
            <w:tcW w:w="3369" w:type="dxa"/>
            <w:tcBorders>
              <w:top w:val="nil"/>
              <w:bottom w:val="single" w:sz="4" w:space="0" w:color="auto"/>
            </w:tcBorders>
            <w:vAlign w:val="center"/>
            <w:hideMark/>
          </w:tcPr>
          <w:p w:rsidR="00756BA7" w:rsidRPr="00DB1977" w:rsidRDefault="00756BA7" w:rsidP="00064BF8">
            <w:pPr>
              <w:spacing w:after="0"/>
              <w:jc w:val="center"/>
              <w:rPr>
                <w:rFonts w:eastAsia="Times New Roman" w:cs="Times New Roman"/>
                <w:b/>
                <w:bCs/>
                <w:iCs/>
                <w:color w:val="000000"/>
                <w:sz w:val="18"/>
                <w:szCs w:val="18"/>
                <w:lang w:eastAsia="bg-BG"/>
              </w:rPr>
            </w:pPr>
            <w:r w:rsidRPr="00DB1977">
              <w:rPr>
                <w:rFonts w:eastAsia="Times New Roman" w:cs="Times New Roman"/>
                <w:b/>
                <w:bCs/>
                <w:iCs/>
                <w:color w:val="000000"/>
                <w:sz w:val="18"/>
                <w:szCs w:val="18"/>
                <w:lang w:eastAsia="bg-BG"/>
              </w:rPr>
              <w:t>Наименование на индикатора</w:t>
            </w:r>
          </w:p>
        </w:tc>
        <w:tc>
          <w:tcPr>
            <w:tcW w:w="992" w:type="dxa"/>
            <w:vMerge/>
            <w:tcBorders>
              <w:bottom w:val="single" w:sz="4" w:space="0" w:color="auto"/>
            </w:tcBorders>
            <w:shd w:val="clear" w:color="auto" w:fill="F2F2F2" w:themeFill="background1" w:themeFillShade="F2"/>
            <w:hideMark/>
          </w:tcPr>
          <w:p w:rsidR="00756BA7" w:rsidRPr="00B015A3" w:rsidRDefault="00756BA7" w:rsidP="00064BF8">
            <w:pPr>
              <w:spacing w:after="0"/>
              <w:jc w:val="center"/>
              <w:rPr>
                <w:rFonts w:eastAsia="Times New Roman" w:cs="Times New Roman"/>
                <w:b/>
                <w:bCs/>
                <w:i/>
                <w:iCs/>
                <w:color w:val="000000"/>
                <w:sz w:val="18"/>
                <w:szCs w:val="18"/>
                <w:lang w:eastAsia="bg-BG"/>
              </w:rPr>
            </w:pPr>
          </w:p>
        </w:tc>
        <w:tc>
          <w:tcPr>
            <w:tcW w:w="1134" w:type="dxa"/>
            <w:tcBorders>
              <w:top w:val="single" w:sz="4" w:space="0" w:color="auto"/>
              <w:bottom w:val="single" w:sz="4" w:space="0" w:color="auto"/>
            </w:tcBorders>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Програма 2019 г.</w:t>
            </w:r>
          </w:p>
        </w:tc>
        <w:tc>
          <w:tcPr>
            <w:tcW w:w="1417" w:type="dxa"/>
            <w:tcBorders>
              <w:top w:val="single" w:sz="4" w:space="0" w:color="auto"/>
              <w:bottom w:val="single" w:sz="4" w:space="0" w:color="auto"/>
            </w:tcBorders>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 xml:space="preserve">Проект </w:t>
            </w:r>
            <w:r w:rsidRPr="00B015A3">
              <w:rPr>
                <w:rFonts w:eastAsia="Times New Roman" w:cs="Times New Roman"/>
                <w:b/>
                <w:bCs/>
                <w:i/>
                <w:iCs/>
                <w:color w:val="000000"/>
                <w:sz w:val="18"/>
                <w:szCs w:val="18"/>
                <w:lang w:eastAsia="bg-BG"/>
              </w:rPr>
              <w:br/>
              <w:t>2020 г.</w:t>
            </w:r>
          </w:p>
        </w:tc>
        <w:tc>
          <w:tcPr>
            <w:tcW w:w="1417" w:type="dxa"/>
            <w:tcBorders>
              <w:top w:val="single" w:sz="4" w:space="0" w:color="auto"/>
              <w:bottom w:val="single" w:sz="4" w:space="0" w:color="auto"/>
            </w:tcBorders>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 xml:space="preserve">Прогноза </w:t>
            </w:r>
            <w:r w:rsidRPr="00B015A3">
              <w:rPr>
                <w:rFonts w:eastAsia="Times New Roman" w:cs="Times New Roman"/>
                <w:b/>
                <w:bCs/>
                <w:i/>
                <w:iCs/>
                <w:color w:val="000000"/>
                <w:sz w:val="18"/>
                <w:szCs w:val="18"/>
                <w:lang w:eastAsia="bg-BG"/>
              </w:rPr>
              <w:br/>
              <w:t>2021 г.</w:t>
            </w:r>
          </w:p>
        </w:tc>
        <w:tc>
          <w:tcPr>
            <w:tcW w:w="1135" w:type="dxa"/>
            <w:tcBorders>
              <w:top w:val="single" w:sz="4" w:space="0" w:color="auto"/>
              <w:bottom w:val="single" w:sz="4" w:space="0" w:color="auto"/>
            </w:tcBorders>
            <w:hideMark/>
          </w:tcPr>
          <w:p w:rsidR="00756BA7" w:rsidRPr="00B015A3" w:rsidRDefault="00756BA7" w:rsidP="00064BF8">
            <w:pPr>
              <w:spacing w:after="0"/>
              <w:jc w:val="center"/>
              <w:rPr>
                <w:rFonts w:eastAsia="Times New Roman" w:cs="Times New Roman"/>
                <w:b/>
                <w:bCs/>
                <w:i/>
                <w:iCs/>
                <w:color w:val="000000"/>
                <w:sz w:val="18"/>
                <w:szCs w:val="18"/>
                <w:lang w:eastAsia="bg-BG"/>
              </w:rPr>
            </w:pPr>
            <w:r w:rsidRPr="00B015A3">
              <w:rPr>
                <w:rFonts w:eastAsia="Times New Roman" w:cs="Times New Roman"/>
                <w:b/>
                <w:bCs/>
                <w:i/>
                <w:iCs/>
                <w:color w:val="000000"/>
                <w:sz w:val="18"/>
                <w:szCs w:val="18"/>
                <w:lang w:eastAsia="bg-BG"/>
              </w:rPr>
              <w:t>Прогноза 2022 г.</w:t>
            </w:r>
          </w:p>
        </w:tc>
      </w:tr>
      <w:tr w:rsidR="00756BA7" w:rsidRPr="00B015A3" w:rsidTr="00A14763">
        <w:trPr>
          <w:gridAfter w:val="1"/>
          <w:wAfter w:w="141" w:type="dxa"/>
          <w:trHeight w:val="1005"/>
        </w:trPr>
        <w:tc>
          <w:tcPr>
            <w:tcW w:w="3369" w:type="dxa"/>
            <w:tcBorders>
              <w:top w:val="single" w:sz="4" w:space="0" w:color="auto"/>
              <w:bottom w:val="nil"/>
            </w:tcBorders>
            <w:hideMark/>
          </w:tcPr>
          <w:p w:rsidR="00756BA7" w:rsidRPr="00B015A3" w:rsidRDefault="00756BA7" w:rsidP="00064BF8">
            <w:pPr>
              <w:spacing w:after="0"/>
              <w:rPr>
                <w:rFonts w:asciiTheme="majorHAnsi" w:eastAsia="Times New Roman" w:hAnsiTheme="majorHAnsi" w:cstheme="majorHAnsi"/>
                <w:color w:val="000000"/>
                <w:sz w:val="18"/>
                <w:szCs w:val="18"/>
              </w:rPr>
            </w:pPr>
            <w:r w:rsidRPr="007D6981">
              <w:rPr>
                <w:rFonts w:asciiTheme="majorHAnsi" w:eastAsia="Times New Roman" w:hAnsiTheme="majorHAnsi" w:cstheme="majorHAnsi"/>
                <w:color w:val="000000"/>
                <w:sz w:val="18"/>
                <w:szCs w:val="18"/>
                <w:lang w:val="ru-RU"/>
              </w:rPr>
              <w:t xml:space="preserve">1. </w:t>
            </w:r>
            <w:r w:rsidRPr="00B015A3">
              <w:rPr>
                <w:rFonts w:asciiTheme="majorHAnsi" w:eastAsia="Times New Roman" w:hAnsiTheme="majorHAnsi" w:cstheme="majorHAnsi"/>
                <w:color w:val="000000"/>
                <w:sz w:val="18"/>
                <w:szCs w:val="18"/>
              </w:rPr>
              <w:t>Процент на настанените в места за лишаване от свобода, които не са в съответствие с европейските стандарти за затворите (включително 4 кв. м. на задържан)</w:t>
            </w:r>
          </w:p>
        </w:tc>
        <w:tc>
          <w:tcPr>
            <w:tcW w:w="992" w:type="dxa"/>
            <w:tcBorders>
              <w:top w:val="single" w:sz="4" w:space="0" w:color="auto"/>
              <w:bottom w:val="nil"/>
            </w:tcBorders>
            <w:shd w:val="clear" w:color="auto" w:fill="F2F2F2" w:themeFill="background1" w:themeFillShade="F2"/>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w:t>
            </w:r>
          </w:p>
        </w:tc>
        <w:tc>
          <w:tcPr>
            <w:tcW w:w="1134" w:type="dxa"/>
            <w:tcBorders>
              <w:top w:val="single" w:sz="4" w:space="0" w:color="auto"/>
              <w:bottom w:val="nil"/>
            </w:tcBorders>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lang w:val="en-US"/>
              </w:rPr>
              <w:t>5</w:t>
            </w:r>
          </w:p>
        </w:tc>
        <w:tc>
          <w:tcPr>
            <w:tcW w:w="1417" w:type="dxa"/>
            <w:tcBorders>
              <w:top w:val="single" w:sz="4" w:space="0" w:color="auto"/>
              <w:bottom w:val="nil"/>
            </w:tcBorders>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5</w:t>
            </w:r>
          </w:p>
        </w:tc>
        <w:tc>
          <w:tcPr>
            <w:tcW w:w="1417" w:type="dxa"/>
            <w:tcBorders>
              <w:top w:val="single" w:sz="4" w:space="0" w:color="auto"/>
              <w:bottom w:val="nil"/>
            </w:tcBorders>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5</w:t>
            </w:r>
          </w:p>
        </w:tc>
        <w:tc>
          <w:tcPr>
            <w:tcW w:w="1135" w:type="dxa"/>
            <w:tcBorders>
              <w:top w:val="single" w:sz="4" w:space="0" w:color="auto"/>
              <w:bottom w:val="nil"/>
            </w:tcBorders>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5</w:t>
            </w:r>
          </w:p>
        </w:tc>
      </w:tr>
      <w:tr w:rsidR="00756BA7" w:rsidRPr="00B015A3" w:rsidTr="00DC7E7A">
        <w:trPr>
          <w:gridAfter w:val="1"/>
          <w:wAfter w:w="141" w:type="dxa"/>
          <w:trHeight w:val="175"/>
        </w:trPr>
        <w:tc>
          <w:tcPr>
            <w:tcW w:w="3369" w:type="dxa"/>
            <w:tcBorders>
              <w:top w:val="nil"/>
            </w:tcBorders>
            <w:hideMark/>
          </w:tcPr>
          <w:p w:rsidR="00756BA7" w:rsidRPr="00B015A3" w:rsidRDefault="00756BA7" w:rsidP="00064BF8">
            <w:pPr>
              <w:spacing w:after="0"/>
              <w:rPr>
                <w:rFonts w:asciiTheme="majorHAnsi" w:eastAsia="Times New Roman" w:hAnsiTheme="majorHAnsi" w:cstheme="majorHAnsi"/>
                <w:color w:val="000000"/>
                <w:sz w:val="18"/>
                <w:szCs w:val="18"/>
              </w:rPr>
            </w:pPr>
            <w:r w:rsidRPr="007D6981">
              <w:rPr>
                <w:rFonts w:asciiTheme="majorHAnsi" w:eastAsia="Times New Roman" w:hAnsiTheme="majorHAnsi" w:cstheme="majorHAnsi"/>
                <w:color w:val="000000"/>
                <w:sz w:val="18"/>
                <w:szCs w:val="18"/>
                <w:lang w:val="ru-RU"/>
              </w:rPr>
              <w:t xml:space="preserve">2. </w:t>
            </w:r>
            <w:r w:rsidRPr="00B015A3">
              <w:rPr>
                <w:rFonts w:asciiTheme="majorHAnsi" w:eastAsia="Times New Roman" w:hAnsiTheme="majorHAnsi" w:cstheme="majorHAnsi"/>
                <w:color w:val="000000"/>
                <w:sz w:val="18"/>
                <w:szCs w:val="18"/>
              </w:rPr>
              <w:t>Процент на лицата в пробация, получили работа в рамките на 1 година след освобождаването им</w:t>
            </w:r>
          </w:p>
        </w:tc>
        <w:tc>
          <w:tcPr>
            <w:tcW w:w="992" w:type="dxa"/>
            <w:tcBorders>
              <w:top w:val="nil"/>
            </w:tcBorders>
            <w:shd w:val="clear" w:color="auto" w:fill="F2F2F2" w:themeFill="background1" w:themeFillShade="F2"/>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w:t>
            </w:r>
          </w:p>
        </w:tc>
        <w:tc>
          <w:tcPr>
            <w:tcW w:w="1134" w:type="dxa"/>
            <w:tcBorders>
              <w:top w:val="nil"/>
            </w:tcBorders>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lang w:val="en-US"/>
              </w:rPr>
              <w:t>28</w:t>
            </w:r>
          </w:p>
        </w:tc>
        <w:tc>
          <w:tcPr>
            <w:tcW w:w="1417" w:type="dxa"/>
            <w:tcBorders>
              <w:top w:val="nil"/>
            </w:tcBorders>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28</w:t>
            </w:r>
          </w:p>
        </w:tc>
        <w:tc>
          <w:tcPr>
            <w:tcW w:w="1417" w:type="dxa"/>
            <w:tcBorders>
              <w:top w:val="nil"/>
            </w:tcBorders>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28</w:t>
            </w:r>
          </w:p>
        </w:tc>
        <w:tc>
          <w:tcPr>
            <w:tcW w:w="1135" w:type="dxa"/>
            <w:tcBorders>
              <w:top w:val="nil"/>
            </w:tcBorders>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28</w:t>
            </w:r>
          </w:p>
        </w:tc>
      </w:tr>
      <w:tr w:rsidR="00756BA7" w:rsidRPr="00B015A3" w:rsidTr="00064BF8">
        <w:trPr>
          <w:gridAfter w:val="1"/>
          <w:wAfter w:w="141" w:type="dxa"/>
          <w:trHeight w:val="89"/>
        </w:trPr>
        <w:tc>
          <w:tcPr>
            <w:tcW w:w="3369" w:type="dxa"/>
            <w:hideMark/>
          </w:tcPr>
          <w:p w:rsidR="00756BA7" w:rsidRPr="00B015A3" w:rsidRDefault="00756BA7" w:rsidP="00064BF8">
            <w:pPr>
              <w:spacing w:after="0"/>
              <w:rPr>
                <w:rFonts w:asciiTheme="majorHAnsi" w:eastAsia="Times New Roman" w:hAnsiTheme="majorHAnsi" w:cstheme="majorHAnsi"/>
                <w:color w:val="000000"/>
                <w:sz w:val="18"/>
                <w:szCs w:val="18"/>
              </w:rPr>
            </w:pPr>
            <w:r w:rsidRPr="007D6981">
              <w:rPr>
                <w:rFonts w:asciiTheme="majorHAnsi" w:eastAsia="Times New Roman" w:hAnsiTheme="majorHAnsi" w:cstheme="majorHAnsi"/>
                <w:color w:val="000000"/>
                <w:sz w:val="18"/>
                <w:szCs w:val="18"/>
                <w:lang w:val="ru-RU"/>
              </w:rPr>
              <w:t xml:space="preserve">3. </w:t>
            </w:r>
            <w:r w:rsidRPr="00B015A3">
              <w:rPr>
                <w:rFonts w:asciiTheme="majorHAnsi" w:eastAsia="Times New Roman" w:hAnsiTheme="majorHAnsi" w:cstheme="majorHAnsi"/>
                <w:color w:val="000000"/>
                <w:sz w:val="18"/>
                <w:szCs w:val="18"/>
              </w:rPr>
              <w:t>Процент на бившите затворници, завърнали се обратно в пенитенциарната система в рамките на 1 година след освобождаването</w:t>
            </w:r>
          </w:p>
        </w:tc>
        <w:tc>
          <w:tcPr>
            <w:tcW w:w="992" w:type="dxa"/>
            <w:shd w:val="clear" w:color="auto" w:fill="F2F2F2" w:themeFill="background1" w:themeFillShade="F2"/>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w:t>
            </w:r>
          </w:p>
        </w:tc>
        <w:tc>
          <w:tcPr>
            <w:tcW w:w="1134" w:type="dxa"/>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lang w:val="en-US"/>
              </w:rPr>
              <w:t>5</w:t>
            </w:r>
          </w:p>
        </w:tc>
        <w:tc>
          <w:tcPr>
            <w:tcW w:w="1417" w:type="dxa"/>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rPr>
              <w:t>5</w:t>
            </w:r>
          </w:p>
        </w:tc>
        <w:tc>
          <w:tcPr>
            <w:tcW w:w="1417" w:type="dxa"/>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rPr>
              <w:t>5</w:t>
            </w:r>
          </w:p>
        </w:tc>
        <w:tc>
          <w:tcPr>
            <w:tcW w:w="1135" w:type="dxa"/>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rPr>
              <w:t>5</w:t>
            </w:r>
          </w:p>
        </w:tc>
      </w:tr>
      <w:tr w:rsidR="00756BA7" w:rsidRPr="00B015A3" w:rsidTr="00064BF8">
        <w:trPr>
          <w:gridAfter w:val="1"/>
          <w:wAfter w:w="141" w:type="dxa"/>
          <w:trHeight w:val="101"/>
        </w:trPr>
        <w:tc>
          <w:tcPr>
            <w:tcW w:w="3369" w:type="dxa"/>
            <w:hideMark/>
          </w:tcPr>
          <w:p w:rsidR="00756BA7" w:rsidRPr="00B015A3" w:rsidRDefault="00756BA7" w:rsidP="00064BF8">
            <w:pPr>
              <w:spacing w:after="0"/>
              <w:rPr>
                <w:rFonts w:asciiTheme="majorHAnsi" w:eastAsia="Times New Roman" w:hAnsiTheme="majorHAnsi" w:cstheme="majorHAnsi"/>
                <w:color w:val="000000"/>
                <w:sz w:val="18"/>
                <w:szCs w:val="18"/>
              </w:rPr>
            </w:pPr>
            <w:r w:rsidRPr="007D6981">
              <w:rPr>
                <w:rFonts w:asciiTheme="majorHAnsi" w:eastAsia="Times New Roman" w:hAnsiTheme="majorHAnsi" w:cstheme="majorHAnsi"/>
                <w:color w:val="000000"/>
                <w:sz w:val="18"/>
                <w:szCs w:val="18"/>
                <w:lang w:val="ru-RU"/>
              </w:rPr>
              <w:t xml:space="preserve">4. </w:t>
            </w:r>
            <w:r w:rsidRPr="00B015A3">
              <w:rPr>
                <w:rFonts w:asciiTheme="majorHAnsi" w:eastAsia="Times New Roman" w:hAnsiTheme="majorHAnsi" w:cstheme="majorHAnsi"/>
                <w:color w:val="000000"/>
                <w:sz w:val="18"/>
                <w:szCs w:val="18"/>
              </w:rPr>
              <w:t>Процент на бившите затворници, завърнали се обратно в пенитенциарната система в рамките на 2 година след освобождаването.</w:t>
            </w:r>
          </w:p>
        </w:tc>
        <w:tc>
          <w:tcPr>
            <w:tcW w:w="992" w:type="dxa"/>
            <w:shd w:val="clear" w:color="auto" w:fill="F2F2F2" w:themeFill="background1" w:themeFillShade="F2"/>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rPr>
            </w:pPr>
            <w:r w:rsidRPr="00B015A3">
              <w:rPr>
                <w:rFonts w:asciiTheme="majorHAnsi" w:eastAsia="Times New Roman" w:hAnsiTheme="majorHAnsi" w:cstheme="majorHAnsi"/>
                <w:color w:val="000000"/>
                <w:sz w:val="18"/>
                <w:szCs w:val="18"/>
              </w:rPr>
              <w:t>%</w:t>
            </w:r>
          </w:p>
        </w:tc>
        <w:tc>
          <w:tcPr>
            <w:tcW w:w="1134" w:type="dxa"/>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lang w:val="en-US"/>
              </w:rPr>
              <w:t>10</w:t>
            </w:r>
          </w:p>
        </w:tc>
        <w:tc>
          <w:tcPr>
            <w:tcW w:w="1417" w:type="dxa"/>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rPr>
              <w:t>10</w:t>
            </w:r>
          </w:p>
        </w:tc>
        <w:tc>
          <w:tcPr>
            <w:tcW w:w="1417" w:type="dxa"/>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rPr>
              <w:t>10</w:t>
            </w:r>
          </w:p>
        </w:tc>
        <w:tc>
          <w:tcPr>
            <w:tcW w:w="1135" w:type="dxa"/>
            <w:noWrap/>
            <w:vAlign w:val="center"/>
            <w:hideMark/>
          </w:tcPr>
          <w:p w:rsidR="00756BA7" w:rsidRPr="00B015A3" w:rsidRDefault="00756BA7" w:rsidP="00064BF8">
            <w:pPr>
              <w:spacing w:after="0"/>
              <w:jc w:val="center"/>
              <w:rPr>
                <w:rFonts w:asciiTheme="majorHAnsi" w:eastAsia="Times New Roman" w:hAnsiTheme="majorHAnsi" w:cstheme="majorHAnsi"/>
                <w:color w:val="000000"/>
                <w:sz w:val="18"/>
                <w:szCs w:val="18"/>
                <w:lang w:val="en-US"/>
              </w:rPr>
            </w:pPr>
            <w:r w:rsidRPr="00B015A3">
              <w:rPr>
                <w:rFonts w:asciiTheme="majorHAnsi" w:eastAsia="Times New Roman" w:hAnsiTheme="majorHAnsi" w:cstheme="majorHAnsi"/>
                <w:color w:val="000000"/>
                <w:sz w:val="18"/>
                <w:szCs w:val="18"/>
              </w:rPr>
              <w:t>10</w:t>
            </w:r>
          </w:p>
        </w:tc>
      </w:tr>
    </w:tbl>
    <w:p w:rsidR="00424768" w:rsidRPr="00424768" w:rsidRDefault="00424768" w:rsidP="00424768">
      <w:pPr>
        <w:spacing w:before="240"/>
        <w:rPr>
          <w:rFonts w:eastAsia="Times New Roman" w:cs="Times New Roman"/>
        </w:rPr>
      </w:pPr>
      <w:r w:rsidRPr="00424768">
        <w:rPr>
          <w:rFonts w:eastAsia="Times New Roman" w:cs="Times New Roman"/>
        </w:rPr>
        <w:t>За периода 2020-2022 г. са предвидени средства за обезпечаване функциите и дейностите на Главна дирекция „Охрана“ във връзка с прилагането на Закона за признаване, изпълнение и изпращане на съдебни актове за налагане на наказание лишаване от свобода или мерки</w:t>
      </w:r>
      <w:r>
        <w:rPr>
          <w:rFonts w:eastAsia="Times New Roman" w:cs="Times New Roman"/>
        </w:rPr>
        <w:t>, включващи лишаване от свобода</w:t>
      </w:r>
      <w:r w:rsidR="00734DE5">
        <w:rPr>
          <w:rStyle w:val="FootnoteReference"/>
          <w:rFonts w:eastAsia="Times New Roman"/>
        </w:rPr>
        <w:footnoteReference w:id="23"/>
      </w:r>
      <w:r w:rsidRPr="00424768">
        <w:rPr>
          <w:rFonts w:eastAsia="Times New Roman" w:cs="Times New Roman"/>
        </w:rPr>
        <w:t>, във връзка с което числеността на персонала</w:t>
      </w:r>
      <w:r>
        <w:rPr>
          <w:rFonts w:eastAsia="Times New Roman" w:cs="Times New Roman"/>
        </w:rPr>
        <w:t xml:space="preserve"> е увеличена с 45 щатни бройки.</w:t>
      </w:r>
    </w:p>
    <w:p w:rsidR="00423F52" w:rsidRPr="009D2915" w:rsidRDefault="00423F52" w:rsidP="00517D0A">
      <w:pPr>
        <w:pStyle w:val="Heading3"/>
        <w:ind w:left="0"/>
      </w:pPr>
      <w:r>
        <w:t>външна Политика</w:t>
      </w:r>
      <w:r w:rsidRPr="009D2915">
        <w:t xml:space="preserve"> </w:t>
      </w:r>
    </w:p>
    <w:p w:rsidR="00E74D13" w:rsidRPr="00E74D13" w:rsidRDefault="00064BF8" w:rsidP="00064BF8">
      <w:pPr>
        <w:spacing w:before="120" w:after="0"/>
        <w:rPr>
          <w:noProof/>
          <w:szCs w:val="24"/>
        </w:rPr>
      </w:pPr>
      <w:r w:rsidRPr="007470BE">
        <w:rPr>
          <w:noProof/>
          <w:szCs w:val="24"/>
        </w:rPr>
        <w:t>Външната политика на България се ръководи от принципа на прагматично следване на националния интерес и недопускане на намеса във вътрешните работи на страната ни.</w:t>
      </w:r>
      <w:r w:rsidRPr="007D6981">
        <w:rPr>
          <w:noProof/>
          <w:szCs w:val="24"/>
          <w:lang w:val="ru-RU"/>
        </w:rPr>
        <w:t xml:space="preserve"> Министерството на външните работи ръководи, координира и контролира осъществяването на държавната политика на Република България в отношенията й с други държави, като осигурява поддържането и развитието на външнополитическия диалог, политиката на сигурност и двустранното, регионалното и многостранното сътрудничеството. Осъществява </w:t>
      </w:r>
      <w:r>
        <w:rPr>
          <w:noProof/>
          <w:szCs w:val="24"/>
        </w:rPr>
        <w:t xml:space="preserve">и </w:t>
      </w:r>
      <w:r w:rsidRPr="007D6981">
        <w:rPr>
          <w:noProof/>
          <w:szCs w:val="24"/>
          <w:lang w:val="ru-RU"/>
        </w:rPr>
        <w:t xml:space="preserve">общата координация в областта на външната политика и международната дейност на Република България. </w:t>
      </w:r>
    </w:p>
    <w:p w:rsidR="00E74D13" w:rsidRPr="00DF438C" w:rsidRDefault="00E74D13" w:rsidP="00E74D13">
      <w:pPr>
        <w:pStyle w:val="Heading4"/>
        <w:rPr>
          <w:rFonts w:eastAsia="Times New Roman"/>
        </w:rPr>
      </w:pPr>
      <w:r w:rsidRPr="00DF438C">
        <w:rPr>
          <w:rFonts w:eastAsia="Times New Roman"/>
        </w:rPr>
        <w:t>Политика в областта на развитието на ефективна дипломатическа служба</w:t>
      </w:r>
    </w:p>
    <w:p w:rsidR="00E74D13" w:rsidRPr="00E74D13" w:rsidRDefault="00E74D13" w:rsidP="00E74D13">
      <w:pPr>
        <w:rPr>
          <w:noProof/>
          <w:szCs w:val="24"/>
        </w:rPr>
      </w:pPr>
      <w:r w:rsidRPr="00DF438C">
        <w:rPr>
          <w:noProof/>
          <w:szCs w:val="24"/>
        </w:rPr>
        <w:t>Основна задача на дипломатическата служба е провеждането на външната политика на страната и подпомагане на държавните органи в тяхната външнополитическа дейност. В изпълнение на тази политика се създават условия и предпоставки за реализация на външнополитическите приоритети на страната. Ефективната дипломатическа служба  осигурява благоприятни условия за постигане на външнополитическите цели, сигурността и развитието на България за защита на правата и интересите на българските граждани зад градница, като стремеж</w:t>
      </w:r>
      <w:r>
        <w:rPr>
          <w:noProof/>
          <w:szCs w:val="24"/>
        </w:rPr>
        <w:t>ът</w:t>
      </w:r>
      <w:r w:rsidRPr="00DF438C">
        <w:rPr>
          <w:noProof/>
          <w:szCs w:val="24"/>
        </w:rPr>
        <w:t xml:space="preserve"> е насочен към гарантирането на оптимално отстояване на националните интереси.</w:t>
      </w:r>
    </w:p>
    <w:p w:rsidR="00E74D13" w:rsidRPr="00387502" w:rsidRDefault="00E74D13" w:rsidP="00064BF8">
      <w:pPr>
        <w:spacing w:before="120" w:after="0"/>
        <w:rPr>
          <w:rFonts w:asciiTheme="minorHAnsi" w:eastAsiaTheme="minorHAnsi" w:hAnsiTheme="minorHAnsi"/>
          <w:szCs w:val="24"/>
        </w:rPr>
      </w:pPr>
    </w:p>
    <w:p w:rsidR="003D31B5" w:rsidRPr="003D31B5" w:rsidRDefault="003D31B5" w:rsidP="003D31B5">
      <w:pPr>
        <w:pStyle w:val="Heading4"/>
        <w:rPr>
          <w:rFonts w:eastAsia="Times New Roman"/>
        </w:rPr>
      </w:pPr>
      <w:r w:rsidRPr="003D31B5">
        <w:rPr>
          <w:rFonts w:eastAsia="Times New Roman"/>
        </w:rPr>
        <w:t>Политика в областта на активната двустранна и многостранна дипломация</w:t>
      </w:r>
    </w:p>
    <w:p w:rsidR="00064BF8" w:rsidRDefault="00064BF8" w:rsidP="008A1B6F">
      <w:pPr>
        <w:spacing w:before="120" w:after="0"/>
      </w:pPr>
    </w:p>
    <w:p w:rsidR="00064BF8" w:rsidRPr="007470BE" w:rsidRDefault="00064BF8" w:rsidP="00204C82">
      <w:pPr>
        <w:spacing w:before="120" w:after="0"/>
        <w:rPr>
          <w:noProof/>
          <w:szCs w:val="24"/>
        </w:rPr>
      </w:pPr>
      <w:r w:rsidRPr="007470BE">
        <w:rPr>
          <w:noProof/>
          <w:szCs w:val="24"/>
        </w:rPr>
        <w:t>Важен акцент при осъществяването на тази политика е активното участие на страната ни в евроатлантическите структури и задълбочаване на сътрудничеството между НАТО и ЕС. Реформите в ЕС трябва да се основават на принципите и ценностите на европейската солидарност и равноправие при взаимно зачитане на интересите и доверието между държавите</w:t>
      </w:r>
      <w:r w:rsidR="00520971">
        <w:rPr>
          <w:noProof/>
          <w:szCs w:val="24"/>
        </w:rPr>
        <w:t xml:space="preserve"> </w:t>
      </w:r>
      <w:r w:rsidRPr="007470BE">
        <w:rPr>
          <w:noProof/>
          <w:szCs w:val="24"/>
        </w:rPr>
        <w:t xml:space="preserve">членки на ЕС. Специално внимание се отдава на по-нататъшно задълбочаване на двустранните политически, икономически и културни отношения със страните от Югоизточна Европа. </w:t>
      </w:r>
    </w:p>
    <w:p w:rsidR="00064BF8" w:rsidRPr="007470BE" w:rsidRDefault="00064BF8" w:rsidP="00204C82">
      <w:pPr>
        <w:spacing w:before="120" w:after="0"/>
        <w:rPr>
          <w:noProof/>
          <w:szCs w:val="24"/>
        </w:rPr>
      </w:pPr>
      <w:r w:rsidRPr="007470BE">
        <w:rPr>
          <w:noProof/>
          <w:szCs w:val="24"/>
        </w:rPr>
        <w:t>Българската външна политика работи за присъединяване на България към Шенген, еврозоната, ОИСР и отпадане на Механизма за сътрудничество и оценка.</w:t>
      </w:r>
    </w:p>
    <w:p w:rsidR="00064BF8" w:rsidRPr="007470BE" w:rsidRDefault="00064BF8" w:rsidP="00204C82">
      <w:pPr>
        <w:spacing w:before="120" w:after="0"/>
        <w:rPr>
          <w:noProof/>
          <w:szCs w:val="24"/>
        </w:rPr>
      </w:pPr>
      <w:r w:rsidRPr="007470BE">
        <w:rPr>
          <w:noProof/>
          <w:szCs w:val="24"/>
        </w:rPr>
        <w:t>Основен приоритет на българската държава е ефективна защита на правата и отстояване на законните интереси на българите зад граница. Усилията ще са насочени към провеждане на целенасочена политика за поддържане на българската идентичност, език и култура в традиционните и новите български общности в чужбина.</w:t>
      </w:r>
    </w:p>
    <w:p w:rsidR="00064BF8" w:rsidRPr="007470BE" w:rsidRDefault="00064BF8" w:rsidP="00204C82">
      <w:pPr>
        <w:spacing w:before="120" w:after="0"/>
        <w:rPr>
          <w:noProof/>
          <w:szCs w:val="24"/>
        </w:rPr>
      </w:pPr>
      <w:r w:rsidRPr="007470BE">
        <w:rPr>
          <w:noProof/>
          <w:szCs w:val="24"/>
        </w:rPr>
        <w:t>В рамките на тази политика се осъществява и политиката на сътрудничество за развитие, като по бюджета на МВнР са планирани 6,0 млн. лв. годишно за периода 20</w:t>
      </w:r>
      <w:r w:rsidRPr="007D6981">
        <w:rPr>
          <w:noProof/>
          <w:szCs w:val="24"/>
          <w:lang w:val="ru-RU"/>
        </w:rPr>
        <w:t>20</w:t>
      </w:r>
      <w:r w:rsidRPr="007470BE">
        <w:rPr>
          <w:noProof/>
          <w:szCs w:val="24"/>
        </w:rPr>
        <w:t>-202</w:t>
      </w:r>
      <w:r w:rsidRPr="007D6981">
        <w:rPr>
          <w:noProof/>
          <w:szCs w:val="24"/>
          <w:lang w:val="ru-RU"/>
        </w:rPr>
        <w:t>2</w:t>
      </w:r>
      <w:r w:rsidRPr="007470BE">
        <w:rPr>
          <w:noProof/>
          <w:szCs w:val="24"/>
        </w:rPr>
        <w:t xml:space="preserve"> г. за „Официална помощ за развитие и хуманитарна помощ“. Чрез тази политика се цели постигане на устойчиво развитие, укрепване на международния мир, сигурност и стабилност на основата на ценностите на демокрацията, плурализма, върховенството на закона и зачитането на правата на човека. </w:t>
      </w:r>
    </w:p>
    <w:p w:rsidR="006776B0" w:rsidRDefault="006776B0" w:rsidP="006776B0">
      <w:pPr>
        <w:spacing w:before="120" w:after="0"/>
      </w:pPr>
    </w:p>
    <w:p w:rsidR="0040745C" w:rsidRDefault="0040745C" w:rsidP="0040745C">
      <w:pPr>
        <w:spacing w:after="0"/>
        <w:rPr>
          <w:rFonts w:eastAsiaTheme="minorHAnsi"/>
          <w:b/>
          <w:bCs/>
          <w:sz w:val="20"/>
          <w:szCs w:val="20"/>
        </w:rPr>
      </w:pPr>
      <w:r w:rsidRPr="00B46D05">
        <w:rPr>
          <w:rFonts w:eastAsiaTheme="minorHAnsi"/>
          <w:b/>
          <w:bCs/>
          <w:sz w:val="20"/>
          <w:szCs w:val="20"/>
        </w:rPr>
        <w:t>КЛЮЧОВИ ИНДИКАТОРИ ЗА ИЗПЪЛНЕНИЕ И ЦЕЛЕВИ СТОЙНОСТИ</w:t>
      </w:r>
    </w:p>
    <w:p w:rsidR="00204C82" w:rsidRDefault="00204C82" w:rsidP="0040745C">
      <w:pPr>
        <w:spacing w:after="0"/>
        <w:rPr>
          <w:rFonts w:eastAsiaTheme="minorHAnsi"/>
          <w:b/>
          <w:bCs/>
          <w:sz w:val="20"/>
          <w:szCs w:val="20"/>
        </w:rPr>
      </w:pPr>
    </w:p>
    <w:p w:rsidR="00204C82" w:rsidRDefault="00204C82" w:rsidP="0040745C">
      <w:pPr>
        <w:spacing w:after="0"/>
        <w:rPr>
          <w:rFonts w:eastAsiaTheme="minorHAnsi"/>
          <w:b/>
          <w:bCs/>
          <w:sz w:val="20"/>
          <w:szCs w:val="20"/>
        </w:rPr>
      </w:pPr>
    </w:p>
    <w:tbl>
      <w:tblPr>
        <w:tblStyle w:val="TableGrid2"/>
        <w:tblW w:w="8959" w:type="dxa"/>
        <w:jc w:val="center"/>
        <w:tblBorders>
          <w:left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3033"/>
        <w:gridCol w:w="1591"/>
        <w:gridCol w:w="1013"/>
        <w:gridCol w:w="992"/>
        <w:gridCol w:w="992"/>
        <w:gridCol w:w="1338"/>
      </w:tblGrid>
      <w:tr w:rsidR="00204C82" w:rsidRPr="007470BE" w:rsidTr="00F11BBA">
        <w:trPr>
          <w:trHeight w:val="255"/>
          <w:tblHeader/>
          <w:jc w:val="center"/>
        </w:trPr>
        <w:tc>
          <w:tcPr>
            <w:tcW w:w="3033" w:type="dxa"/>
            <w:vAlign w:val="center"/>
          </w:tcPr>
          <w:p w:rsidR="00204C82" w:rsidRPr="007470BE" w:rsidRDefault="00204C82" w:rsidP="002B2ADB">
            <w:pPr>
              <w:spacing w:after="0"/>
              <w:jc w:val="center"/>
              <w:rPr>
                <w:rFonts w:asciiTheme="minorHAnsi" w:eastAsiaTheme="minorHAnsi" w:hAnsiTheme="minorHAnsi" w:cstheme="minorHAnsi"/>
                <w:b/>
                <w:i/>
                <w:iCs/>
                <w:sz w:val="18"/>
                <w:szCs w:val="18"/>
              </w:rPr>
            </w:pPr>
            <w:r w:rsidRPr="007470BE">
              <w:rPr>
                <w:rFonts w:asciiTheme="minorHAnsi" w:eastAsiaTheme="minorHAnsi" w:hAnsiTheme="minorHAnsi" w:cstheme="minorHAnsi"/>
                <w:b/>
                <w:i/>
                <w:iCs/>
                <w:sz w:val="18"/>
                <w:szCs w:val="18"/>
              </w:rPr>
              <w:t>Политика в областта на активна</w:t>
            </w:r>
            <w:r>
              <w:rPr>
                <w:rFonts w:asciiTheme="minorHAnsi" w:eastAsiaTheme="minorHAnsi" w:hAnsiTheme="minorHAnsi" w:cstheme="minorHAnsi"/>
                <w:b/>
                <w:i/>
                <w:iCs/>
                <w:sz w:val="18"/>
                <w:szCs w:val="18"/>
              </w:rPr>
              <w:t>та</w:t>
            </w:r>
            <w:r w:rsidRPr="007470BE">
              <w:rPr>
                <w:rFonts w:asciiTheme="minorHAnsi" w:eastAsiaTheme="minorHAnsi" w:hAnsiTheme="minorHAnsi" w:cstheme="minorHAnsi"/>
                <w:b/>
                <w:i/>
                <w:iCs/>
                <w:sz w:val="18"/>
                <w:szCs w:val="18"/>
              </w:rPr>
              <w:t xml:space="preserve"> двустранна и многостранна дипломация</w:t>
            </w:r>
          </w:p>
        </w:tc>
        <w:tc>
          <w:tcPr>
            <w:tcW w:w="1591" w:type="dxa"/>
            <w:vMerge w:val="restart"/>
            <w:shd w:val="clear" w:color="auto" w:fill="F2F2F2" w:themeFill="background1" w:themeFillShade="F2"/>
            <w:vAlign w:val="center"/>
          </w:tcPr>
          <w:p w:rsidR="00204C82" w:rsidRPr="007470BE" w:rsidRDefault="00204C82" w:rsidP="002B2ADB">
            <w:pPr>
              <w:spacing w:after="0"/>
              <w:jc w:val="center"/>
              <w:rPr>
                <w:rFonts w:asciiTheme="minorHAnsi" w:eastAsiaTheme="minorHAnsi" w:hAnsiTheme="minorHAnsi" w:cstheme="minorHAnsi"/>
                <w:sz w:val="18"/>
                <w:szCs w:val="18"/>
              </w:rPr>
            </w:pPr>
            <w:r w:rsidRPr="007470BE">
              <w:rPr>
                <w:rFonts w:asciiTheme="minorHAnsi" w:eastAsiaTheme="minorHAnsi" w:hAnsiTheme="minorHAnsi" w:cstheme="minorHAnsi"/>
                <w:b/>
                <w:bCs/>
                <w:sz w:val="18"/>
                <w:szCs w:val="18"/>
              </w:rPr>
              <w:t xml:space="preserve">Мерна </w:t>
            </w:r>
            <w:r w:rsidRPr="007470BE">
              <w:rPr>
                <w:rFonts w:asciiTheme="minorHAnsi" w:eastAsiaTheme="minorHAnsi" w:hAnsiTheme="minorHAnsi" w:cstheme="minorHAnsi"/>
                <w:b/>
                <w:bCs/>
                <w:sz w:val="18"/>
                <w:szCs w:val="18"/>
              </w:rPr>
              <w:br/>
              <w:t>единица</w:t>
            </w:r>
          </w:p>
        </w:tc>
        <w:tc>
          <w:tcPr>
            <w:tcW w:w="4335" w:type="dxa"/>
            <w:gridSpan w:val="4"/>
            <w:tcBorders>
              <w:bottom w:val="single" w:sz="4" w:space="0" w:color="auto"/>
            </w:tcBorders>
            <w:vAlign w:val="center"/>
          </w:tcPr>
          <w:p w:rsidR="00204C82" w:rsidRPr="007470BE" w:rsidRDefault="00204C82" w:rsidP="002B2ADB">
            <w:pPr>
              <w:spacing w:after="0"/>
              <w:ind w:left="162" w:hanging="162"/>
              <w:jc w:val="center"/>
              <w:rPr>
                <w:rFonts w:asciiTheme="minorHAnsi" w:eastAsiaTheme="minorHAnsi" w:hAnsiTheme="minorHAnsi" w:cstheme="minorHAnsi"/>
                <w:b/>
                <w:bCs/>
                <w:sz w:val="18"/>
                <w:szCs w:val="18"/>
              </w:rPr>
            </w:pPr>
            <w:r w:rsidRPr="007470BE">
              <w:rPr>
                <w:rFonts w:asciiTheme="minorHAnsi" w:eastAsiaTheme="minorHAnsi" w:hAnsiTheme="minorHAnsi" w:cstheme="minorHAnsi"/>
                <w:b/>
                <w:bCs/>
                <w:sz w:val="18"/>
                <w:szCs w:val="18"/>
              </w:rPr>
              <w:t>Целева стойност</w:t>
            </w:r>
          </w:p>
        </w:tc>
      </w:tr>
      <w:tr w:rsidR="00204C82" w:rsidRPr="007470BE" w:rsidTr="00F11BBA">
        <w:trPr>
          <w:trHeight w:val="450"/>
          <w:tblHeader/>
          <w:jc w:val="center"/>
        </w:trPr>
        <w:tc>
          <w:tcPr>
            <w:tcW w:w="3033" w:type="dxa"/>
            <w:tcBorders>
              <w:bottom w:val="single" w:sz="4" w:space="0" w:color="auto"/>
            </w:tcBorders>
            <w:vAlign w:val="center"/>
          </w:tcPr>
          <w:p w:rsidR="00204C82" w:rsidRPr="007470BE" w:rsidRDefault="00204C82" w:rsidP="002B2ADB">
            <w:pPr>
              <w:spacing w:after="0"/>
              <w:jc w:val="center"/>
              <w:rPr>
                <w:rFonts w:asciiTheme="minorHAnsi" w:eastAsiaTheme="minorHAnsi" w:hAnsiTheme="minorHAnsi" w:cstheme="minorHAnsi"/>
                <w:b/>
                <w:bCs/>
                <w:sz w:val="18"/>
                <w:szCs w:val="18"/>
              </w:rPr>
            </w:pPr>
            <w:r w:rsidRPr="007470BE">
              <w:rPr>
                <w:rFonts w:asciiTheme="minorHAnsi" w:eastAsiaTheme="minorHAnsi" w:hAnsiTheme="minorHAnsi" w:cstheme="minorHAnsi"/>
                <w:b/>
                <w:bCs/>
                <w:sz w:val="18"/>
                <w:szCs w:val="18"/>
              </w:rPr>
              <w:t>Наименование на индикатора</w:t>
            </w:r>
          </w:p>
        </w:tc>
        <w:tc>
          <w:tcPr>
            <w:tcW w:w="1591" w:type="dxa"/>
            <w:vMerge/>
            <w:tcBorders>
              <w:bottom w:val="single" w:sz="4" w:space="0" w:color="auto"/>
            </w:tcBorders>
            <w:shd w:val="clear" w:color="auto" w:fill="F2F2F2" w:themeFill="background1" w:themeFillShade="F2"/>
            <w:vAlign w:val="center"/>
          </w:tcPr>
          <w:p w:rsidR="00204C82" w:rsidRPr="007470BE" w:rsidRDefault="00204C82" w:rsidP="002B2ADB">
            <w:pPr>
              <w:spacing w:after="0"/>
              <w:jc w:val="center"/>
              <w:rPr>
                <w:rFonts w:asciiTheme="minorHAnsi" w:eastAsiaTheme="minorHAnsi" w:hAnsiTheme="minorHAnsi" w:cstheme="minorHAnsi"/>
                <w:b/>
                <w:bCs/>
                <w:sz w:val="18"/>
                <w:szCs w:val="18"/>
              </w:rPr>
            </w:pPr>
          </w:p>
        </w:tc>
        <w:tc>
          <w:tcPr>
            <w:tcW w:w="1013" w:type="dxa"/>
            <w:tcBorders>
              <w:top w:val="single" w:sz="4" w:space="0" w:color="auto"/>
              <w:bottom w:val="single" w:sz="4" w:space="0" w:color="auto"/>
            </w:tcBorders>
            <w:vAlign w:val="center"/>
          </w:tcPr>
          <w:p w:rsidR="00204C82" w:rsidRPr="007470BE" w:rsidRDefault="00204C82" w:rsidP="002B2ADB">
            <w:pPr>
              <w:spacing w:after="0"/>
              <w:jc w:val="center"/>
              <w:rPr>
                <w:rFonts w:asciiTheme="minorHAnsi" w:eastAsiaTheme="minorHAnsi" w:hAnsiTheme="minorHAnsi" w:cstheme="minorHAnsi"/>
                <w:b/>
                <w:bCs/>
                <w:i/>
                <w:iCs/>
                <w:sz w:val="18"/>
                <w:szCs w:val="18"/>
              </w:rPr>
            </w:pPr>
            <w:r w:rsidRPr="007470BE">
              <w:rPr>
                <w:rFonts w:asciiTheme="minorHAnsi" w:eastAsiaTheme="minorHAnsi" w:hAnsiTheme="minorHAnsi" w:cstheme="minorHAnsi"/>
                <w:b/>
                <w:bCs/>
                <w:i/>
                <w:iCs/>
                <w:sz w:val="18"/>
                <w:szCs w:val="18"/>
              </w:rPr>
              <w:t xml:space="preserve">Програма </w:t>
            </w:r>
            <w:r w:rsidRPr="007470BE">
              <w:rPr>
                <w:rFonts w:asciiTheme="minorHAnsi" w:eastAsiaTheme="minorHAnsi" w:hAnsiTheme="minorHAnsi" w:cstheme="minorHAnsi"/>
                <w:b/>
                <w:bCs/>
                <w:i/>
                <w:iCs/>
                <w:sz w:val="18"/>
                <w:szCs w:val="18"/>
              </w:rPr>
              <w:br/>
              <w:t>2019 г.</w:t>
            </w:r>
          </w:p>
        </w:tc>
        <w:tc>
          <w:tcPr>
            <w:tcW w:w="992" w:type="dxa"/>
            <w:tcBorders>
              <w:top w:val="single" w:sz="4" w:space="0" w:color="auto"/>
              <w:bottom w:val="single" w:sz="4" w:space="0" w:color="auto"/>
            </w:tcBorders>
            <w:vAlign w:val="center"/>
          </w:tcPr>
          <w:p w:rsidR="00204C82" w:rsidRPr="007470BE" w:rsidRDefault="00204C82" w:rsidP="002B2ADB">
            <w:pPr>
              <w:spacing w:after="0"/>
              <w:jc w:val="center"/>
              <w:rPr>
                <w:rFonts w:asciiTheme="minorHAnsi" w:eastAsiaTheme="minorHAnsi" w:hAnsiTheme="minorHAnsi" w:cstheme="minorHAnsi"/>
                <w:b/>
                <w:bCs/>
                <w:i/>
                <w:iCs/>
                <w:sz w:val="18"/>
                <w:szCs w:val="18"/>
              </w:rPr>
            </w:pPr>
            <w:r w:rsidRPr="007470BE">
              <w:rPr>
                <w:rFonts w:asciiTheme="minorHAnsi" w:eastAsiaTheme="minorHAnsi" w:hAnsiTheme="minorHAnsi" w:cstheme="minorHAnsi"/>
                <w:b/>
                <w:bCs/>
                <w:i/>
                <w:iCs/>
                <w:sz w:val="18"/>
                <w:szCs w:val="18"/>
              </w:rPr>
              <w:t>Про</w:t>
            </w:r>
            <w:r w:rsidR="00F1198E">
              <w:rPr>
                <w:rFonts w:asciiTheme="minorHAnsi" w:eastAsiaTheme="minorHAnsi" w:hAnsiTheme="minorHAnsi" w:cstheme="minorHAnsi"/>
                <w:b/>
                <w:bCs/>
                <w:i/>
                <w:iCs/>
                <w:sz w:val="18"/>
                <w:szCs w:val="18"/>
              </w:rPr>
              <w:t>ект</w:t>
            </w:r>
            <w:r w:rsidRPr="007470BE">
              <w:rPr>
                <w:rFonts w:asciiTheme="minorHAnsi" w:eastAsiaTheme="minorHAnsi" w:hAnsiTheme="minorHAnsi" w:cstheme="minorHAnsi"/>
                <w:b/>
                <w:bCs/>
                <w:i/>
                <w:iCs/>
                <w:sz w:val="18"/>
                <w:szCs w:val="18"/>
              </w:rPr>
              <w:t xml:space="preserve"> 20</w:t>
            </w:r>
            <w:r w:rsidRPr="007470BE">
              <w:rPr>
                <w:rFonts w:asciiTheme="minorHAnsi" w:eastAsiaTheme="minorHAnsi" w:hAnsiTheme="minorHAnsi" w:cstheme="minorHAnsi"/>
                <w:b/>
                <w:bCs/>
                <w:i/>
                <w:iCs/>
                <w:sz w:val="18"/>
                <w:szCs w:val="18"/>
                <w:lang w:val="en-US"/>
              </w:rPr>
              <w:t>20</w:t>
            </w:r>
            <w:r w:rsidRPr="007470BE">
              <w:rPr>
                <w:rFonts w:asciiTheme="minorHAnsi" w:eastAsiaTheme="minorHAnsi" w:hAnsiTheme="minorHAnsi" w:cstheme="minorHAnsi"/>
                <w:b/>
                <w:bCs/>
                <w:i/>
                <w:iCs/>
                <w:sz w:val="18"/>
                <w:szCs w:val="18"/>
              </w:rPr>
              <w:t xml:space="preserve"> г.</w:t>
            </w:r>
          </w:p>
        </w:tc>
        <w:tc>
          <w:tcPr>
            <w:tcW w:w="992" w:type="dxa"/>
            <w:tcBorders>
              <w:top w:val="single" w:sz="4" w:space="0" w:color="auto"/>
              <w:bottom w:val="single" w:sz="4" w:space="0" w:color="auto"/>
            </w:tcBorders>
            <w:vAlign w:val="center"/>
          </w:tcPr>
          <w:p w:rsidR="00204C82" w:rsidRPr="007470BE" w:rsidRDefault="00204C82" w:rsidP="002B2ADB">
            <w:pPr>
              <w:spacing w:after="0"/>
              <w:jc w:val="center"/>
              <w:rPr>
                <w:rFonts w:asciiTheme="minorHAnsi" w:eastAsiaTheme="minorHAnsi" w:hAnsiTheme="minorHAnsi" w:cstheme="minorHAnsi"/>
                <w:b/>
                <w:bCs/>
                <w:i/>
                <w:iCs/>
                <w:sz w:val="18"/>
                <w:szCs w:val="18"/>
              </w:rPr>
            </w:pPr>
            <w:r w:rsidRPr="007470BE">
              <w:rPr>
                <w:rFonts w:asciiTheme="minorHAnsi" w:eastAsiaTheme="minorHAnsi" w:hAnsiTheme="minorHAnsi" w:cstheme="minorHAnsi"/>
                <w:b/>
                <w:bCs/>
                <w:i/>
                <w:iCs/>
                <w:sz w:val="18"/>
                <w:szCs w:val="18"/>
              </w:rPr>
              <w:t>Прогноза 202</w:t>
            </w:r>
            <w:r w:rsidRPr="007470BE">
              <w:rPr>
                <w:rFonts w:asciiTheme="minorHAnsi" w:eastAsiaTheme="minorHAnsi" w:hAnsiTheme="minorHAnsi" w:cstheme="minorHAnsi"/>
                <w:b/>
                <w:bCs/>
                <w:i/>
                <w:iCs/>
                <w:sz w:val="18"/>
                <w:szCs w:val="18"/>
                <w:lang w:val="en-US"/>
              </w:rPr>
              <w:t>1</w:t>
            </w:r>
            <w:r w:rsidRPr="007470BE">
              <w:rPr>
                <w:rFonts w:asciiTheme="minorHAnsi" w:eastAsiaTheme="minorHAnsi" w:hAnsiTheme="minorHAnsi" w:cstheme="minorHAnsi"/>
                <w:b/>
                <w:bCs/>
                <w:i/>
                <w:iCs/>
                <w:sz w:val="18"/>
                <w:szCs w:val="18"/>
              </w:rPr>
              <w:t xml:space="preserve"> г.</w:t>
            </w:r>
          </w:p>
        </w:tc>
        <w:tc>
          <w:tcPr>
            <w:tcW w:w="1338" w:type="dxa"/>
            <w:tcBorders>
              <w:top w:val="single" w:sz="4" w:space="0" w:color="auto"/>
              <w:bottom w:val="single" w:sz="4" w:space="0" w:color="auto"/>
            </w:tcBorders>
            <w:vAlign w:val="center"/>
          </w:tcPr>
          <w:p w:rsidR="00204C82" w:rsidRPr="007470BE" w:rsidRDefault="00204C82" w:rsidP="002B2ADB">
            <w:pPr>
              <w:spacing w:after="0"/>
              <w:jc w:val="center"/>
              <w:rPr>
                <w:rFonts w:asciiTheme="minorHAnsi" w:eastAsiaTheme="minorHAnsi" w:hAnsiTheme="minorHAnsi" w:cstheme="minorHAnsi"/>
                <w:b/>
                <w:bCs/>
                <w:i/>
                <w:iCs/>
                <w:sz w:val="18"/>
                <w:szCs w:val="18"/>
              </w:rPr>
            </w:pPr>
            <w:r w:rsidRPr="007470BE">
              <w:rPr>
                <w:rFonts w:asciiTheme="minorHAnsi" w:eastAsiaTheme="minorHAnsi" w:hAnsiTheme="minorHAnsi" w:cstheme="minorHAnsi"/>
                <w:b/>
                <w:bCs/>
                <w:i/>
                <w:iCs/>
                <w:sz w:val="18"/>
                <w:szCs w:val="18"/>
              </w:rPr>
              <w:t>Прогноза 2022 г.</w:t>
            </w:r>
          </w:p>
        </w:tc>
      </w:tr>
      <w:tr w:rsidR="00204C82" w:rsidRPr="007470BE" w:rsidTr="00A14763">
        <w:trPr>
          <w:trHeight w:val="60"/>
          <w:jc w:val="center"/>
        </w:trPr>
        <w:tc>
          <w:tcPr>
            <w:tcW w:w="3033" w:type="dxa"/>
            <w:tcBorders>
              <w:top w:val="single" w:sz="4" w:space="0" w:color="auto"/>
              <w:bottom w:val="nil"/>
            </w:tcBorders>
          </w:tcPr>
          <w:p w:rsidR="00204C82" w:rsidRPr="007470BE" w:rsidRDefault="00204C82" w:rsidP="002B2ADB">
            <w:pPr>
              <w:autoSpaceDE w:val="0"/>
              <w:autoSpaceDN w:val="0"/>
              <w:adjustRightInd w:val="0"/>
              <w:spacing w:after="0"/>
              <w:rPr>
                <w:rFonts w:asciiTheme="minorHAnsi" w:eastAsiaTheme="minorHAnsi" w:hAnsiTheme="minorHAnsi" w:cstheme="minorHAnsi"/>
                <w:sz w:val="18"/>
                <w:szCs w:val="18"/>
              </w:rPr>
            </w:pPr>
            <w:r>
              <w:rPr>
                <w:rFonts w:asciiTheme="minorHAnsi" w:eastAsiaTheme="minorHAnsi" w:hAnsiTheme="minorHAnsi" w:cstheme="minorHAnsi"/>
                <w:sz w:val="18"/>
                <w:szCs w:val="18"/>
              </w:rPr>
              <w:t xml:space="preserve">1. </w:t>
            </w:r>
            <w:r w:rsidRPr="007470BE">
              <w:rPr>
                <w:rFonts w:asciiTheme="minorHAnsi" w:eastAsiaTheme="minorHAnsi" w:hAnsiTheme="minorHAnsi" w:cstheme="minorHAnsi"/>
                <w:sz w:val="18"/>
                <w:szCs w:val="18"/>
              </w:rPr>
              <w:t>Защита на български физически и юридически лица и български общности зад граница</w:t>
            </w:r>
          </w:p>
          <w:p w:rsidR="00204C82" w:rsidRPr="007470BE" w:rsidRDefault="00204C82" w:rsidP="002B2ADB">
            <w:pPr>
              <w:autoSpaceDE w:val="0"/>
              <w:autoSpaceDN w:val="0"/>
              <w:adjustRightInd w:val="0"/>
              <w:spacing w:after="0"/>
              <w:ind w:left="24"/>
              <w:rPr>
                <w:rFonts w:asciiTheme="minorHAnsi" w:eastAsiaTheme="minorHAnsi" w:hAnsiTheme="minorHAnsi" w:cstheme="minorHAnsi"/>
                <w:sz w:val="18"/>
                <w:szCs w:val="18"/>
              </w:rPr>
            </w:pPr>
          </w:p>
        </w:tc>
        <w:tc>
          <w:tcPr>
            <w:tcW w:w="1591" w:type="dxa"/>
            <w:tcBorders>
              <w:top w:val="single" w:sz="4" w:space="0" w:color="auto"/>
              <w:bottom w:val="nil"/>
            </w:tcBorders>
            <w:shd w:val="clear" w:color="auto" w:fill="F2F2F2" w:themeFill="background1" w:themeFillShade="F2"/>
            <w:vAlign w:val="center"/>
          </w:tcPr>
          <w:p w:rsidR="00204C82" w:rsidRPr="007470BE" w:rsidRDefault="00204C82" w:rsidP="002B2ADB">
            <w:pPr>
              <w:autoSpaceDE w:val="0"/>
              <w:autoSpaceDN w:val="0"/>
              <w:adjustRightInd w:val="0"/>
              <w:spacing w:after="0"/>
              <w:jc w:val="center"/>
              <w:rPr>
                <w:rFonts w:asciiTheme="minorHAnsi" w:eastAsiaTheme="minorHAnsi" w:hAnsiTheme="minorHAnsi" w:cstheme="minorHAnsi"/>
                <w:sz w:val="18"/>
                <w:szCs w:val="18"/>
              </w:rPr>
            </w:pPr>
            <w:r w:rsidRPr="007470BE">
              <w:rPr>
                <w:rFonts w:asciiTheme="minorHAnsi" w:eastAsiaTheme="minorHAnsi" w:hAnsiTheme="minorHAnsi" w:cstheme="minorHAnsi"/>
                <w:sz w:val="18"/>
                <w:szCs w:val="18"/>
              </w:rPr>
              <w:t>Степен на ефективност/ удовлетвореност</w:t>
            </w:r>
          </w:p>
        </w:tc>
        <w:tc>
          <w:tcPr>
            <w:tcW w:w="1013" w:type="dxa"/>
            <w:tcBorders>
              <w:top w:val="single" w:sz="4" w:space="0" w:color="auto"/>
              <w:bottom w:val="nil"/>
            </w:tcBorders>
            <w:vAlign w:val="center"/>
          </w:tcPr>
          <w:p w:rsidR="00204C82" w:rsidRPr="007470BE" w:rsidRDefault="00204C82" w:rsidP="002B2ADB">
            <w:pPr>
              <w:autoSpaceDE w:val="0"/>
              <w:autoSpaceDN w:val="0"/>
              <w:adjustRightInd w:val="0"/>
              <w:spacing w:after="0"/>
              <w:jc w:val="center"/>
              <w:rPr>
                <w:rFonts w:asciiTheme="minorHAnsi" w:eastAsiaTheme="minorHAnsi" w:hAnsiTheme="minorHAnsi" w:cstheme="minorHAnsi"/>
                <w:sz w:val="18"/>
                <w:szCs w:val="18"/>
              </w:rPr>
            </w:pPr>
            <w:r>
              <w:rPr>
                <w:rFonts w:asciiTheme="minorHAnsi" w:eastAsiaTheme="minorHAnsi" w:hAnsiTheme="minorHAnsi" w:cstheme="minorHAnsi"/>
                <w:sz w:val="18"/>
                <w:szCs w:val="18"/>
              </w:rPr>
              <w:t>100</w:t>
            </w:r>
            <w:r w:rsidRPr="007470BE">
              <w:rPr>
                <w:rFonts w:asciiTheme="minorHAnsi" w:eastAsiaTheme="minorHAnsi" w:hAnsiTheme="minorHAnsi" w:cstheme="minorHAnsi"/>
                <w:sz w:val="18"/>
                <w:szCs w:val="18"/>
              </w:rPr>
              <w:t>%</w:t>
            </w:r>
          </w:p>
        </w:tc>
        <w:tc>
          <w:tcPr>
            <w:tcW w:w="992" w:type="dxa"/>
            <w:tcBorders>
              <w:top w:val="single" w:sz="4" w:space="0" w:color="auto"/>
              <w:bottom w:val="nil"/>
            </w:tcBorders>
            <w:vAlign w:val="center"/>
          </w:tcPr>
          <w:p w:rsidR="00204C82" w:rsidRPr="007470BE" w:rsidRDefault="00204C82" w:rsidP="002B2ADB">
            <w:pPr>
              <w:autoSpaceDE w:val="0"/>
              <w:autoSpaceDN w:val="0"/>
              <w:adjustRightInd w:val="0"/>
              <w:spacing w:after="0"/>
              <w:jc w:val="center"/>
              <w:rPr>
                <w:rFonts w:asciiTheme="minorHAnsi" w:eastAsiaTheme="minorHAnsi" w:hAnsiTheme="minorHAnsi" w:cstheme="minorHAnsi"/>
                <w:sz w:val="18"/>
                <w:szCs w:val="18"/>
              </w:rPr>
            </w:pPr>
            <w:r>
              <w:rPr>
                <w:rFonts w:asciiTheme="minorHAnsi" w:eastAsiaTheme="minorHAnsi" w:hAnsiTheme="minorHAnsi" w:cstheme="minorHAnsi"/>
                <w:sz w:val="18"/>
                <w:szCs w:val="18"/>
              </w:rPr>
              <w:t>100</w:t>
            </w:r>
            <w:r w:rsidRPr="007470BE">
              <w:rPr>
                <w:rFonts w:asciiTheme="minorHAnsi" w:eastAsiaTheme="minorHAnsi" w:hAnsiTheme="minorHAnsi" w:cstheme="minorHAnsi"/>
                <w:sz w:val="18"/>
                <w:szCs w:val="18"/>
              </w:rPr>
              <w:t>%</w:t>
            </w:r>
          </w:p>
        </w:tc>
        <w:tc>
          <w:tcPr>
            <w:tcW w:w="992" w:type="dxa"/>
            <w:tcBorders>
              <w:top w:val="single" w:sz="4" w:space="0" w:color="auto"/>
              <w:bottom w:val="nil"/>
            </w:tcBorders>
            <w:vAlign w:val="center"/>
          </w:tcPr>
          <w:p w:rsidR="00204C82" w:rsidRPr="007470BE" w:rsidRDefault="00204C82" w:rsidP="002B2ADB">
            <w:pPr>
              <w:autoSpaceDE w:val="0"/>
              <w:autoSpaceDN w:val="0"/>
              <w:adjustRightInd w:val="0"/>
              <w:spacing w:after="0"/>
              <w:jc w:val="center"/>
              <w:rPr>
                <w:rFonts w:asciiTheme="minorHAnsi" w:eastAsiaTheme="minorHAnsi" w:hAnsiTheme="minorHAnsi" w:cstheme="minorHAnsi"/>
                <w:sz w:val="18"/>
                <w:szCs w:val="18"/>
              </w:rPr>
            </w:pPr>
            <w:r>
              <w:rPr>
                <w:rFonts w:asciiTheme="minorHAnsi" w:eastAsiaTheme="minorHAnsi" w:hAnsiTheme="minorHAnsi" w:cstheme="minorHAnsi"/>
                <w:sz w:val="18"/>
                <w:szCs w:val="18"/>
              </w:rPr>
              <w:t>100</w:t>
            </w:r>
            <w:r w:rsidRPr="007470BE">
              <w:rPr>
                <w:rFonts w:asciiTheme="minorHAnsi" w:eastAsiaTheme="minorHAnsi" w:hAnsiTheme="minorHAnsi" w:cstheme="minorHAnsi"/>
                <w:sz w:val="18"/>
                <w:szCs w:val="18"/>
              </w:rPr>
              <w:t>%</w:t>
            </w:r>
          </w:p>
        </w:tc>
        <w:tc>
          <w:tcPr>
            <w:tcW w:w="1338" w:type="dxa"/>
            <w:tcBorders>
              <w:top w:val="single" w:sz="4" w:space="0" w:color="auto"/>
              <w:bottom w:val="nil"/>
            </w:tcBorders>
            <w:vAlign w:val="center"/>
          </w:tcPr>
          <w:p w:rsidR="00204C82" w:rsidRPr="007470BE" w:rsidRDefault="00204C82" w:rsidP="002B2ADB">
            <w:pPr>
              <w:autoSpaceDE w:val="0"/>
              <w:autoSpaceDN w:val="0"/>
              <w:adjustRightInd w:val="0"/>
              <w:spacing w:after="0"/>
              <w:jc w:val="center"/>
              <w:rPr>
                <w:rFonts w:asciiTheme="minorHAnsi" w:eastAsiaTheme="minorHAnsi" w:hAnsiTheme="minorHAnsi" w:cstheme="minorHAnsi"/>
                <w:sz w:val="18"/>
                <w:szCs w:val="18"/>
                <w:lang w:val="en-US"/>
              </w:rPr>
            </w:pPr>
            <w:r>
              <w:rPr>
                <w:rFonts w:asciiTheme="minorHAnsi" w:eastAsiaTheme="minorHAnsi" w:hAnsiTheme="minorHAnsi" w:cstheme="minorHAnsi"/>
                <w:sz w:val="18"/>
                <w:szCs w:val="18"/>
                <w:lang w:val="en-US"/>
              </w:rPr>
              <w:t>100</w:t>
            </w:r>
            <w:r w:rsidRPr="007470BE">
              <w:rPr>
                <w:rFonts w:asciiTheme="minorHAnsi" w:eastAsiaTheme="minorHAnsi" w:hAnsiTheme="minorHAnsi" w:cstheme="minorHAnsi"/>
                <w:sz w:val="18"/>
                <w:szCs w:val="18"/>
                <w:lang w:val="en-US"/>
              </w:rPr>
              <w:t>%</w:t>
            </w:r>
          </w:p>
        </w:tc>
      </w:tr>
      <w:tr w:rsidR="00204C82" w:rsidRPr="007470BE" w:rsidTr="00DC7E7A">
        <w:trPr>
          <w:trHeight w:val="270"/>
          <w:jc w:val="center"/>
        </w:trPr>
        <w:tc>
          <w:tcPr>
            <w:tcW w:w="3033" w:type="dxa"/>
            <w:tcBorders>
              <w:top w:val="nil"/>
            </w:tcBorders>
          </w:tcPr>
          <w:p w:rsidR="00204C82" w:rsidRPr="007470BE" w:rsidRDefault="00204C82" w:rsidP="002B2ADB">
            <w:pPr>
              <w:tabs>
                <w:tab w:val="left" w:pos="240"/>
              </w:tabs>
              <w:autoSpaceDE w:val="0"/>
              <w:autoSpaceDN w:val="0"/>
              <w:adjustRightInd w:val="0"/>
              <w:spacing w:after="0"/>
              <w:rPr>
                <w:rFonts w:asciiTheme="minorHAnsi" w:eastAsiaTheme="minorHAnsi" w:hAnsiTheme="minorHAnsi" w:cstheme="minorHAnsi"/>
                <w:sz w:val="18"/>
                <w:szCs w:val="18"/>
              </w:rPr>
            </w:pPr>
            <w:r>
              <w:rPr>
                <w:rFonts w:asciiTheme="minorHAnsi" w:eastAsiaTheme="minorHAnsi" w:hAnsiTheme="minorHAnsi" w:cstheme="minorHAnsi"/>
                <w:sz w:val="18"/>
                <w:szCs w:val="18"/>
              </w:rPr>
              <w:t xml:space="preserve">2. </w:t>
            </w:r>
            <w:r w:rsidRPr="007470BE">
              <w:rPr>
                <w:rFonts w:asciiTheme="minorHAnsi" w:eastAsiaTheme="minorHAnsi" w:hAnsiTheme="minorHAnsi" w:cstheme="minorHAnsi"/>
                <w:sz w:val="18"/>
                <w:szCs w:val="18"/>
              </w:rPr>
              <w:t>Управление на българската помощ за развитие</w:t>
            </w:r>
          </w:p>
        </w:tc>
        <w:tc>
          <w:tcPr>
            <w:tcW w:w="1591" w:type="dxa"/>
            <w:tcBorders>
              <w:top w:val="nil"/>
            </w:tcBorders>
            <w:shd w:val="clear" w:color="auto" w:fill="F2F2F2" w:themeFill="background1" w:themeFillShade="F2"/>
            <w:vAlign w:val="center"/>
          </w:tcPr>
          <w:p w:rsidR="00204C82" w:rsidRPr="007470BE" w:rsidRDefault="00204C82" w:rsidP="002B2ADB">
            <w:pPr>
              <w:spacing w:after="0"/>
              <w:jc w:val="center"/>
              <w:rPr>
                <w:rFonts w:asciiTheme="minorHAnsi" w:eastAsiaTheme="minorHAnsi" w:hAnsiTheme="minorHAnsi" w:cstheme="minorHAnsi"/>
                <w:sz w:val="18"/>
                <w:szCs w:val="18"/>
              </w:rPr>
            </w:pPr>
            <w:r w:rsidRPr="007470BE">
              <w:rPr>
                <w:rFonts w:asciiTheme="minorHAnsi" w:eastAsiaTheme="minorHAnsi" w:hAnsiTheme="minorHAnsi" w:cstheme="minorHAnsi"/>
                <w:sz w:val="18"/>
                <w:szCs w:val="18"/>
              </w:rPr>
              <w:t>Степен на усвояемост и съотносимост към приоритетите на българската външна политика</w:t>
            </w:r>
          </w:p>
        </w:tc>
        <w:tc>
          <w:tcPr>
            <w:tcW w:w="1013" w:type="dxa"/>
            <w:tcBorders>
              <w:top w:val="nil"/>
            </w:tcBorders>
            <w:vAlign w:val="center"/>
          </w:tcPr>
          <w:p w:rsidR="00204C82" w:rsidRPr="007470BE" w:rsidRDefault="00204C82" w:rsidP="00204C82">
            <w:pPr>
              <w:spacing w:after="0"/>
              <w:jc w:val="center"/>
              <w:rPr>
                <w:rFonts w:asciiTheme="minorHAnsi" w:eastAsiaTheme="minorHAnsi" w:hAnsiTheme="minorHAnsi" w:cstheme="minorHAnsi"/>
                <w:iCs/>
                <w:sz w:val="18"/>
                <w:szCs w:val="18"/>
              </w:rPr>
            </w:pPr>
            <w:r w:rsidRPr="007470BE">
              <w:rPr>
                <w:rFonts w:asciiTheme="minorHAnsi" w:eastAsiaTheme="minorHAnsi" w:hAnsiTheme="minorHAnsi" w:cstheme="minorHAnsi"/>
                <w:iCs/>
                <w:sz w:val="18"/>
                <w:szCs w:val="18"/>
              </w:rPr>
              <w:t>100%</w:t>
            </w:r>
          </w:p>
        </w:tc>
        <w:tc>
          <w:tcPr>
            <w:tcW w:w="992" w:type="dxa"/>
            <w:tcBorders>
              <w:top w:val="nil"/>
            </w:tcBorders>
            <w:vAlign w:val="center"/>
          </w:tcPr>
          <w:p w:rsidR="00204C82" w:rsidRPr="007470BE" w:rsidRDefault="00204C82" w:rsidP="002B2ADB">
            <w:pPr>
              <w:spacing w:after="0"/>
              <w:jc w:val="center"/>
              <w:rPr>
                <w:rFonts w:asciiTheme="minorHAnsi" w:eastAsiaTheme="minorHAnsi" w:hAnsiTheme="minorHAnsi" w:cstheme="minorHAnsi"/>
                <w:iCs/>
                <w:sz w:val="18"/>
                <w:szCs w:val="18"/>
              </w:rPr>
            </w:pPr>
            <w:r>
              <w:rPr>
                <w:rFonts w:asciiTheme="minorHAnsi" w:eastAsiaTheme="minorHAnsi" w:hAnsiTheme="minorHAnsi" w:cstheme="minorHAnsi"/>
                <w:iCs/>
                <w:sz w:val="18"/>
                <w:szCs w:val="18"/>
              </w:rPr>
              <w:t>100</w:t>
            </w:r>
            <w:r w:rsidRPr="007470BE">
              <w:rPr>
                <w:rFonts w:asciiTheme="minorHAnsi" w:eastAsiaTheme="minorHAnsi" w:hAnsiTheme="minorHAnsi" w:cstheme="minorHAnsi"/>
                <w:iCs/>
                <w:sz w:val="18"/>
                <w:szCs w:val="18"/>
              </w:rPr>
              <w:t>%</w:t>
            </w:r>
          </w:p>
        </w:tc>
        <w:tc>
          <w:tcPr>
            <w:tcW w:w="992" w:type="dxa"/>
            <w:tcBorders>
              <w:top w:val="nil"/>
            </w:tcBorders>
            <w:vAlign w:val="center"/>
          </w:tcPr>
          <w:p w:rsidR="00204C82" w:rsidRPr="007470BE" w:rsidRDefault="00204C82" w:rsidP="002B2ADB">
            <w:pPr>
              <w:spacing w:after="0"/>
              <w:jc w:val="center"/>
              <w:rPr>
                <w:rFonts w:asciiTheme="minorHAnsi" w:eastAsiaTheme="minorHAnsi" w:hAnsiTheme="minorHAnsi" w:cstheme="minorHAnsi"/>
                <w:iCs/>
                <w:sz w:val="18"/>
                <w:szCs w:val="18"/>
              </w:rPr>
            </w:pPr>
            <w:r>
              <w:rPr>
                <w:rFonts w:asciiTheme="minorHAnsi" w:eastAsiaTheme="minorHAnsi" w:hAnsiTheme="minorHAnsi" w:cstheme="minorHAnsi"/>
                <w:iCs/>
                <w:sz w:val="18"/>
                <w:szCs w:val="18"/>
              </w:rPr>
              <w:t>100</w:t>
            </w:r>
            <w:r w:rsidRPr="007470BE">
              <w:rPr>
                <w:rFonts w:asciiTheme="minorHAnsi" w:eastAsiaTheme="minorHAnsi" w:hAnsiTheme="minorHAnsi" w:cstheme="minorHAnsi"/>
                <w:iCs/>
                <w:sz w:val="18"/>
                <w:szCs w:val="18"/>
              </w:rPr>
              <w:t>%</w:t>
            </w:r>
          </w:p>
        </w:tc>
        <w:tc>
          <w:tcPr>
            <w:tcW w:w="1338" w:type="dxa"/>
            <w:tcBorders>
              <w:top w:val="nil"/>
            </w:tcBorders>
            <w:vAlign w:val="center"/>
          </w:tcPr>
          <w:p w:rsidR="00204C82" w:rsidRPr="007470BE" w:rsidRDefault="00204C82" w:rsidP="002B2ADB">
            <w:pPr>
              <w:spacing w:after="0"/>
              <w:jc w:val="center"/>
              <w:rPr>
                <w:rFonts w:asciiTheme="minorHAnsi" w:eastAsiaTheme="minorHAnsi" w:hAnsiTheme="minorHAnsi" w:cstheme="minorHAnsi"/>
                <w:iCs/>
                <w:sz w:val="18"/>
                <w:szCs w:val="18"/>
              </w:rPr>
            </w:pPr>
            <w:r w:rsidRPr="007470BE">
              <w:rPr>
                <w:rFonts w:asciiTheme="minorHAnsi" w:eastAsiaTheme="minorHAnsi" w:hAnsiTheme="minorHAnsi" w:cstheme="minorHAnsi"/>
                <w:iCs/>
                <w:sz w:val="18"/>
                <w:szCs w:val="18"/>
              </w:rPr>
              <w:t>100%</w:t>
            </w:r>
          </w:p>
        </w:tc>
      </w:tr>
    </w:tbl>
    <w:p w:rsidR="00204C82" w:rsidRDefault="00204C82" w:rsidP="0040745C">
      <w:pPr>
        <w:spacing w:after="0"/>
        <w:rPr>
          <w:rFonts w:eastAsiaTheme="minorHAnsi"/>
          <w:b/>
          <w:bCs/>
          <w:sz w:val="20"/>
          <w:szCs w:val="20"/>
        </w:rPr>
      </w:pPr>
    </w:p>
    <w:p w:rsidR="003D31B5" w:rsidRPr="00791D0C" w:rsidRDefault="003D31B5" w:rsidP="00791D0C">
      <w:pPr>
        <w:pStyle w:val="Heading4"/>
        <w:rPr>
          <w:rFonts w:eastAsia="Times New Roman"/>
        </w:rPr>
      </w:pPr>
      <w:r w:rsidRPr="00791D0C">
        <w:rPr>
          <w:rFonts w:eastAsia="Times New Roman"/>
        </w:rPr>
        <w:t>Политика в областта на  публичната дипломация</w:t>
      </w:r>
    </w:p>
    <w:p w:rsidR="006776B0" w:rsidRDefault="006776B0" w:rsidP="003350EA">
      <w:pPr>
        <w:spacing w:before="120" w:after="0"/>
        <w:rPr>
          <w:highlight w:val="yellow"/>
        </w:rPr>
      </w:pPr>
    </w:p>
    <w:p w:rsidR="00204C82" w:rsidRPr="007470BE" w:rsidRDefault="00204C82" w:rsidP="00204C82">
      <w:pPr>
        <w:spacing w:before="120" w:after="0"/>
        <w:rPr>
          <w:noProof/>
          <w:szCs w:val="24"/>
        </w:rPr>
      </w:pPr>
      <w:r w:rsidRPr="007470BE">
        <w:rPr>
          <w:noProof/>
          <w:szCs w:val="24"/>
        </w:rPr>
        <w:t>Стратегическа цел на политиката е създаване на благоприятна вътрешна и външна среда, осигуряваща успешно изпълнение на външнополитическата програма и заложените в нея водещи цели и приоритети, част от които са повишаване на специализираните знания и умения на представителите на дипломатическата служба и държавната администрация, чиято дейност е свързана с планиране и провеждане на външната политика на Република България; насърчаване на публичната дискусия по актуални външнополитически теми и приобщаване на българското общество и гражданските институции към външнополитическите позиции и действия на България; развитие на положителен публичен образ в страна и в чужбина.</w:t>
      </w:r>
    </w:p>
    <w:p w:rsidR="00264ABB" w:rsidRDefault="00204C82" w:rsidP="00DF438C">
      <w:pPr>
        <w:spacing w:before="120" w:after="0"/>
        <w:rPr>
          <w:noProof/>
          <w:szCs w:val="24"/>
        </w:rPr>
      </w:pPr>
      <w:r w:rsidRPr="007470BE">
        <w:rPr>
          <w:noProof/>
          <w:szCs w:val="24"/>
        </w:rPr>
        <w:t xml:space="preserve">Непосредствен ефект за обществото е получаването на навременна и надеждна информация, повишаване на степента на доверие към дипломатическата служба и изграждане на отношения на диалог между нея и гражданското общество, формиращо в значителна степен публичните нагласи към провежданата външна политика. </w:t>
      </w:r>
    </w:p>
    <w:p w:rsidR="00DF438C" w:rsidRPr="00D4577F" w:rsidRDefault="00DF438C" w:rsidP="00DF438C">
      <w:pPr>
        <w:spacing w:before="120" w:after="0"/>
        <w:rPr>
          <w:noProof/>
          <w:szCs w:val="24"/>
        </w:rPr>
      </w:pPr>
    </w:p>
    <w:p w:rsidR="006776B0" w:rsidRDefault="006776B0" w:rsidP="00DF438C">
      <w:pPr>
        <w:spacing w:before="120" w:after="0"/>
        <w:rPr>
          <w:rFonts w:eastAsiaTheme="minorHAnsi"/>
          <w:b/>
          <w:bCs/>
          <w:sz w:val="20"/>
          <w:szCs w:val="20"/>
        </w:rPr>
      </w:pPr>
      <w:bookmarkStart w:id="490" w:name="_Toc465070474"/>
      <w:bookmarkStart w:id="491" w:name="_Toc465205524"/>
      <w:r w:rsidRPr="00B46D05">
        <w:rPr>
          <w:rFonts w:eastAsiaTheme="minorHAnsi"/>
          <w:b/>
          <w:bCs/>
          <w:sz w:val="20"/>
          <w:szCs w:val="20"/>
        </w:rPr>
        <w:t>КЛЮЧОВИ ИНДИКАТОРИ ЗА ИЗПЪЛНЕНИЕ И ЦЕЛЕВИ СТОЙНОСТИ</w:t>
      </w:r>
    </w:p>
    <w:p w:rsidR="00204C82" w:rsidRDefault="00204C82" w:rsidP="006776B0">
      <w:pPr>
        <w:spacing w:after="0"/>
        <w:rPr>
          <w:rFonts w:eastAsiaTheme="minorHAnsi"/>
          <w:b/>
          <w:bCs/>
          <w:sz w:val="20"/>
          <w:szCs w:val="20"/>
        </w:rPr>
      </w:pPr>
    </w:p>
    <w:tbl>
      <w:tblPr>
        <w:tblStyle w:val="TableGrid2"/>
        <w:tblW w:w="9297" w:type="dxa"/>
        <w:tblBorders>
          <w:left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2775"/>
        <w:gridCol w:w="1379"/>
        <w:gridCol w:w="1092"/>
        <w:gridCol w:w="1311"/>
        <w:gridCol w:w="1370"/>
        <w:gridCol w:w="1370"/>
      </w:tblGrid>
      <w:tr w:rsidR="00204C82" w:rsidRPr="007470BE" w:rsidTr="00F11BBA">
        <w:trPr>
          <w:trHeight w:val="255"/>
          <w:tblHeader/>
        </w:trPr>
        <w:tc>
          <w:tcPr>
            <w:tcW w:w="2775" w:type="dxa"/>
            <w:tcBorders>
              <w:bottom w:val="nil"/>
            </w:tcBorders>
          </w:tcPr>
          <w:p w:rsidR="00204C82" w:rsidRPr="007470BE" w:rsidRDefault="00204C82" w:rsidP="002B2ADB">
            <w:pPr>
              <w:spacing w:after="0"/>
              <w:jc w:val="center"/>
              <w:rPr>
                <w:rFonts w:eastAsiaTheme="minorHAnsi"/>
                <w:i/>
                <w:iCs/>
                <w:sz w:val="18"/>
                <w:szCs w:val="18"/>
              </w:rPr>
            </w:pPr>
            <w:r w:rsidRPr="007470BE">
              <w:rPr>
                <w:rFonts w:eastAsiaTheme="minorHAnsi"/>
                <w:b/>
                <w:i/>
                <w:iCs/>
                <w:sz w:val="18"/>
                <w:szCs w:val="18"/>
              </w:rPr>
              <w:t>Политика в областта на публичната дипломация</w:t>
            </w:r>
          </w:p>
          <w:p w:rsidR="00204C82" w:rsidRPr="007470BE" w:rsidRDefault="00204C82" w:rsidP="002B2ADB">
            <w:pPr>
              <w:spacing w:after="0"/>
              <w:jc w:val="center"/>
              <w:rPr>
                <w:rFonts w:eastAsiaTheme="minorHAnsi"/>
                <w:iCs/>
                <w:sz w:val="18"/>
                <w:szCs w:val="18"/>
              </w:rPr>
            </w:pPr>
          </w:p>
        </w:tc>
        <w:tc>
          <w:tcPr>
            <w:tcW w:w="1379" w:type="dxa"/>
            <w:vMerge w:val="restart"/>
            <w:tcBorders>
              <w:bottom w:val="nil"/>
            </w:tcBorders>
            <w:shd w:val="clear" w:color="auto" w:fill="F2F2F2" w:themeFill="background1" w:themeFillShade="F2"/>
          </w:tcPr>
          <w:p w:rsidR="00204C82" w:rsidRPr="007470BE" w:rsidRDefault="00204C82" w:rsidP="002B2ADB">
            <w:pPr>
              <w:spacing w:after="0"/>
              <w:jc w:val="left"/>
              <w:rPr>
                <w:rFonts w:eastAsiaTheme="minorHAnsi"/>
                <w:sz w:val="18"/>
                <w:szCs w:val="18"/>
              </w:rPr>
            </w:pPr>
            <w:r w:rsidRPr="007470BE">
              <w:rPr>
                <w:rFonts w:eastAsiaTheme="minorHAnsi"/>
                <w:sz w:val="18"/>
                <w:szCs w:val="18"/>
              </w:rPr>
              <w:t> </w:t>
            </w:r>
          </w:p>
          <w:p w:rsidR="00204C82" w:rsidRPr="007470BE" w:rsidRDefault="00204C82" w:rsidP="002B2ADB">
            <w:pPr>
              <w:spacing w:after="0"/>
              <w:jc w:val="center"/>
              <w:rPr>
                <w:rFonts w:eastAsiaTheme="minorHAnsi"/>
                <w:sz w:val="18"/>
                <w:szCs w:val="18"/>
              </w:rPr>
            </w:pPr>
            <w:r w:rsidRPr="007470BE">
              <w:rPr>
                <w:rFonts w:eastAsiaTheme="minorHAnsi"/>
                <w:b/>
                <w:bCs/>
                <w:sz w:val="18"/>
                <w:szCs w:val="18"/>
              </w:rPr>
              <w:t>Мерна единица</w:t>
            </w:r>
          </w:p>
        </w:tc>
        <w:tc>
          <w:tcPr>
            <w:tcW w:w="5143" w:type="dxa"/>
            <w:gridSpan w:val="4"/>
            <w:tcBorders>
              <w:bottom w:val="single" w:sz="4" w:space="0" w:color="auto"/>
            </w:tcBorders>
          </w:tcPr>
          <w:p w:rsidR="00204C82" w:rsidRPr="007470BE" w:rsidRDefault="00204C82" w:rsidP="002B2ADB">
            <w:pPr>
              <w:spacing w:after="0"/>
              <w:ind w:left="162"/>
              <w:jc w:val="center"/>
              <w:rPr>
                <w:rFonts w:eastAsiaTheme="minorHAnsi"/>
                <w:b/>
                <w:bCs/>
                <w:sz w:val="18"/>
                <w:szCs w:val="18"/>
              </w:rPr>
            </w:pPr>
            <w:r w:rsidRPr="007470BE">
              <w:rPr>
                <w:rFonts w:eastAsiaTheme="minorHAnsi"/>
                <w:b/>
                <w:bCs/>
                <w:sz w:val="18"/>
                <w:szCs w:val="18"/>
              </w:rPr>
              <w:t>Целева стойност</w:t>
            </w:r>
          </w:p>
        </w:tc>
      </w:tr>
      <w:tr w:rsidR="00204C82" w:rsidRPr="007470BE" w:rsidTr="00F11BBA">
        <w:trPr>
          <w:trHeight w:val="450"/>
          <w:tblHeader/>
        </w:trPr>
        <w:tc>
          <w:tcPr>
            <w:tcW w:w="2775" w:type="dxa"/>
            <w:tcBorders>
              <w:top w:val="nil"/>
              <w:bottom w:val="single" w:sz="4" w:space="0" w:color="auto"/>
            </w:tcBorders>
          </w:tcPr>
          <w:p w:rsidR="00204C82" w:rsidRPr="007470BE" w:rsidRDefault="00204C82" w:rsidP="002B2ADB">
            <w:pPr>
              <w:spacing w:after="0"/>
              <w:jc w:val="center"/>
              <w:rPr>
                <w:rFonts w:eastAsiaTheme="minorHAnsi"/>
                <w:b/>
                <w:bCs/>
                <w:sz w:val="18"/>
                <w:szCs w:val="18"/>
              </w:rPr>
            </w:pPr>
            <w:r w:rsidRPr="007470BE">
              <w:rPr>
                <w:rFonts w:eastAsiaTheme="minorHAnsi"/>
                <w:b/>
                <w:bCs/>
                <w:sz w:val="18"/>
                <w:szCs w:val="18"/>
              </w:rPr>
              <w:t>Наименование на индикатора</w:t>
            </w:r>
          </w:p>
        </w:tc>
        <w:tc>
          <w:tcPr>
            <w:tcW w:w="1379" w:type="dxa"/>
            <w:vMerge/>
            <w:tcBorders>
              <w:top w:val="nil"/>
              <w:bottom w:val="single" w:sz="4" w:space="0" w:color="auto"/>
            </w:tcBorders>
            <w:shd w:val="clear" w:color="auto" w:fill="F2F2F2" w:themeFill="background1" w:themeFillShade="F2"/>
          </w:tcPr>
          <w:p w:rsidR="00204C82" w:rsidRPr="007470BE" w:rsidRDefault="00204C82" w:rsidP="002B2ADB">
            <w:pPr>
              <w:spacing w:after="0"/>
              <w:jc w:val="center"/>
              <w:rPr>
                <w:rFonts w:eastAsiaTheme="minorHAnsi"/>
                <w:b/>
                <w:bCs/>
                <w:sz w:val="18"/>
                <w:szCs w:val="18"/>
              </w:rPr>
            </w:pPr>
          </w:p>
        </w:tc>
        <w:tc>
          <w:tcPr>
            <w:tcW w:w="1092" w:type="dxa"/>
            <w:tcBorders>
              <w:top w:val="single" w:sz="4" w:space="0" w:color="auto"/>
              <w:bottom w:val="single" w:sz="4" w:space="0" w:color="auto"/>
            </w:tcBorders>
          </w:tcPr>
          <w:p w:rsidR="00204C82" w:rsidRPr="007470BE" w:rsidRDefault="00204C82" w:rsidP="002B2ADB">
            <w:pPr>
              <w:spacing w:after="0"/>
              <w:jc w:val="center"/>
              <w:rPr>
                <w:rFonts w:eastAsiaTheme="minorHAnsi"/>
                <w:b/>
                <w:bCs/>
                <w:i/>
                <w:iCs/>
                <w:sz w:val="18"/>
                <w:szCs w:val="18"/>
              </w:rPr>
            </w:pPr>
            <w:r w:rsidRPr="007470BE">
              <w:rPr>
                <w:rFonts w:eastAsiaTheme="minorHAnsi"/>
                <w:b/>
                <w:bCs/>
                <w:i/>
                <w:iCs/>
                <w:sz w:val="18"/>
                <w:szCs w:val="18"/>
              </w:rPr>
              <w:t>Програма 201</w:t>
            </w:r>
            <w:r w:rsidRPr="007470BE">
              <w:rPr>
                <w:rFonts w:eastAsiaTheme="minorHAnsi"/>
                <w:b/>
                <w:bCs/>
                <w:i/>
                <w:iCs/>
                <w:sz w:val="18"/>
                <w:szCs w:val="18"/>
                <w:lang w:val="en-US"/>
              </w:rPr>
              <w:t>9</w:t>
            </w:r>
            <w:r w:rsidRPr="007470BE">
              <w:rPr>
                <w:rFonts w:eastAsiaTheme="minorHAnsi"/>
                <w:b/>
                <w:bCs/>
                <w:i/>
                <w:iCs/>
                <w:sz w:val="18"/>
                <w:szCs w:val="18"/>
              </w:rPr>
              <w:t xml:space="preserve"> г.</w:t>
            </w:r>
          </w:p>
        </w:tc>
        <w:tc>
          <w:tcPr>
            <w:tcW w:w="1311" w:type="dxa"/>
            <w:tcBorders>
              <w:top w:val="single" w:sz="4" w:space="0" w:color="auto"/>
              <w:bottom w:val="single" w:sz="4" w:space="0" w:color="auto"/>
            </w:tcBorders>
          </w:tcPr>
          <w:p w:rsidR="00204C82" w:rsidRPr="007470BE" w:rsidRDefault="00204C82" w:rsidP="002B2ADB">
            <w:pPr>
              <w:spacing w:after="0"/>
              <w:jc w:val="center"/>
              <w:rPr>
                <w:rFonts w:eastAsiaTheme="minorHAnsi"/>
                <w:b/>
                <w:bCs/>
                <w:i/>
                <w:iCs/>
                <w:sz w:val="18"/>
                <w:szCs w:val="18"/>
              </w:rPr>
            </w:pPr>
            <w:r w:rsidRPr="007470BE">
              <w:rPr>
                <w:rFonts w:eastAsiaTheme="minorHAnsi"/>
                <w:b/>
                <w:bCs/>
                <w:i/>
                <w:iCs/>
                <w:sz w:val="18"/>
                <w:szCs w:val="18"/>
              </w:rPr>
              <w:t>Про</w:t>
            </w:r>
            <w:r w:rsidR="00F1198E">
              <w:rPr>
                <w:rFonts w:eastAsiaTheme="minorHAnsi"/>
                <w:b/>
                <w:bCs/>
                <w:i/>
                <w:iCs/>
                <w:sz w:val="18"/>
                <w:szCs w:val="18"/>
              </w:rPr>
              <w:t>ект</w:t>
            </w:r>
            <w:r w:rsidRPr="007470BE">
              <w:rPr>
                <w:rFonts w:eastAsiaTheme="minorHAnsi"/>
                <w:b/>
                <w:bCs/>
                <w:i/>
                <w:iCs/>
                <w:sz w:val="18"/>
                <w:szCs w:val="18"/>
              </w:rPr>
              <w:t xml:space="preserve"> </w:t>
            </w:r>
            <w:r w:rsidR="00F837DF">
              <w:rPr>
                <w:rFonts w:eastAsiaTheme="minorHAnsi"/>
                <w:b/>
                <w:bCs/>
                <w:i/>
                <w:iCs/>
                <w:sz w:val="18"/>
                <w:szCs w:val="18"/>
              </w:rPr>
              <w:t xml:space="preserve">              </w:t>
            </w:r>
            <w:r w:rsidRPr="007470BE">
              <w:rPr>
                <w:rFonts w:eastAsiaTheme="minorHAnsi"/>
                <w:b/>
                <w:bCs/>
                <w:i/>
                <w:iCs/>
                <w:sz w:val="18"/>
                <w:szCs w:val="18"/>
              </w:rPr>
              <w:t>20</w:t>
            </w:r>
            <w:r w:rsidRPr="007470BE">
              <w:rPr>
                <w:rFonts w:eastAsiaTheme="minorHAnsi"/>
                <w:b/>
                <w:bCs/>
                <w:i/>
                <w:iCs/>
                <w:sz w:val="18"/>
                <w:szCs w:val="18"/>
                <w:lang w:val="en-US"/>
              </w:rPr>
              <w:t>20</w:t>
            </w:r>
            <w:r w:rsidRPr="007470BE">
              <w:rPr>
                <w:rFonts w:eastAsiaTheme="minorHAnsi"/>
                <w:b/>
                <w:bCs/>
                <w:i/>
                <w:iCs/>
                <w:sz w:val="18"/>
                <w:szCs w:val="18"/>
              </w:rPr>
              <w:t xml:space="preserve"> г.</w:t>
            </w:r>
          </w:p>
        </w:tc>
        <w:tc>
          <w:tcPr>
            <w:tcW w:w="1370" w:type="dxa"/>
            <w:tcBorders>
              <w:top w:val="single" w:sz="4" w:space="0" w:color="auto"/>
              <w:bottom w:val="single" w:sz="4" w:space="0" w:color="auto"/>
            </w:tcBorders>
          </w:tcPr>
          <w:p w:rsidR="00204C82" w:rsidRPr="007470BE" w:rsidRDefault="00204C82" w:rsidP="002B2ADB">
            <w:pPr>
              <w:spacing w:after="0"/>
              <w:jc w:val="center"/>
              <w:rPr>
                <w:rFonts w:eastAsiaTheme="minorHAnsi"/>
                <w:b/>
                <w:bCs/>
                <w:i/>
                <w:iCs/>
                <w:sz w:val="18"/>
                <w:szCs w:val="18"/>
              </w:rPr>
            </w:pPr>
            <w:r w:rsidRPr="007470BE">
              <w:rPr>
                <w:rFonts w:eastAsiaTheme="minorHAnsi"/>
                <w:b/>
                <w:bCs/>
                <w:i/>
                <w:iCs/>
                <w:sz w:val="18"/>
                <w:szCs w:val="18"/>
              </w:rPr>
              <w:t xml:space="preserve">Прогноза </w:t>
            </w:r>
            <w:r w:rsidRPr="007470BE">
              <w:rPr>
                <w:rFonts w:eastAsiaTheme="minorHAnsi"/>
                <w:b/>
                <w:bCs/>
                <w:i/>
                <w:iCs/>
                <w:sz w:val="18"/>
                <w:szCs w:val="18"/>
              </w:rPr>
              <w:br/>
              <w:t>202</w:t>
            </w:r>
            <w:r w:rsidRPr="007470BE">
              <w:rPr>
                <w:rFonts w:eastAsiaTheme="minorHAnsi"/>
                <w:b/>
                <w:bCs/>
                <w:i/>
                <w:iCs/>
                <w:sz w:val="18"/>
                <w:szCs w:val="18"/>
                <w:lang w:val="en-US"/>
              </w:rPr>
              <w:t>1</w:t>
            </w:r>
            <w:r w:rsidRPr="007470BE">
              <w:rPr>
                <w:rFonts w:eastAsiaTheme="minorHAnsi"/>
                <w:b/>
                <w:bCs/>
                <w:i/>
                <w:iCs/>
                <w:sz w:val="18"/>
                <w:szCs w:val="18"/>
              </w:rPr>
              <w:t xml:space="preserve"> г.</w:t>
            </w:r>
          </w:p>
        </w:tc>
        <w:tc>
          <w:tcPr>
            <w:tcW w:w="1370" w:type="dxa"/>
            <w:tcBorders>
              <w:top w:val="single" w:sz="4" w:space="0" w:color="auto"/>
              <w:bottom w:val="single" w:sz="4" w:space="0" w:color="auto"/>
            </w:tcBorders>
          </w:tcPr>
          <w:p w:rsidR="00204C82" w:rsidRPr="007470BE" w:rsidRDefault="00204C82" w:rsidP="002B2ADB">
            <w:pPr>
              <w:spacing w:after="0"/>
              <w:jc w:val="center"/>
              <w:rPr>
                <w:rFonts w:eastAsiaTheme="minorHAnsi"/>
                <w:b/>
                <w:bCs/>
                <w:i/>
                <w:iCs/>
                <w:sz w:val="18"/>
                <w:szCs w:val="18"/>
              </w:rPr>
            </w:pPr>
            <w:r w:rsidRPr="007470BE">
              <w:rPr>
                <w:rFonts w:eastAsiaTheme="minorHAnsi"/>
                <w:b/>
                <w:bCs/>
                <w:i/>
                <w:iCs/>
                <w:sz w:val="18"/>
                <w:szCs w:val="18"/>
              </w:rPr>
              <w:t xml:space="preserve">Прогноза </w:t>
            </w:r>
            <w:r w:rsidRPr="007470BE">
              <w:rPr>
                <w:rFonts w:eastAsiaTheme="minorHAnsi"/>
                <w:b/>
                <w:bCs/>
                <w:i/>
                <w:iCs/>
                <w:sz w:val="18"/>
                <w:szCs w:val="18"/>
              </w:rPr>
              <w:br/>
              <w:t>2022 г.</w:t>
            </w:r>
          </w:p>
        </w:tc>
      </w:tr>
      <w:tr w:rsidR="00204C82" w:rsidRPr="007470BE" w:rsidTr="00A14763">
        <w:trPr>
          <w:trHeight w:val="61"/>
        </w:trPr>
        <w:tc>
          <w:tcPr>
            <w:tcW w:w="2775" w:type="dxa"/>
            <w:tcBorders>
              <w:top w:val="single" w:sz="4" w:space="0" w:color="auto"/>
              <w:bottom w:val="nil"/>
            </w:tcBorders>
          </w:tcPr>
          <w:p w:rsidR="00204C82" w:rsidRPr="007470BE" w:rsidRDefault="00204C82" w:rsidP="002B2ADB">
            <w:pPr>
              <w:keepNext/>
              <w:spacing w:after="0"/>
              <w:jc w:val="left"/>
              <w:rPr>
                <w:rFonts w:eastAsiaTheme="minorHAnsi"/>
                <w:sz w:val="18"/>
                <w:szCs w:val="18"/>
              </w:rPr>
            </w:pPr>
            <w:r>
              <w:rPr>
                <w:rFonts w:eastAsiaTheme="minorHAnsi"/>
                <w:sz w:val="18"/>
                <w:szCs w:val="18"/>
              </w:rPr>
              <w:t xml:space="preserve">1. </w:t>
            </w:r>
            <w:r w:rsidRPr="007470BE">
              <w:rPr>
                <w:rFonts w:eastAsiaTheme="minorHAnsi"/>
                <w:sz w:val="18"/>
                <w:szCs w:val="18"/>
              </w:rPr>
              <w:t>Служители от МВнР, обучавани в програми на Дипломатическия институт</w:t>
            </w:r>
          </w:p>
          <w:p w:rsidR="00204C82" w:rsidRPr="007470BE" w:rsidRDefault="00204C82" w:rsidP="002B2ADB">
            <w:pPr>
              <w:keepNext/>
              <w:spacing w:after="0"/>
              <w:jc w:val="left"/>
              <w:rPr>
                <w:rFonts w:eastAsiaTheme="minorHAnsi"/>
                <w:sz w:val="18"/>
                <w:szCs w:val="18"/>
              </w:rPr>
            </w:pPr>
          </w:p>
        </w:tc>
        <w:tc>
          <w:tcPr>
            <w:tcW w:w="1379" w:type="dxa"/>
            <w:tcBorders>
              <w:top w:val="single" w:sz="4" w:space="0" w:color="auto"/>
              <w:bottom w:val="nil"/>
            </w:tcBorders>
            <w:shd w:val="clear" w:color="auto" w:fill="F2F2F2" w:themeFill="background1" w:themeFillShade="F2"/>
            <w:vAlign w:val="center"/>
          </w:tcPr>
          <w:p w:rsidR="00204C82" w:rsidRPr="007470BE" w:rsidRDefault="00204C82" w:rsidP="002B2ADB">
            <w:pPr>
              <w:keepNext/>
              <w:spacing w:after="0"/>
              <w:jc w:val="center"/>
              <w:rPr>
                <w:rFonts w:eastAsiaTheme="minorHAnsi"/>
                <w:sz w:val="18"/>
                <w:szCs w:val="18"/>
              </w:rPr>
            </w:pPr>
            <w:r>
              <w:rPr>
                <w:rFonts w:eastAsiaTheme="minorHAnsi"/>
                <w:sz w:val="18"/>
                <w:szCs w:val="18"/>
              </w:rPr>
              <w:t>б</w:t>
            </w:r>
            <w:r w:rsidRPr="007470BE">
              <w:rPr>
                <w:rFonts w:eastAsiaTheme="minorHAnsi"/>
                <w:sz w:val="18"/>
                <w:szCs w:val="18"/>
              </w:rPr>
              <w:t>рой</w:t>
            </w:r>
          </w:p>
        </w:tc>
        <w:tc>
          <w:tcPr>
            <w:tcW w:w="1092" w:type="dxa"/>
            <w:tcBorders>
              <w:top w:val="single" w:sz="4" w:space="0" w:color="auto"/>
              <w:bottom w:val="nil"/>
            </w:tcBorders>
            <w:vAlign w:val="center"/>
          </w:tcPr>
          <w:p w:rsidR="00204C82" w:rsidRPr="007470BE" w:rsidRDefault="00204C82" w:rsidP="002B2ADB">
            <w:pPr>
              <w:keepNext/>
              <w:spacing w:after="0"/>
              <w:jc w:val="center"/>
              <w:rPr>
                <w:rFonts w:eastAsiaTheme="minorHAnsi"/>
                <w:sz w:val="18"/>
                <w:szCs w:val="18"/>
              </w:rPr>
            </w:pPr>
            <w:r w:rsidRPr="007470BE">
              <w:rPr>
                <w:rFonts w:eastAsiaTheme="minorHAnsi"/>
                <w:sz w:val="18"/>
                <w:szCs w:val="18"/>
              </w:rPr>
              <w:t>120</w:t>
            </w:r>
          </w:p>
        </w:tc>
        <w:tc>
          <w:tcPr>
            <w:tcW w:w="1311" w:type="dxa"/>
            <w:tcBorders>
              <w:top w:val="single" w:sz="4" w:space="0" w:color="auto"/>
              <w:bottom w:val="nil"/>
            </w:tcBorders>
            <w:vAlign w:val="center"/>
          </w:tcPr>
          <w:p w:rsidR="00204C82" w:rsidRPr="007470BE" w:rsidRDefault="00204C82" w:rsidP="002B2ADB">
            <w:pPr>
              <w:keepNext/>
              <w:spacing w:after="0"/>
              <w:jc w:val="center"/>
              <w:rPr>
                <w:rFonts w:eastAsiaTheme="minorHAnsi"/>
                <w:sz w:val="18"/>
                <w:szCs w:val="18"/>
              </w:rPr>
            </w:pPr>
            <w:r w:rsidRPr="007470BE">
              <w:rPr>
                <w:rFonts w:eastAsiaTheme="minorHAnsi"/>
                <w:sz w:val="18"/>
                <w:szCs w:val="18"/>
              </w:rPr>
              <w:t>120</w:t>
            </w:r>
          </w:p>
        </w:tc>
        <w:tc>
          <w:tcPr>
            <w:tcW w:w="1370" w:type="dxa"/>
            <w:tcBorders>
              <w:top w:val="single" w:sz="4" w:space="0" w:color="auto"/>
              <w:bottom w:val="nil"/>
            </w:tcBorders>
            <w:vAlign w:val="center"/>
          </w:tcPr>
          <w:p w:rsidR="00204C82" w:rsidRPr="007470BE" w:rsidRDefault="00204C82" w:rsidP="002B2ADB">
            <w:pPr>
              <w:keepNext/>
              <w:spacing w:after="0"/>
              <w:jc w:val="center"/>
              <w:rPr>
                <w:rFonts w:eastAsiaTheme="minorHAnsi"/>
                <w:sz w:val="18"/>
                <w:szCs w:val="18"/>
              </w:rPr>
            </w:pPr>
            <w:r w:rsidRPr="007470BE">
              <w:rPr>
                <w:rFonts w:eastAsiaTheme="minorHAnsi"/>
                <w:sz w:val="18"/>
                <w:szCs w:val="18"/>
              </w:rPr>
              <w:t>120</w:t>
            </w:r>
          </w:p>
        </w:tc>
        <w:tc>
          <w:tcPr>
            <w:tcW w:w="1370" w:type="dxa"/>
            <w:tcBorders>
              <w:top w:val="single" w:sz="4" w:space="0" w:color="auto"/>
              <w:bottom w:val="nil"/>
            </w:tcBorders>
            <w:vAlign w:val="center"/>
          </w:tcPr>
          <w:p w:rsidR="00204C82" w:rsidRPr="007470BE" w:rsidRDefault="00204C82" w:rsidP="002B2ADB">
            <w:pPr>
              <w:keepNext/>
              <w:spacing w:after="0"/>
              <w:jc w:val="center"/>
              <w:rPr>
                <w:rFonts w:eastAsiaTheme="minorHAnsi"/>
                <w:sz w:val="18"/>
                <w:szCs w:val="18"/>
              </w:rPr>
            </w:pPr>
            <w:r w:rsidRPr="007470BE">
              <w:rPr>
                <w:rFonts w:eastAsiaTheme="minorHAnsi"/>
                <w:sz w:val="18"/>
                <w:szCs w:val="18"/>
              </w:rPr>
              <w:t>120</w:t>
            </w:r>
          </w:p>
        </w:tc>
      </w:tr>
      <w:tr w:rsidR="00204C82" w:rsidRPr="007470BE" w:rsidTr="00DC7E7A">
        <w:trPr>
          <w:trHeight w:val="70"/>
        </w:trPr>
        <w:tc>
          <w:tcPr>
            <w:tcW w:w="2775" w:type="dxa"/>
            <w:tcBorders>
              <w:top w:val="nil"/>
            </w:tcBorders>
          </w:tcPr>
          <w:p w:rsidR="00204C82" w:rsidRPr="007470BE" w:rsidRDefault="00204C82" w:rsidP="002B2ADB">
            <w:pPr>
              <w:keepNext/>
              <w:spacing w:after="0"/>
              <w:jc w:val="left"/>
              <w:rPr>
                <w:rFonts w:eastAsiaTheme="minorHAnsi"/>
                <w:sz w:val="18"/>
                <w:szCs w:val="18"/>
              </w:rPr>
            </w:pPr>
            <w:r>
              <w:rPr>
                <w:rFonts w:eastAsiaTheme="minorHAnsi"/>
                <w:sz w:val="18"/>
                <w:szCs w:val="18"/>
              </w:rPr>
              <w:t xml:space="preserve">2. </w:t>
            </w:r>
            <w:r w:rsidRPr="007470BE">
              <w:rPr>
                <w:rFonts w:eastAsiaTheme="minorHAnsi"/>
                <w:sz w:val="18"/>
                <w:szCs w:val="18"/>
              </w:rPr>
              <w:t>Служители от държавната администрация, обучавани в програми на ДИ</w:t>
            </w:r>
            <w:r w:rsidRPr="007470BE">
              <w:rPr>
                <w:rFonts w:eastAsiaTheme="minorHAnsi"/>
                <w:sz w:val="18"/>
                <w:szCs w:val="18"/>
              </w:rPr>
              <w:tab/>
            </w:r>
          </w:p>
          <w:p w:rsidR="00204C82" w:rsidRPr="007470BE" w:rsidRDefault="00204C82" w:rsidP="002B2ADB">
            <w:pPr>
              <w:keepNext/>
              <w:spacing w:after="0"/>
              <w:jc w:val="left"/>
              <w:rPr>
                <w:rFonts w:eastAsiaTheme="minorHAnsi"/>
                <w:sz w:val="18"/>
                <w:szCs w:val="18"/>
              </w:rPr>
            </w:pPr>
          </w:p>
        </w:tc>
        <w:tc>
          <w:tcPr>
            <w:tcW w:w="1379" w:type="dxa"/>
            <w:tcBorders>
              <w:top w:val="nil"/>
            </w:tcBorders>
            <w:shd w:val="clear" w:color="auto" w:fill="F2F2F2" w:themeFill="background1" w:themeFillShade="F2"/>
            <w:vAlign w:val="center"/>
          </w:tcPr>
          <w:p w:rsidR="00204C82" w:rsidRPr="007470BE" w:rsidRDefault="00204C82" w:rsidP="002B2ADB">
            <w:pPr>
              <w:keepNext/>
              <w:spacing w:after="0"/>
              <w:jc w:val="center"/>
              <w:rPr>
                <w:rFonts w:eastAsiaTheme="minorHAnsi"/>
                <w:sz w:val="18"/>
                <w:szCs w:val="18"/>
              </w:rPr>
            </w:pPr>
            <w:r>
              <w:rPr>
                <w:rFonts w:eastAsiaTheme="minorHAnsi"/>
                <w:sz w:val="18"/>
                <w:szCs w:val="18"/>
              </w:rPr>
              <w:t>б</w:t>
            </w:r>
            <w:r w:rsidRPr="007470BE">
              <w:rPr>
                <w:rFonts w:eastAsiaTheme="minorHAnsi"/>
                <w:sz w:val="18"/>
                <w:szCs w:val="18"/>
              </w:rPr>
              <w:t>рой</w:t>
            </w:r>
          </w:p>
        </w:tc>
        <w:tc>
          <w:tcPr>
            <w:tcW w:w="1092" w:type="dxa"/>
            <w:tcBorders>
              <w:top w:val="nil"/>
            </w:tcBorders>
            <w:vAlign w:val="center"/>
          </w:tcPr>
          <w:p w:rsidR="00204C82" w:rsidRPr="007470BE" w:rsidRDefault="00204C82" w:rsidP="002B2ADB">
            <w:pPr>
              <w:keepNext/>
              <w:spacing w:after="0"/>
              <w:jc w:val="center"/>
              <w:rPr>
                <w:rFonts w:eastAsiaTheme="minorHAnsi"/>
                <w:sz w:val="18"/>
                <w:szCs w:val="18"/>
                <w:lang w:val="en-US"/>
              </w:rPr>
            </w:pPr>
            <w:r w:rsidRPr="007470BE">
              <w:rPr>
                <w:rFonts w:eastAsiaTheme="minorHAnsi"/>
                <w:sz w:val="18"/>
                <w:szCs w:val="18"/>
                <w:lang w:val="en-US"/>
              </w:rPr>
              <w:t>200</w:t>
            </w:r>
          </w:p>
        </w:tc>
        <w:tc>
          <w:tcPr>
            <w:tcW w:w="1311" w:type="dxa"/>
            <w:tcBorders>
              <w:top w:val="nil"/>
            </w:tcBorders>
            <w:vAlign w:val="center"/>
          </w:tcPr>
          <w:p w:rsidR="00204C82" w:rsidRPr="007470BE" w:rsidRDefault="00204C82" w:rsidP="002B2ADB">
            <w:pPr>
              <w:keepNext/>
              <w:spacing w:after="0"/>
              <w:jc w:val="center"/>
              <w:rPr>
                <w:rFonts w:eastAsiaTheme="minorHAnsi"/>
                <w:sz w:val="18"/>
                <w:szCs w:val="18"/>
                <w:lang w:val="en-US"/>
              </w:rPr>
            </w:pPr>
            <w:r w:rsidRPr="007470BE">
              <w:rPr>
                <w:rFonts w:eastAsiaTheme="minorHAnsi"/>
                <w:sz w:val="18"/>
                <w:szCs w:val="18"/>
                <w:lang w:val="en-US"/>
              </w:rPr>
              <w:t>200</w:t>
            </w:r>
          </w:p>
        </w:tc>
        <w:tc>
          <w:tcPr>
            <w:tcW w:w="1370" w:type="dxa"/>
            <w:tcBorders>
              <w:top w:val="nil"/>
            </w:tcBorders>
            <w:vAlign w:val="center"/>
          </w:tcPr>
          <w:p w:rsidR="00204C82" w:rsidRPr="007470BE" w:rsidRDefault="00204C82" w:rsidP="002B2ADB">
            <w:pPr>
              <w:keepNext/>
              <w:spacing w:after="0"/>
              <w:jc w:val="center"/>
              <w:rPr>
                <w:rFonts w:eastAsiaTheme="minorHAnsi"/>
                <w:sz w:val="18"/>
                <w:szCs w:val="18"/>
                <w:lang w:val="en-US"/>
              </w:rPr>
            </w:pPr>
            <w:r w:rsidRPr="007470BE">
              <w:rPr>
                <w:rFonts w:eastAsiaTheme="minorHAnsi"/>
                <w:sz w:val="18"/>
                <w:szCs w:val="18"/>
                <w:lang w:val="en-US"/>
              </w:rPr>
              <w:t>200</w:t>
            </w:r>
          </w:p>
        </w:tc>
        <w:tc>
          <w:tcPr>
            <w:tcW w:w="1370" w:type="dxa"/>
            <w:tcBorders>
              <w:top w:val="nil"/>
            </w:tcBorders>
            <w:vAlign w:val="center"/>
          </w:tcPr>
          <w:p w:rsidR="00204C82" w:rsidRPr="007470BE" w:rsidRDefault="00204C82" w:rsidP="002B2ADB">
            <w:pPr>
              <w:keepNext/>
              <w:spacing w:after="0"/>
              <w:jc w:val="center"/>
              <w:rPr>
                <w:rFonts w:eastAsiaTheme="minorHAnsi"/>
                <w:sz w:val="18"/>
                <w:szCs w:val="18"/>
                <w:lang w:val="en-US"/>
              </w:rPr>
            </w:pPr>
            <w:r w:rsidRPr="007470BE">
              <w:rPr>
                <w:rFonts w:eastAsiaTheme="minorHAnsi"/>
                <w:sz w:val="18"/>
                <w:szCs w:val="18"/>
                <w:lang w:val="en-US"/>
              </w:rPr>
              <w:t>200</w:t>
            </w:r>
          </w:p>
        </w:tc>
      </w:tr>
      <w:tr w:rsidR="00204C82" w:rsidRPr="00C232C6" w:rsidTr="002B2ADB">
        <w:trPr>
          <w:trHeight w:val="255"/>
        </w:trPr>
        <w:tc>
          <w:tcPr>
            <w:tcW w:w="2775" w:type="dxa"/>
          </w:tcPr>
          <w:p w:rsidR="00204C82" w:rsidRPr="007470BE" w:rsidRDefault="00204C82" w:rsidP="002B2ADB">
            <w:pPr>
              <w:keepNext/>
              <w:spacing w:after="0"/>
              <w:jc w:val="left"/>
              <w:rPr>
                <w:rFonts w:eastAsiaTheme="minorHAnsi"/>
                <w:sz w:val="18"/>
                <w:szCs w:val="18"/>
              </w:rPr>
            </w:pPr>
            <w:r>
              <w:rPr>
                <w:rFonts w:eastAsiaTheme="minorHAnsi"/>
                <w:sz w:val="18"/>
                <w:szCs w:val="18"/>
              </w:rPr>
              <w:t xml:space="preserve">3. </w:t>
            </w:r>
            <w:r w:rsidRPr="007470BE">
              <w:rPr>
                <w:rFonts w:eastAsiaTheme="minorHAnsi"/>
                <w:sz w:val="18"/>
                <w:szCs w:val="18"/>
              </w:rPr>
              <w:t>Осъществени проекти/инициативи по Комуникационната стратегия на България за ЕС</w:t>
            </w:r>
          </w:p>
        </w:tc>
        <w:tc>
          <w:tcPr>
            <w:tcW w:w="1379" w:type="dxa"/>
            <w:shd w:val="clear" w:color="auto" w:fill="F2F2F2" w:themeFill="background1" w:themeFillShade="F2"/>
            <w:vAlign w:val="center"/>
          </w:tcPr>
          <w:p w:rsidR="00204C82" w:rsidRPr="007470BE" w:rsidRDefault="00204C82" w:rsidP="002B2ADB">
            <w:pPr>
              <w:keepNext/>
              <w:spacing w:after="0"/>
              <w:jc w:val="center"/>
              <w:rPr>
                <w:rFonts w:eastAsiaTheme="minorHAnsi"/>
                <w:sz w:val="18"/>
                <w:szCs w:val="18"/>
              </w:rPr>
            </w:pPr>
            <w:r>
              <w:rPr>
                <w:rFonts w:eastAsiaTheme="minorHAnsi"/>
                <w:sz w:val="18"/>
                <w:szCs w:val="18"/>
              </w:rPr>
              <w:t>б</w:t>
            </w:r>
            <w:r w:rsidRPr="007470BE">
              <w:rPr>
                <w:rFonts w:eastAsiaTheme="minorHAnsi"/>
                <w:sz w:val="18"/>
                <w:szCs w:val="18"/>
              </w:rPr>
              <w:t>рой</w:t>
            </w:r>
          </w:p>
        </w:tc>
        <w:tc>
          <w:tcPr>
            <w:tcW w:w="1092" w:type="dxa"/>
            <w:vAlign w:val="center"/>
          </w:tcPr>
          <w:p w:rsidR="00204C82" w:rsidRPr="007470BE" w:rsidRDefault="00204C82" w:rsidP="002B2ADB">
            <w:pPr>
              <w:keepNext/>
              <w:spacing w:after="0"/>
              <w:jc w:val="center"/>
              <w:rPr>
                <w:rFonts w:eastAsiaTheme="minorHAnsi"/>
                <w:sz w:val="18"/>
                <w:szCs w:val="18"/>
              </w:rPr>
            </w:pPr>
            <w:r>
              <w:rPr>
                <w:rFonts w:eastAsiaTheme="minorHAnsi"/>
                <w:sz w:val="18"/>
                <w:szCs w:val="18"/>
              </w:rPr>
              <w:t>100</w:t>
            </w:r>
            <w:r w:rsidRPr="007470BE">
              <w:rPr>
                <w:rFonts w:eastAsiaTheme="minorHAnsi"/>
                <w:sz w:val="18"/>
                <w:szCs w:val="18"/>
              </w:rPr>
              <w:t>% от одобрените проекти</w:t>
            </w:r>
          </w:p>
        </w:tc>
        <w:tc>
          <w:tcPr>
            <w:tcW w:w="1311" w:type="dxa"/>
            <w:vAlign w:val="center"/>
          </w:tcPr>
          <w:p w:rsidR="00204C82" w:rsidRPr="007470BE" w:rsidRDefault="00204C82" w:rsidP="002B2ADB">
            <w:pPr>
              <w:keepNext/>
              <w:spacing w:after="0"/>
              <w:jc w:val="center"/>
              <w:rPr>
                <w:rFonts w:eastAsiaTheme="minorHAnsi"/>
                <w:sz w:val="18"/>
                <w:szCs w:val="18"/>
              </w:rPr>
            </w:pPr>
            <w:r>
              <w:rPr>
                <w:rFonts w:eastAsiaTheme="minorHAnsi"/>
                <w:sz w:val="18"/>
                <w:szCs w:val="18"/>
              </w:rPr>
              <w:t>100</w:t>
            </w:r>
            <w:r w:rsidRPr="007470BE">
              <w:rPr>
                <w:rFonts w:eastAsiaTheme="minorHAnsi"/>
                <w:sz w:val="18"/>
                <w:szCs w:val="18"/>
              </w:rPr>
              <w:t>% от одобрените проекти</w:t>
            </w:r>
          </w:p>
        </w:tc>
        <w:tc>
          <w:tcPr>
            <w:tcW w:w="1370" w:type="dxa"/>
            <w:vAlign w:val="center"/>
          </w:tcPr>
          <w:p w:rsidR="00204C82" w:rsidRPr="007470BE" w:rsidRDefault="00204C82" w:rsidP="002B2ADB">
            <w:pPr>
              <w:keepNext/>
              <w:spacing w:after="0"/>
              <w:jc w:val="center"/>
              <w:rPr>
                <w:rFonts w:eastAsiaTheme="minorHAnsi"/>
                <w:sz w:val="18"/>
                <w:szCs w:val="18"/>
              </w:rPr>
            </w:pPr>
            <w:r>
              <w:rPr>
                <w:rFonts w:eastAsiaTheme="minorHAnsi"/>
                <w:sz w:val="18"/>
                <w:szCs w:val="18"/>
              </w:rPr>
              <w:t>100</w:t>
            </w:r>
            <w:r w:rsidRPr="007470BE">
              <w:rPr>
                <w:rFonts w:eastAsiaTheme="minorHAnsi"/>
                <w:sz w:val="18"/>
                <w:szCs w:val="18"/>
              </w:rPr>
              <w:t>% от одобрените проекти</w:t>
            </w:r>
          </w:p>
        </w:tc>
        <w:tc>
          <w:tcPr>
            <w:tcW w:w="1370" w:type="dxa"/>
            <w:vAlign w:val="center"/>
          </w:tcPr>
          <w:p w:rsidR="00204C82" w:rsidRPr="007470BE" w:rsidRDefault="00204C82" w:rsidP="002B2ADB">
            <w:pPr>
              <w:keepNext/>
              <w:spacing w:after="0"/>
              <w:jc w:val="center"/>
              <w:rPr>
                <w:rFonts w:eastAsiaTheme="minorHAnsi"/>
                <w:sz w:val="18"/>
                <w:szCs w:val="18"/>
              </w:rPr>
            </w:pPr>
            <w:r>
              <w:rPr>
                <w:rFonts w:eastAsiaTheme="minorHAnsi"/>
                <w:sz w:val="18"/>
                <w:szCs w:val="18"/>
              </w:rPr>
              <w:t>100</w:t>
            </w:r>
            <w:r w:rsidRPr="007470BE">
              <w:rPr>
                <w:rFonts w:eastAsiaTheme="minorHAnsi"/>
                <w:sz w:val="18"/>
                <w:szCs w:val="18"/>
              </w:rPr>
              <w:t>% от одобрените проекти</w:t>
            </w:r>
          </w:p>
        </w:tc>
      </w:tr>
    </w:tbl>
    <w:p w:rsidR="006776B0" w:rsidRDefault="006776B0" w:rsidP="00204C82">
      <w:pPr>
        <w:spacing w:after="0"/>
        <w:rPr>
          <w:noProof/>
          <w:szCs w:val="24"/>
        </w:rPr>
      </w:pPr>
    </w:p>
    <w:p w:rsidR="00083361" w:rsidRPr="009D2915" w:rsidRDefault="00B12908" w:rsidP="00517D0A">
      <w:pPr>
        <w:pStyle w:val="Heading3"/>
        <w:ind w:left="0"/>
      </w:pPr>
      <w:r>
        <w:t>П</w:t>
      </w:r>
      <w:r w:rsidR="00083361" w:rsidRPr="009D2915">
        <w:t>олитика в областта на енергетиката</w:t>
      </w:r>
      <w:bookmarkEnd w:id="490"/>
      <w:bookmarkEnd w:id="491"/>
    </w:p>
    <w:p w:rsidR="00204C82" w:rsidRDefault="00204C82" w:rsidP="006776B0">
      <w:pPr>
        <w:spacing w:before="120" w:after="0"/>
        <w:rPr>
          <w:noProof/>
          <w:szCs w:val="24"/>
        </w:rPr>
      </w:pPr>
    </w:p>
    <w:p w:rsidR="00204C82" w:rsidRPr="007D6981" w:rsidRDefault="00204C82" w:rsidP="00204C82">
      <w:pPr>
        <w:spacing w:before="120" w:after="0"/>
        <w:rPr>
          <w:noProof/>
          <w:lang w:val="ru-RU"/>
        </w:rPr>
      </w:pPr>
      <w:r w:rsidRPr="008D4CEE">
        <w:rPr>
          <w:noProof/>
        </w:rPr>
        <w:t>Политиката в областта на енергетиката е насочена към устойчиво енергийно развитие на страната, ефективно използване на енергията и енергийните ресурси, задоволяване потребностите на обществото от електрическа и топлинна енергия, природен газ и горива, установяване на по-чисто и ефективно производство на енергия чрез рационално използване на конвенционалните и възобновяеми източници на енергия (ВИ), минимизиране влиянието на производството, преноса и използването на енергия върху околната среда, подобряване управлението на природните ресурси. Тенденцията е да се гарантира сигурно, безопасно и устойчиво снабдяване с енергия.</w:t>
      </w:r>
    </w:p>
    <w:p w:rsidR="00204C82" w:rsidRPr="008D4CEE" w:rsidRDefault="00204C82" w:rsidP="00204C82">
      <w:pPr>
        <w:autoSpaceDE w:val="0"/>
        <w:autoSpaceDN w:val="0"/>
        <w:adjustRightInd w:val="0"/>
        <w:spacing w:before="120" w:after="0"/>
        <w:rPr>
          <w:rFonts w:eastAsia="Times New Roman"/>
          <w:noProof/>
          <w:color w:val="000000"/>
        </w:rPr>
      </w:pPr>
      <w:r w:rsidRPr="008D4CEE">
        <w:rPr>
          <w:rFonts w:eastAsia="Times New Roman"/>
          <w:noProof/>
          <w:color w:val="000000"/>
        </w:rPr>
        <w:t>Националните цели в областта на енергетиката, механизмите и сроковете за тяхното изпълнение в горепосочените направления са определени в Енергийната стратегия на Република България до 2020 г., като са предприети действия за разработване и приемане на Стратегия за устойчиво енергийно развитие на Република България до 2030 г., с хоризонт до 2050 г. за развитие на енергетиката на страната при условия на пълна либерализация на пазарите на електрическа енергия и природен газ и интеграцията им към Общия енергиен пазар на ЕС, в съответствие с установените европейски цели в областта на енергетиката и изменението на климата. Целта на енергийната политика на България е гарантиране на енергийната сигурност на страната чрез проучване на нови райони, от които да се извършва снабдяване с горива, проучване на нови технологии, по-нататъшно разработване на местните ресурси и подобряване на инфраструктурата за достъп до нови източници на снабдяване:</w:t>
      </w:r>
    </w:p>
    <w:p w:rsidR="00204C82" w:rsidRPr="00204C82" w:rsidRDefault="00204C82" w:rsidP="003403BF">
      <w:pPr>
        <w:pStyle w:val="ListParagraph"/>
        <w:numPr>
          <w:ilvl w:val="0"/>
          <w:numId w:val="50"/>
        </w:numPr>
        <w:spacing w:before="120" w:after="0"/>
        <w:rPr>
          <w:noProof/>
          <w:szCs w:val="24"/>
        </w:rPr>
      </w:pPr>
      <w:r w:rsidRPr="00204C82">
        <w:rPr>
          <w:noProof/>
          <w:szCs w:val="24"/>
        </w:rPr>
        <w:t>Изграждане на междусистемните газови връзки между България и съседните страни;</w:t>
      </w:r>
    </w:p>
    <w:p w:rsidR="00204C82" w:rsidRPr="00204C82" w:rsidRDefault="00204C82" w:rsidP="003403BF">
      <w:pPr>
        <w:pStyle w:val="ListParagraph"/>
        <w:numPr>
          <w:ilvl w:val="0"/>
          <w:numId w:val="50"/>
        </w:numPr>
        <w:spacing w:before="120" w:after="0"/>
        <w:rPr>
          <w:noProof/>
          <w:szCs w:val="24"/>
        </w:rPr>
      </w:pPr>
      <w:r w:rsidRPr="00204C82">
        <w:rPr>
          <w:noProof/>
          <w:szCs w:val="24"/>
        </w:rPr>
        <w:t>Реализация на Газов разпределителен център на територията на Република България – хъб „Балкан“;</w:t>
      </w:r>
    </w:p>
    <w:p w:rsidR="00204C82" w:rsidRPr="00204C82" w:rsidRDefault="00204C82" w:rsidP="003403BF">
      <w:pPr>
        <w:pStyle w:val="ListParagraph"/>
        <w:numPr>
          <w:ilvl w:val="0"/>
          <w:numId w:val="50"/>
        </w:numPr>
        <w:spacing w:before="120" w:after="0"/>
        <w:rPr>
          <w:noProof/>
          <w:szCs w:val="24"/>
        </w:rPr>
      </w:pPr>
      <w:r w:rsidRPr="00204C82">
        <w:rPr>
          <w:noProof/>
          <w:szCs w:val="24"/>
        </w:rPr>
        <w:t>Пълна либерализация на пазарите на електроенергия и газ и интегрирането им в Общия европейски енергиен пазар. Защита на уязвимите потребители;</w:t>
      </w:r>
    </w:p>
    <w:p w:rsidR="00204C82" w:rsidRPr="00204C82" w:rsidRDefault="00204C82" w:rsidP="003403BF">
      <w:pPr>
        <w:pStyle w:val="ListParagraph"/>
        <w:numPr>
          <w:ilvl w:val="0"/>
          <w:numId w:val="50"/>
        </w:numPr>
        <w:spacing w:before="120" w:after="0"/>
        <w:rPr>
          <w:noProof/>
          <w:szCs w:val="24"/>
        </w:rPr>
      </w:pPr>
      <w:r w:rsidRPr="00204C82">
        <w:rPr>
          <w:noProof/>
          <w:szCs w:val="24"/>
        </w:rPr>
        <w:t>Установяване на по-чисто и ефективно производство на енергия чрез по-рационално използване на изкопаемите ресурси, минимизиране влиянието на производството, преноса, разпределението и потреблението на енергия върху околната среда, подобряване управлението на естествените ресурси;</w:t>
      </w:r>
    </w:p>
    <w:p w:rsidR="00204C82" w:rsidRPr="00204C82" w:rsidRDefault="00204C82" w:rsidP="003403BF">
      <w:pPr>
        <w:pStyle w:val="ListParagraph"/>
        <w:numPr>
          <w:ilvl w:val="0"/>
          <w:numId w:val="50"/>
        </w:numPr>
        <w:spacing w:before="120" w:after="0"/>
        <w:rPr>
          <w:noProof/>
          <w:szCs w:val="24"/>
        </w:rPr>
      </w:pPr>
      <w:r w:rsidRPr="00204C82">
        <w:rPr>
          <w:noProof/>
          <w:szCs w:val="24"/>
        </w:rPr>
        <w:t>Запазване и развитие капацитета на ядрената енергетика;</w:t>
      </w:r>
    </w:p>
    <w:p w:rsidR="00204C82" w:rsidRPr="00204C82" w:rsidRDefault="00204C82" w:rsidP="003403BF">
      <w:pPr>
        <w:pStyle w:val="ListParagraph"/>
        <w:numPr>
          <w:ilvl w:val="0"/>
          <w:numId w:val="50"/>
        </w:numPr>
        <w:spacing w:before="120" w:after="0"/>
        <w:rPr>
          <w:noProof/>
          <w:szCs w:val="24"/>
        </w:rPr>
      </w:pPr>
      <w:r w:rsidRPr="00204C82">
        <w:rPr>
          <w:noProof/>
          <w:szCs w:val="24"/>
        </w:rPr>
        <w:t>Развитие на нови икономически ефективни проекти, създаващи възможност за екологично нисковъглеродно производство на енергия, без предоставяне на държавни или корпоративни гаранции.</w:t>
      </w:r>
    </w:p>
    <w:p w:rsidR="00204C82" w:rsidRPr="008D4CEE" w:rsidRDefault="00204C82" w:rsidP="00204C82">
      <w:pPr>
        <w:tabs>
          <w:tab w:val="num" w:pos="0"/>
        </w:tabs>
        <w:autoSpaceDE w:val="0"/>
        <w:autoSpaceDN w:val="0"/>
        <w:adjustRightInd w:val="0"/>
        <w:spacing w:before="120" w:after="0"/>
        <w:rPr>
          <w:rFonts w:eastAsia="Times New Roman"/>
          <w:noProof/>
          <w:color w:val="000000"/>
        </w:rPr>
      </w:pPr>
      <w:r w:rsidRPr="008D4CEE">
        <w:rPr>
          <w:rFonts w:eastAsia="Times New Roman"/>
          <w:noProof/>
          <w:color w:val="000000"/>
        </w:rPr>
        <w:t>Енергетиката продължава да е изправена пред зависимостта от внос на ресурси и енергия, нарастващите цени на вносните енергийни ресурси и промените в климата. Това определя и приоритетните области, по които следва да се работи:</w:t>
      </w:r>
    </w:p>
    <w:p w:rsidR="00204C82" w:rsidRPr="00204C82" w:rsidRDefault="00204C82" w:rsidP="003403BF">
      <w:pPr>
        <w:pStyle w:val="ListParagraph"/>
        <w:numPr>
          <w:ilvl w:val="0"/>
          <w:numId w:val="50"/>
        </w:numPr>
        <w:spacing w:before="120" w:after="0"/>
        <w:rPr>
          <w:noProof/>
          <w:szCs w:val="24"/>
        </w:rPr>
      </w:pPr>
      <w:r w:rsidRPr="00204C82">
        <w:rPr>
          <w:noProof/>
          <w:szCs w:val="24"/>
        </w:rPr>
        <w:t>Ограничаване на външната зависимост от внос чрез диверсификация на енергийните доставки, енергоспестяване и насърчаване на използването на местни ресурси и енергията от ВИ;</w:t>
      </w:r>
    </w:p>
    <w:p w:rsidR="00204C82" w:rsidRPr="00204C82" w:rsidRDefault="00204C82" w:rsidP="003403BF">
      <w:pPr>
        <w:pStyle w:val="ListParagraph"/>
        <w:numPr>
          <w:ilvl w:val="0"/>
          <w:numId w:val="50"/>
        </w:numPr>
        <w:spacing w:before="120" w:after="0"/>
        <w:rPr>
          <w:noProof/>
          <w:szCs w:val="24"/>
        </w:rPr>
      </w:pPr>
      <w:r w:rsidRPr="00204C82">
        <w:rPr>
          <w:noProof/>
          <w:szCs w:val="24"/>
        </w:rPr>
        <w:t>Пълна либерализация на пазара на дребно на електрическа енергия и развитие на пазара на природен газ;</w:t>
      </w:r>
    </w:p>
    <w:p w:rsidR="00204C82" w:rsidRPr="00204C82" w:rsidRDefault="00204C82" w:rsidP="003403BF">
      <w:pPr>
        <w:pStyle w:val="ListParagraph"/>
        <w:numPr>
          <w:ilvl w:val="0"/>
          <w:numId w:val="50"/>
        </w:numPr>
        <w:spacing w:before="120" w:after="0"/>
        <w:rPr>
          <w:noProof/>
          <w:szCs w:val="24"/>
        </w:rPr>
      </w:pPr>
      <w:r w:rsidRPr="00204C82">
        <w:rPr>
          <w:noProof/>
          <w:szCs w:val="24"/>
        </w:rPr>
        <w:t>Изпълнението на политиката по енергийна ефективност (ЕЕ) е ключов елемент за устойчивото развитие. ЕЕ е основна цел и е особено важна за постигане на дългосрочната ни енергийна стратегия и цели за климата. Тя е най-рентабилният начин за:</w:t>
      </w:r>
    </w:p>
    <w:p w:rsidR="00204C82" w:rsidRPr="008D4CEE" w:rsidRDefault="00204C82" w:rsidP="003403BF">
      <w:pPr>
        <w:numPr>
          <w:ilvl w:val="0"/>
          <w:numId w:val="52"/>
        </w:numPr>
        <w:tabs>
          <w:tab w:val="clear" w:pos="720"/>
          <w:tab w:val="left" w:pos="284"/>
          <w:tab w:val="left" w:pos="709"/>
          <w:tab w:val="left" w:pos="851"/>
          <w:tab w:val="left" w:pos="1134"/>
        </w:tabs>
        <w:autoSpaceDE w:val="0"/>
        <w:autoSpaceDN w:val="0"/>
        <w:adjustRightInd w:val="0"/>
        <w:spacing w:before="120" w:after="0"/>
        <w:ind w:left="709" w:firstLine="142"/>
        <w:rPr>
          <w:rFonts w:eastAsia="Times New Roman"/>
          <w:noProof/>
          <w:color w:val="000000"/>
        </w:rPr>
      </w:pPr>
      <w:r w:rsidRPr="008D4CEE">
        <w:rPr>
          <w:rFonts w:eastAsia="Times New Roman"/>
          <w:noProof/>
          <w:color w:val="000000"/>
        </w:rPr>
        <w:t>Намаляване на емисиите;</w:t>
      </w:r>
    </w:p>
    <w:p w:rsidR="00204C82" w:rsidRPr="008D4CEE" w:rsidRDefault="00204C82" w:rsidP="003403BF">
      <w:pPr>
        <w:numPr>
          <w:ilvl w:val="0"/>
          <w:numId w:val="52"/>
        </w:numPr>
        <w:tabs>
          <w:tab w:val="clear" w:pos="720"/>
          <w:tab w:val="left" w:pos="142"/>
          <w:tab w:val="left" w:pos="709"/>
          <w:tab w:val="left" w:pos="851"/>
          <w:tab w:val="left" w:pos="1134"/>
        </w:tabs>
        <w:autoSpaceDE w:val="0"/>
        <w:autoSpaceDN w:val="0"/>
        <w:adjustRightInd w:val="0"/>
        <w:spacing w:before="120" w:after="0"/>
        <w:ind w:left="709" w:firstLine="142"/>
        <w:rPr>
          <w:rFonts w:eastAsia="Times New Roman"/>
          <w:noProof/>
          <w:color w:val="000000"/>
        </w:rPr>
      </w:pPr>
      <w:r w:rsidRPr="008D4CEE">
        <w:rPr>
          <w:rFonts w:eastAsia="Times New Roman"/>
          <w:noProof/>
          <w:color w:val="000000"/>
        </w:rPr>
        <w:t>Подобряване на енергийната сигурност и конкурентоспособност;</w:t>
      </w:r>
    </w:p>
    <w:p w:rsidR="00204C82" w:rsidRPr="008D4CEE" w:rsidRDefault="00204C82" w:rsidP="003403BF">
      <w:pPr>
        <w:numPr>
          <w:ilvl w:val="0"/>
          <w:numId w:val="52"/>
        </w:numPr>
        <w:tabs>
          <w:tab w:val="clear" w:pos="720"/>
          <w:tab w:val="left" w:pos="284"/>
          <w:tab w:val="left" w:pos="709"/>
          <w:tab w:val="left" w:pos="851"/>
          <w:tab w:val="left" w:pos="1134"/>
        </w:tabs>
        <w:autoSpaceDE w:val="0"/>
        <w:autoSpaceDN w:val="0"/>
        <w:adjustRightInd w:val="0"/>
        <w:spacing w:before="120" w:after="0"/>
        <w:ind w:left="709" w:firstLine="142"/>
        <w:rPr>
          <w:rFonts w:eastAsia="Times New Roman"/>
          <w:noProof/>
          <w:color w:val="000000"/>
        </w:rPr>
      </w:pPr>
      <w:r w:rsidRPr="008D4CEE">
        <w:rPr>
          <w:rFonts w:eastAsia="Times New Roman"/>
          <w:noProof/>
          <w:color w:val="000000"/>
        </w:rPr>
        <w:t>Поддържане на ниски енергийни разходи.</w:t>
      </w:r>
    </w:p>
    <w:p w:rsidR="00204C82" w:rsidRPr="008D4CEE" w:rsidRDefault="00204C82" w:rsidP="00204C82">
      <w:pPr>
        <w:autoSpaceDE w:val="0"/>
        <w:autoSpaceDN w:val="0"/>
        <w:adjustRightInd w:val="0"/>
        <w:spacing w:before="120" w:after="0"/>
        <w:rPr>
          <w:rFonts w:eastAsia="Times New Roman"/>
          <w:noProof/>
          <w:color w:val="000000"/>
        </w:rPr>
      </w:pPr>
      <w:r w:rsidRPr="008D4CEE">
        <w:rPr>
          <w:rFonts w:eastAsia="Times New Roman"/>
          <w:noProof/>
          <w:color w:val="000000"/>
        </w:rPr>
        <w:t>Предстои развитие на електрическата мобилност и на системите за съхранение на енергия. Засиленото използване на електрическа енергия от ВИ е средство за преодоляване на много от предизвикателствата в транспортния сектор, както и в други икономически сектори.</w:t>
      </w:r>
      <w:r w:rsidRPr="007D6981">
        <w:rPr>
          <w:rFonts w:eastAsia="Times New Roman"/>
          <w:noProof/>
          <w:color w:val="000000"/>
          <w:lang w:val="ru-RU"/>
        </w:rPr>
        <w:t xml:space="preserve"> </w:t>
      </w:r>
      <w:r w:rsidRPr="008D4CEE">
        <w:rPr>
          <w:rFonts w:eastAsia="Times New Roman"/>
          <w:noProof/>
          <w:color w:val="000000"/>
        </w:rPr>
        <w:t>Усилията ще бъдат насочени и към изграждане на необходимата за това инфраструктура и най-новите системи за управление – т.нар. „умни“ енергийни мрежи.</w:t>
      </w:r>
    </w:p>
    <w:p w:rsidR="00204C82" w:rsidRPr="008D4CEE" w:rsidRDefault="00204C82" w:rsidP="00204C82">
      <w:pPr>
        <w:autoSpaceDE w:val="0"/>
        <w:autoSpaceDN w:val="0"/>
        <w:adjustRightInd w:val="0"/>
        <w:spacing w:before="120" w:after="0"/>
        <w:rPr>
          <w:rFonts w:eastAsia="Times New Roman"/>
          <w:noProof/>
          <w:color w:val="000000"/>
        </w:rPr>
      </w:pPr>
      <w:r w:rsidRPr="008D4CEE">
        <w:rPr>
          <w:rFonts w:eastAsia="Times New Roman"/>
          <w:noProof/>
          <w:color w:val="000000"/>
        </w:rPr>
        <w:t>Усилията ще се насочат и към развитие на иновативни технологии в енергетиката, като съхранението на енергия, което се явява възможна алтернатива на инвестициите в мрежата. С помощта на системите за съхранение на енергия на място, ще се спестят значителни инвестиции, необходими за изграждането ѝ.</w:t>
      </w:r>
    </w:p>
    <w:p w:rsidR="00204C82" w:rsidRPr="008D4CEE" w:rsidRDefault="00204C82" w:rsidP="00204C82">
      <w:pPr>
        <w:autoSpaceDE w:val="0"/>
        <w:autoSpaceDN w:val="0"/>
        <w:adjustRightInd w:val="0"/>
        <w:spacing w:before="120" w:after="0"/>
        <w:rPr>
          <w:rFonts w:eastAsia="Times New Roman"/>
          <w:noProof/>
          <w:color w:val="000000"/>
        </w:rPr>
      </w:pPr>
      <w:r w:rsidRPr="008D4CEE">
        <w:rPr>
          <w:rFonts w:eastAsia="Times New Roman"/>
          <w:noProof/>
          <w:color w:val="000000"/>
        </w:rPr>
        <w:t>Диверсификацията на газовите доставки и трасета и избягването на последствията от газови кризи обуславят ускоряване изграждането на междусистемните газови връзки със съседните държави. Тези проекти се изпълняват или ще бъдат изпълнени със собствени средства на енергийните компании, със средства от европейския план за икономическо възстановяване, от Оперативна програма „Иноваци</w:t>
      </w:r>
      <w:r>
        <w:rPr>
          <w:rFonts w:eastAsia="Times New Roman"/>
          <w:noProof/>
          <w:color w:val="000000"/>
        </w:rPr>
        <w:t>и и конкурентоспособност 2014-</w:t>
      </w:r>
      <w:r w:rsidRPr="008D4CEE">
        <w:rPr>
          <w:rFonts w:eastAsia="Times New Roman"/>
          <w:noProof/>
          <w:color w:val="000000"/>
        </w:rPr>
        <w:t>2020“, както и с използване на възможностите за привличане на средства от Европейската банка за възстановяване и развитие (ЕБВР), Европейската инвестиционна банка (ЕИБ) и стандартни търговски кредити.</w:t>
      </w:r>
    </w:p>
    <w:p w:rsidR="00204C82" w:rsidRPr="008D4CEE" w:rsidRDefault="00204C82" w:rsidP="00204C82">
      <w:pPr>
        <w:autoSpaceDE w:val="0"/>
        <w:autoSpaceDN w:val="0"/>
        <w:adjustRightInd w:val="0"/>
        <w:spacing w:before="120" w:after="0"/>
        <w:rPr>
          <w:rFonts w:eastAsia="Times New Roman"/>
          <w:noProof/>
          <w:color w:val="000000"/>
        </w:rPr>
      </w:pPr>
      <w:r w:rsidRPr="008D4CEE">
        <w:rPr>
          <w:rFonts w:eastAsia="Times New Roman"/>
          <w:noProof/>
          <w:color w:val="000000"/>
        </w:rPr>
        <w:t>Формулирани са дългосрочните национални цели за развитието на енергийния сектор до 2030 г. с хоризонт до 2050 г. в съответствие с европейските цели, като в проекта на Интегриран план в областта на енергетиката и климата на Р</w:t>
      </w:r>
      <w:r w:rsidR="002F0D74">
        <w:rPr>
          <w:rFonts w:eastAsia="Times New Roman"/>
          <w:noProof/>
          <w:color w:val="000000"/>
        </w:rPr>
        <w:t>епублика</w:t>
      </w:r>
      <w:r w:rsidRPr="008D4CEE">
        <w:rPr>
          <w:rFonts w:eastAsia="Times New Roman"/>
          <w:noProof/>
          <w:color w:val="000000"/>
        </w:rPr>
        <w:t xml:space="preserve"> България са заложени следните национални цели до 2030 г.:</w:t>
      </w:r>
    </w:p>
    <w:p w:rsidR="00204C82" w:rsidRPr="00204C82" w:rsidRDefault="00204C82" w:rsidP="003403BF">
      <w:pPr>
        <w:pStyle w:val="ListParagraph"/>
        <w:numPr>
          <w:ilvl w:val="0"/>
          <w:numId w:val="50"/>
        </w:numPr>
        <w:spacing w:before="120" w:after="0"/>
        <w:rPr>
          <w:noProof/>
          <w:szCs w:val="24"/>
        </w:rPr>
      </w:pPr>
      <w:r>
        <w:rPr>
          <w:noProof/>
          <w:szCs w:val="24"/>
        </w:rPr>
        <w:t>национална цел от 25</w:t>
      </w:r>
      <w:r w:rsidRPr="00204C82">
        <w:rPr>
          <w:noProof/>
          <w:szCs w:val="24"/>
        </w:rPr>
        <w:t>% дял на енергията от ВИ в брутното крайно потребление на енергия в страната;</w:t>
      </w:r>
    </w:p>
    <w:p w:rsidR="00204C82" w:rsidRPr="00204C82" w:rsidRDefault="00204C82" w:rsidP="003403BF">
      <w:pPr>
        <w:pStyle w:val="ListParagraph"/>
        <w:numPr>
          <w:ilvl w:val="0"/>
          <w:numId w:val="50"/>
        </w:numPr>
        <w:spacing w:before="120" w:after="0"/>
        <w:rPr>
          <w:noProof/>
          <w:szCs w:val="24"/>
        </w:rPr>
      </w:pPr>
      <w:r>
        <w:rPr>
          <w:noProof/>
          <w:szCs w:val="24"/>
        </w:rPr>
        <w:t>национална цел от 27</w:t>
      </w:r>
      <w:r w:rsidRPr="00204C82">
        <w:rPr>
          <w:noProof/>
          <w:szCs w:val="24"/>
        </w:rPr>
        <w:t>% за ЕЕ;</w:t>
      </w:r>
    </w:p>
    <w:p w:rsidR="00204C82" w:rsidRPr="00204C82" w:rsidRDefault="00204C82" w:rsidP="003403BF">
      <w:pPr>
        <w:pStyle w:val="ListParagraph"/>
        <w:numPr>
          <w:ilvl w:val="0"/>
          <w:numId w:val="50"/>
        </w:numPr>
        <w:spacing w:before="120" w:after="0"/>
        <w:rPr>
          <w:noProof/>
          <w:szCs w:val="24"/>
        </w:rPr>
      </w:pPr>
      <w:r w:rsidRPr="00204C82">
        <w:rPr>
          <w:noProof/>
          <w:szCs w:val="24"/>
        </w:rPr>
        <w:t>на</w:t>
      </w:r>
      <w:r>
        <w:rPr>
          <w:noProof/>
          <w:szCs w:val="24"/>
        </w:rPr>
        <w:t>ционална цел за постигане на 15</w:t>
      </w:r>
      <w:r w:rsidRPr="00204C82">
        <w:rPr>
          <w:noProof/>
          <w:szCs w:val="24"/>
        </w:rPr>
        <w:t>% междусистемна електроенергийна свързаност.</w:t>
      </w:r>
    </w:p>
    <w:p w:rsidR="009E2AC5" w:rsidRPr="009E1D29" w:rsidRDefault="009E2AC5" w:rsidP="009E2AC5">
      <w:pPr>
        <w:pStyle w:val="ListParagraph"/>
        <w:numPr>
          <w:ilvl w:val="0"/>
          <w:numId w:val="0"/>
        </w:numPr>
        <w:rPr>
          <w:rFonts w:eastAsia="Batang"/>
          <w:b/>
          <w:sz w:val="20"/>
          <w:szCs w:val="20"/>
        </w:rPr>
      </w:pPr>
      <w:r w:rsidRPr="009E1D29">
        <w:rPr>
          <w:rFonts w:eastAsia="Batang"/>
          <w:b/>
          <w:sz w:val="20"/>
          <w:szCs w:val="20"/>
        </w:rPr>
        <w:t>КЛЮЧОВИ ИНДИКАТОРИ ЗА ИЗПЪЛНЕНИЕ И ЦЕЛЕВИ СТОЙНОСТИ</w:t>
      </w:r>
    </w:p>
    <w:tbl>
      <w:tblPr>
        <w:tblW w:w="5049" w:type="pct"/>
        <w:jc w:val="center"/>
        <w:tblBorders>
          <w:top w:val="single" w:sz="4" w:space="0" w:color="auto"/>
        </w:tblBorders>
        <w:tblCellMar>
          <w:left w:w="70" w:type="dxa"/>
          <w:right w:w="70" w:type="dxa"/>
        </w:tblCellMar>
        <w:tblLook w:val="0000" w:firstRow="0" w:lastRow="0" w:firstColumn="0" w:lastColumn="0" w:noHBand="0" w:noVBand="0"/>
      </w:tblPr>
      <w:tblGrid>
        <w:gridCol w:w="3068"/>
        <w:gridCol w:w="945"/>
        <w:gridCol w:w="1167"/>
        <w:gridCol w:w="1308"/>
        <w:gridCol w:w="1328"/>
        <w:gridCol w:w="1343"/>
      </w:tblGrid>
      <w:tr w:rsidR="00204C82" w:rsidRPr="008D4CEE" w:rsidTr="004D5326">
        <w:trPr>
          <w:trHeight w:val="255"/>
          <w:tblHeader/>
          <w:jc w:val="center"/>
        </w:trPr>
        <w:tc>
          <w:tcPr>
            <w:tcW w:w="1675" w:type="pct"/>
            <w:tcBorders>
              <w:bottom w:val="nil"/>
            </w:tcBorders>
            <w:shd w:val="clear" w:color="auto" w:fill="auto"/>
            <w:vAlign w:val="center"/>
          </w:tcPr>
          <w:p w:rsidR="00204C82" w:rsidRPr="008D4CEE" w:rsidRDefault="00204C82" w:rsidP="002B2ADB">
            <w:pPr>
              <w:spacing w:after="0"/>
              <w:jc w:val="center"/>
              <w:rPr>
                <w:b/>
                <w:i/>
                <w:iCs/>
                <w:sz w:val="18"/>
                <w:szCs w:val="18"/>
              </w:rPr>
            </w:pPr>
            <w:r w:rsidRPr="008D4CEE">
              <w:rPr>
                <w:b/>
                <w:i/>
                <w:iCs/>
                <w:sz w:val="18"/>
                <w:szCs w:val="18"/>
              </w:rPr>
              <w:t>Политика в областта на устойчивото и конкурентноспособно енергийно развитие</w:t>
            </w:r>
          </w:p>
        </w:tc>
        <w:tc>
          <w:tcPr>
            <w:tcW w:w="516" w:type="pct"/>
            <w:vMerge w:val="restart"/>
            <w:tcBorders>
              <w:top w:val="single" w:sz="4" w:space="0" w:color="auto"/>
              <w:bottom w:val="nil"/>
            </w:tcBorders>
            <w:shd w:val="clear" w:color="auto" w:fill="F2F2F2" w:themeFill="background1" w:themeFillShade="F2"/>
            <w:vAlign w:val="center"/>
          </w:tcPr>
          <w:p w:rsidR="00204C82" w:rsidRPr="008D4CEE" w:rsidRDefault="00204C82" w:rsidP="002B2ADB">
            <w:pPr>
              <w:jc w:val="center"/>
              <w:rPr>
                <w:b/>
                <w:sz w:val="18"/>
                <w:szCs w:val="18"/>
              </w:rPr>
            </w:pPr>
            <w:r w:rsidRPr="008D4CEE">
              <w:rPr>
                <w:b/>
                <w:bCs/>
                <w:sz w:val="18"/>
                <w:szCs w:val="18"/>
              </w:rPr>
              <w:t>Мерна единица</w:t>
            </w:r>
          </w:p>
        </w:tc>
        <w:tc>
          <w:tcPr>
            <w:tcW w:w="2809" w:type="pct"/>
            <w:gridSpan w:val="4"/>
            <w:tcBorders>
              <w:top w:val="single" w:sz="4" w:space="0" w:color="auto"/>
              <w:bottom w:val="single" w:sz="4" w:space="0" w:color="auto"/>
            </w:tcBorders>
            <w:shd w:val="clear" w:color="auto" w:fill="auto"/>
            <w:vAlign w:val="center"/>
          </w:tcPr>
          <w:p w:rsidR="00204C82" w:rsidRPr="008D4CEE" w:rsidRDefault="00204C82" w:rsidP="002B2ADB">
            <w:pPr>
              <w:spacing w:after="0"/>
              <w:jc w:val="center"/>
              <w:rPr>
                <w:b/>
                <w:bCs/>
                <w:sz w:val="18"/>
                <w:szCs w:val="18"/>
              </w:rPr>
            </w:pPr>
            <w:r w:rsidRPr="008D4CEE">
              <w:rPr>
                <w:b/>
                <w:bCs/>
                <w:sz w:val="18"/>
                <w:szCs w:val="18"/>
              </w:rPr>
              <w:t>Целева стойност</w:t>
            </w:r>
          </w:p>
        </w:tc>
      </w:tr>
      <w:tr w:rsidR="00204C82" w:rsidRPr="008D4CEE" w:rsidTr="004D5326">
        <w:trPr>
          <w:trHeight w:val="450"/>
          <w:tblHeader/>
          <w:jc w:val="center"/>
        </w:trPr>
        <w:tc>
          <w:tcPr>
            <w:tcW w:w="1675" w:type="pct"/>
            <w:tcBorders>
              <w:top w:val="nil"/>
              <w:left w:val="nil"/>
              <w:bottom w:val="single" w:sz="4" w:space="0" w:color="auto"/>
              <w:right w:val="nil"/>
            </w:tcBorders>
            <w:shd w:val="clear" w:color="auto" w:fill="auto"/>
            <w:vAlign w:val="center"/>
          </w:tcPr>
          <w:p w:rsidR="00204C82" w:rsidRPr="008D4CEE" w:rsidRDefault="00204C82" w:rsidP="002B2ADB">
            <w:pPr>
              <w:spacing w:after="0"/>
              <w:jc w:val="center"/>
              <w:rPr>
                <w:b/>
                <w:bCs/>
                <w:sz w:val="18"/>
                <w:szCs w:val="18"/>
              </w:rPr>
            </w:pPr>
            <w:r w:rsidRPr="008D4CEE">
              <w:rPr>
                <w:b/>
                <w:bCs/>
                <w:sz w:val="18"/>
                <w:szCs w:val="18"/>
              </w:rPr>
              <w:t>Наименование на индикатора</w:t>
            </w:r>
          </w:p>
        </w:tc>
        <w:tc>
          <w:tcPr>
            <w:tcW w:w="516" w:type="pct"/>
            <w:vMerge/>
            <w:tcBorders>
              <w:top w:val="nil"/>
              <w:left w:val="nil"/>
              <w:bottom w:val="single" w:sz="4" w:space="0" w:color="auto"/>
              <w:right w:val="nil"/>
            </w:tcBorders>
            <w:shd w:val="clear" w:color="auto" w:fill="F2F2F2" w:themeFill="background1" w:themeFillShade="F2"/>
            <w:vAlign w:val="center"/>
          </w:tcPr>
          <w:p w:rsidR="00204C82" w:rsidRPr="008D4CEE" w:rsidRDefault="00204C82" w:rsidP="002B2ADB">
            <w:pPr>
              <w:jc w:val="center"/>
              <w:rPr>
                <w:b/>
                <w:bCs/>
                <w:sz w:val="18"/>
                <w:szCs w:val="18"/>
              </w:rPr>
            </w:pPr>
          </w:p>
        </w:tc>
        <w:tc>
          <w:tcPr>
            <w:tcW w:w="637" w:type="pct"/>
            <w:tcBorders>
              <w:top w:val="single" w:sz="4" w:space="0" w:color="auto"/>
              <w:left w:val="nil"/>
              <w:bottom w:val="single" w:sz="4" w:space="0" w:color="auto"/>
              <w:right w:val="nil"/>
            </w:tcBorders>
            <w:shd w:val="clear" w:color="auto" w:fill="auto"/>
            <w:vAlign w:val="center"/>
          </w:tcPr>
          <w:p w:rsidR="00204C82" w:rsidRPr="008D4CEE" w:rsidRDefault="00204C82" w:rsidP="002B2ADB">
            <w:pPr>
              <w:spacing w:after="0"/>
              <w:jc w:val="center"/>
              <w:rPr>
                <w:b/>
                <w:bCs/>
                <w:i/>
                <w:iCs/>
                <w:sz w:val="18"/>
                <w:szCs w:val="18"/>
              </w:rPr>
            </w:pPr>
            <w:r w:rsidRPr="008D4CEE">
              <w:rPr>
                <w:b/>
                <w:bCs/>
                <w:i/>
                <w:iCs/>
                <w:sz w:val="18"/>
                <w:szCs w:val="18"/>
              </w:rPr>
              <w:t>Програма 201</w:t>
            </w:r>
            <w:r w:rsidRPr="008D4CEE">
              <w:rPr>
                <w:b/>
                <w:bCs/>
                <w:i/>
                <w:iCs/>
                <w:sz w:val="18"/>
                <w:szCs w:val="18"/>
                <w:lang w:val="en-US"/>
              </w:rPr>
              <w:t>9</w:t>
            </w:r>
            <w:r w:rsidRPr="008D4CEE">
              <w:rPr>
                <w:b/>
                <w:bCs/>
                <w:i/>
                <w:iCs/>
                <w:sz w:val="18"/>
                <w:szCs w:val="18"/>
              </w:rPr>
              <w:t xml:space="preserve"> г.</w:t>
            </w:r>
          </w:p>
        </w:tc>
        <w:tc>
          <w:tcPr>
            <w:tcW w:w="714" w:type="pct"/>
            <w:tcBorders>
              <w:top w:val="single" w:sz="4" w:space="0" w:color="auto"/>
              <w:left w:val="nil"/>
              <w:bottom w:val="single" w:sz="4" w:space="0" w:color="auto"/>
              <w:right w:val="nil"/>
            </w:tcBorders>
            <w:shd w:val="clear" w:color="auto" w:fill="auto"/>
            <w:vAlign w:val="center"/>
          </w:tcPr>
          <w:p w:rsidR="00204C82" w:rsidRPr="008D4CEE" w:rsidRDefault="00204C82" w:rsidP="002B2ADB">
            <w:pPr>
              <w:spacing w:after="0"/>
              <w:jc w:val="center"/>
              <w:rPr>
                <w:b/>
                <w:bCs/>
                <w:i/>
                <w:iCs/>
                <w:sz w:val="18"/>
                <w:szCs w:val="18"/>
                <w:lang w:val="en-US"/>
              </w:rPr>
            </w:pPr>
            <w:r w:rsidRPr="008D4CEE">
              <w:rPr>
                <w:b/>
                <w:bCs/>
                <w:i/>
                <w:iCs/>
                <w:sz w:val="18"/>
                <w:szCs w:val="18"/>
              </w:rPr>
              <w:t>Проект</w:t>
            </w:r>
          </w:p>
          <w:p w:rsidR="00204C82" w:rsidRPr="008D4CEE" w:rsidRDefault="00204C82" w:rsidP="002B2ADB">
            <w:pPr>
              <w:spacing w:after="0"/>
              <w:jc w:val="center"/>
              <w:rPr>
                <w:b/>
                <w:bCs/>
                <w:i/>
                <w:iCs/>
                <w:sz w:val="18"/>
                <w:szCs w:val="18"/>
              </w:rPr>
            </w:pPr>
            <w:r w:rsidRPr="008D4CEE">
              <w:rPr>
                <w:b/>
                <w:bCs/>
                <w:i/>
                <w:iCs/>
                <w:sz w:val="18"/>
                <w:szCs w:val="18"/>
              </w:rPr>
              <w:t>20</w:t>
            </w:r>
            <w:r w:rsidRPr="008D4CEE">
              <w:rPr>
                <w:b/>
                <w:bCs/>
                <w:i/>
                <w:iCs/>
                <w:sz w:val="18"/>
                <w:szCs w:val="18"/>
                <w:lang w:val="en-US"/>
              </w:rPr>
              <w:t>20</w:t>
            </w:r>
            <w:r w:rsidRPr="008D4CEE">
              <w:rPr>
                <w:b/>
                <w:bCs/>
                <w:i/>
                <w:iCs/>
                <w:sz w:val="18"/>
                <w:szCs w:val="18"/>
              </w:rPr>
              <w:t xml:space="preserve"> г.</w:t>
            </w:r>
          </w:p>
        </w:tc>
        <w:tc>
          <w:tcPr>
            <w:tcW w:w="725" w:type="pct"/>
            <w:tcBorders>
              <w:top w:val="single" w:sz="4" w:space="0" w:color="auto"/>
              <w:left w:val="nil"/>
              <w:bottom w:val="single" w:sz="4" w:space="0" w:color="auto"/>
              <w:right w:val="nil"/>
            </w:tcBorders>
            <w:shd w:val="clear" w:color="auto" w:fill="auto"/>
            <w:vAlign w:val="center"/>
          </w:tcPr>
          <w:p w:rsidR="00204C82" w:rsidRPr="008D4CEE" w:rsidRDefault="00204C82" w:rsidP="002B2ADB">
            <w:pPr>
              <w:spacing w:after="0"/>
              <w:jc w:val="center"/>
              <w:rPr>
                <w:b/>
                <w:bCs/>
                <w:i/>
                <w:iCs/>
                <w:sz w:val="18"/>
                <w:szCs w:val="18"/>
                <w:lang w:val="en-US"/>
              </w:rPr>
            </w:pPr>
            <w:r w:rsidRPr="008D4CEE">
              <w:rPr>
                <w:b/>
                <w:bCs/>
                <w:i/>
                <w:iCs/>
                <w:sz w:val="18"/>
                <w:szCs w:val="18"/>
              </w:rPr>
              <w:t xml:space="preserve">Прогноза </w:t>
            </w:r>
          </w:p>
          <w:p w:rsidR="00204C82" w:rsidRPr="008D4CEE" w:rsidRDefault="00204C82" w:rsidP="002B2ADB">
            <w:pPr>
              <w:spacing w:after="0"/>
              <w:jc w:val="center"/>
              <w:rPr>
                <w:b/>
                <w:bCs/>
                <w:i/>
                <w:iCs/>
                <w:sz w:val="18"/>
                <w:szCs w:val="18"/>
              </w:rPr>
            </w:pPr>
            <w:r w:rsidRPr="008D4CEE">
              <w:rPr>
                <w:b/>
                <w:bCs/>
                <w:i/>
                <w:iCs/>
                <w:sz w:val="18"/>
                <w:szCs w:val="18"/>
              </w:rPr>
              <w:t>20</w:t>
            </w:r>
            <w:r w:rsidRPr="008D4CEE">
              <w:rPr>
                <w:b/>
                <w:bCs/>
                <w:i/>
                <w:iCs/>
                <w:sz w:val="18"/>
                <w:szCs w:val="18"/>
                <w:lang w:val="en-US"/>
              </w:rPr>
              <w:t>21</w:t>
            </w:r>
            <w:r w:rsidRPr="008D4CEE">
              <w:rPr>
                <w:b/>
                <w:bCs/>
                <w:i/>
                <w:iCs/>
                <w:sz w:val="18"/>
                <w:szCs w:val="18"/>
              </w:rPr>
              <w:t xml:space="preserve"> г.</w:t>
            </w:r>
          </w:p>
        </w:tc>
        <w:tc>
          <w:tcPr>
            <w:tcW w:w="732" w:type="pct"/>
            <w:tcBorders>
              <w:top w:val="single" w:sz="4" w:space="0" w:color="auto"/>
              <w:left w:val="nil"/>
              <w:bottom w:val="single" w:sz="4" w:space="0" w:color="auto"/>
              <w:right w:val="nil"/>
            </w:tcBorders>
            <w:shd w:val="clear" w:color="auto" w:fill="auto"/>
            <w:vAlign w:val="center"/>
          </w:tcPr>
          <w:p w:rsidR="00204C82" w:rsidRPr="008D4CEE" w:rsidRDefault="00204C82" w:rsidP="002B2ADB">
            <w:pPr>
              <w:spacing w:after="0"/>
              <w:jc w:val="center"/>
              <w:rPr>
                <w:b/>
                <w:bCs/>
                <w:i/>
                <w:iCs/>
                <w:sz w:val="18"/>
                <w:szCs w:val="18"/>
                <w:lang w:val="en-US"/>
              </w:rPr>
            </w:pPr>
            <w:r w:rsidRPr="008D4CEE">
              <w:rPr>
                <w:b/>
                <w:bCs/>
                <w:i/>
                <w:iCs/>
                <w:sz w:val="18"/>
                <w:szCs w:val="18"/>
              </w:rPr>
              <w:t xml:space="preserve">Прогноза </w:t>
            </w:r>
          </w:p>
          <w:p w:rsidR="00204C82" w:rsidRPr="008D4CEE" w:rsidRDefault="00204C82" w:rsidP="002B2ADB">
            <w:pPr>
              <w:spacing w:after="0"/>
              <w:jc w:val="center"/>
              <w:rPr>
                <w:b/>
                <w:bCs/>
                <w:i/>
                <w:iCs/>
                <w:sz w:val="18"/>
                <w:szCs w:val="18"/>
              </w:rPr>
            </w:pPr>
            <w:r w:rsidRPr="008D4CEE">
              <w:rPr>
                <w:b/>
                <w:bCs/>
                <w:i/>
                <w:iCs/>
                <w:sz w:val="18"/>
                <w:szCs w:val="18"/>
              </w:rPr>
              <w:t>202</w:t>
            </w:r>
            <w:r w:rsidRPr="008D4CEE">
              <w:rPr>
                <w:b/>
                <w:bCs/>
                <w:i/>
                <w:iCs/>
                <w:sz w:val="18"/>
                <w:szCs w:val="18"/>
                <w:lang w:val="en-US"/>
              </w:rPr>
              <w:t>2</w:t>
            </w:r>
            <w:r w:rsidRPr="008D4CEE">
              <w:rPr>
                <w:b/>
                <w:bCs/>
                <w:i/>
                <w:iCs/>
                <w:sz w:val="18"/>
                <w:szCs w:val="18"/>
              </w:rPr>
              <w:t xml:space="preserve"> г.</w:t>
            </w:r>
          </w:p>
        </w:tc>
      </w:tr>
      <w:tr w:rsidR="00204C82" w:rsidRPr="008D4CEE" w:rsidTr="004D5326">
        <w:trPr>
          <w:trHeight w:val="612"/>
          <w:jc w:val="center"/>
        </w:trPr>
        <w:tc>
          <w:tcPr>
            <w:tcW w:w="1675" w:type="pct"/>
            <w:tcBorders>
              <w:top w:val="single" w:sz="4" w:space="0" w:color="auto"/>
              <w:left w:val="nil"/>
              <w:bottom w:val="nil"/>
              <w:right w:val="nil"/>
            </w:tcBorders>
            <w:shd w:val="clear" w:color="auto" w:fill="auto"/>
          </w:tcPr>
          <w:p w:rsidR="00204C82" w:rsidRPr="008D4CEE" w:rsidRDefault="00204C82" w:rsidP="002B2ADB">
            <w:pPr>
              <w:widowControl w:val="0"/>
              <w:tabs>
                <w:tab w:val="left" w:pos="329"/>
              </w:tabs>
              <w:autoSpaceDE w:val="0"/>
              <w:autoSpaceDN w:val="0"/>
              <w:adjustRightInd w:val="0"/>
              <w:spacing w:after="0"/>
              <w:jc w:val="left"/>
              <w:rPr>
                <w:rFonts w:asciiTheme="majorHAnsi" w:eastAsia="Times New Roman" w:hAnsiTheme="majorHAnsi" w:cstheme="majorHAnsi"/>
                <w:sz w:val="18"/>
                <w:szCs w:val="18"/>
              </w:rPr>
            </w:pPr>
            <w:r w:rsidRPr="008D4CEE">
              <w:rPr>
                <w:rFonts w:asciiTheme="majorHAnsi" w:eastAsia="Times New Roman" w:hAnsiTheme="majorHAnsi" w:cstheme="majorHAnsi"/>
                <w:sz w:val="18"/>
                <w:szCs w:val="18"/>
              </w:rPr>
              <w:t>1. Дял на енергията от ВИ в брутното крайно енергийно потребление</w:t>
            </w:r>
          </w:p>
        </w:tc>
        <w:tc>
          <w:tcPr>
            <w:tcW w:w="516" w:type="pct"/>
            <w:tcBorders>
              <w:top w:val="single" w:sz="4" w:space="0" w:color="auto"/>
              <w:left w:val="nil"/>
              <w:bottom w:val="nil"/>
              <w:right w:val="nil"/>
            </w:tcBorders>
            <w:shd w:val="clear" w:color="auto" w:fill="F2F2F2" w:themeFill="background1" w:themeFillShade="F2"/>
          </w:tcPr>
          <w:p w:rsidR="00204C82" w:rsidRPr="008D4CEE" w:rsidRDefault="00204C82" w:rsidP="002B2ADB">
            <w:pPr>
              <w:spacing w:before="120" w:after="0"/>
              <w:jc w:val="center"/>
              <w:rPr>
                <w:sz w:val="18"/>
                <w:szCs w:val="18"/>
              </w:rPr>
            </w:pPr>
            <w:r w:rsidRPr="008D4CEE">
              <w:rPr>
                <w:sz w:val="18"/>
                <w:szCs w:val="18"/>
              </w:rPr>
              <w:t>%</w:t>
            </w:r>
          </w:p>
        </w:tc>
        <w:tc>
          <w:tcPr>
            <w:tcW w:w="637" w:type="pct"/>
            <w:tcBorders>
              <w:top w:val="single" w:sz="4" w:space="0" w:color="auto"/>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14,8</w:t>
            </w:r>
          </w:p>
        </w:tc>
        <w:tc>
          <w:tcPr>
            <w:tcW w:w="714" w:type="pct"/>
            <w:tcBorders>
              <w:top w:val="single" w:sz="4" w:space="0" w:color="auto"/>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w:t>
            </w:r>
            <w:r w:rsidRPr="008D4CEE">
              <w:rPr>
                <w:sz w:val="18"/>
                <w:szCs w:val="18"/>
                <w:lang w:val="en-US"/>
              </w:rPr>
              <w:t>9</w:t>
            </w:r>
            <w:r w:rsidRPr="008D4CEE">
              <w:rPr>
                <w:sz w:val="18"/>
                <w:szCs w:val="18"/>
              </w:rPr>
              <w:t>,0</w:t>
            </w:r>
          </w:p>
        </w:tc>
        <w:tc>
          <w:tcPr>
            <w:tcW w:w="725" w:type="pct"/>
            <w:tcBorders>
              <w:top w:val="single" w:sz="4" w:space="0" w:color="auto"/>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16,0</w:t>
            </w:r>
          </w:p>
        </w:tc>
        <w:tc>
          <w:tcPr>
            <w:tcW w:w="732" w:type="pct"/>
            <w:tcBorders>
              <w:top w:val="single" w:sz="4" w:space="0" w:color="auto"/>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20,0</w:t>
            </w:r>
          </w:p>
        </w:tc>
      </w:tr>
      <w:tr w:rsidR="00204C82" w:rsidRPr="008D4CEE" w:rsidTr="004D5326">
        <w:trPr>
          <w:trHeight w:val="70"/>
          <w:jc w:val="center"/>
        </w:trPr>
        <w:tc>
          <w:tcPr>
            <w:tcW w:w="1675" w:type="pct"/>
            <w:tcBorders>
              <w:top w:val="nil"/>
              <w:left w:val="nil"/>
              <w:bottom w:val="nil"/>
              <w:right w:val="nil"/>
            </w:tcBorders>
            <w:shd w:val="clear" w:color="auto" w:fill="auto"/>
          </w:tcPr>
          <w:p w:rsidR="00204C82" w:rsidRPr="008D4CEE" w:rsidRDefault="00204C82" w:rsidP="002B2ADB">
            <w:pPr>
              <w:widowControl w:val="0"/>
              <w:tabs>
                <w:tab w:val="left" w:pos="329"/>
              </w:tabs>
              <w:autoSpaceDE w:val="0"/>
              <w:autoSpaceDN w:val="0"/>
              <w:adjustRightInd w:val="0"/>
              <w:spacing w:after="0"/>
              <w:jc w:val="left"/>
              <w:rPr>
                <w:rFonts w:asciiTheme="majorHAnsi" w:eastAsia="Times New Roman" w:hAnsiTheme="majorHAnsi" w:cstheme="majorHAnsi"/>
                <w:sz w:val="18"/>
                <w:szCs w:val="18"/>
              </w:rPr>
            </w:pPr>
            <w:r w:rsidRPr="008D4CEE">
              <w:rPr>
                <w:rFonts w:asciiTheme="majorHAnsi" w:eastAsia="Times New Roman" w:hAnsiTheme="majorHAnsi" w:cstheme="majorHAnsi"/>
                <w:sz w:val="18"/>
                <w:szCs w:val="18"/>
              </w:rPr>
              <w:t>2.Дял на енергията от ВИ в крайно потребление на енергия в транспорта</w:t>
            </w:r>
          </w:p>
        </w:tc>
        <w:tc>
          <w:tcPr>
            <w:tcW w:w="516" w:type="pct"/>
            <w:tcBorders>
              <w:top w:val="nil"/>
              <w:left w:val="nil"/>
              <w:bottom w:val="nil"/>
              <w:right w:val="nil"/>
            </w:tcBorders>
            <w:shd w:val="clear" w:color="auto" w:fill="F2F2F2" w:themeFill="background1" w:themeFillShade="F2"/>
          </w:tcPr>
          <w:p w:rsidR="00204C82" w:rsidRPr="008D4CEE" w:rsidRDefault="00204C82" w:rsidP="002B2ADB">
            <w:pPr>
              <w:spacing w:before="120" w:after="0"/>
              <w:jc w:val="center"/>
              <w:rPr>
                <w:sz w:val="18"/>
                <w:szCs w:val="18"/>
              </w:rPr>
            </w:pPr>
            <w:r w:rsidRPr="008D4CEE">
              <w:rPr>
                <w:sz w:val="18"/>
                <w:szCs w:val="18"/>
              </w:rPr>
              <w:t>%</w:t>
            </w:r>
          </w:p>
          <w:p w:rsidR="00204C82" w:rsidRPr="008D4CEE" w:rsidRDefault="00204C82" w:rsidP="002B2ADB">
            <w:pPr>
              <w:spacing w:before="120" w:after="0"/>
              <w:jc w:val="center"/>
              <w:rPr>
                <w:sz w:val="18"/>
                <w:szCs w:val="18"/>
              </w:rPr>
            </w:pPr>
          </w:p>
        </w:tc>
        <w:tc>
          <w:tcPr>
            <w:tcW w:w="637"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10,1</w:t>
            </w:r>
          </w:p>
          <w:p w:rsidR="00204C82" w:rsidRPr="008D4CEE" w:rsidRDefault="00204C82" w:rsidP="002B2ADB">
            <w:pPr>
              <w:spacing w:before="120" w:after="0"/>
              <w:jc w:val="center"/>
              <w:rPr>
                <w:sz w:val="18"/>
                <w:szCs w:val="18"/>
              </w:rPr>
            </w:pPr>
          </w:p>
        </w:tc>
        <w:tc>
          <w:tcPr>
            <w:tcW w:w="714"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lang w:val="en-US"/>
              </w:rPr>
              <w:t>9</w:t>
            </w:r>
            <w:r w:rsidRPr="008D4CEE">
              <w:rPr>
                <w:sz w:val="18"/>
                <w:szCs w:val="18"/>
              </w:rPr>
              <w:t>,0</w:t>
            </w:r>
          </w:p>
        </w:tc>
        <w:tc>
          <w:tcPr>
            <w:tcW w:w="725"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9,0</w:t>
            </w:r>
          </w:p>
        </w:tc>
        <w:tc>
          <w:tcPr>
            <w:tcW w:w="732"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10,0</w:t>
            </w:r>
          </w:p>
        </w:tc>
      </w:tr>
      <w:tr w:rsidR="00204C82" w:rsidRPr="008D4CEE" w:rsidTr="004D5326">
        <w:trPr>
          <w:trHeight w:val="684"/>
          <w:jc w:val="center"/>
        </w:trPr>
        <w:tc>
          <w:tcPr>
            <w:tcW w:w="1675" w:type="pct"/>
            <w:tcBorders>
              <w:top w:val="nil"/>
              <w:left w:val="nil"/>
              <w:bottom w:val="nil"/>
              <w:right w:val="nil"/>
            </w:tcBorders>
            <w:shd w:val="clear" w:color="auto" w:fill="auto"/>
          </w:tcPr>
          <w:p w:rsidR="00204C82" w:rsidRPr="008D4CEE" w:rsidRDefault="00204C82" w:rsidP="002B2ADB">
            <w:pPr>
              <w:widowControl w:val="0"/>
              <w:tabs>
                <w:tab w:val="left" w:pos="329"/>
              </w:tabs>
              <w:autoSpaceDE w:val="0"/>
              <w:autoSpaceDN w:val="0"/>
              <w:adjustRightInd w:val="0"/>
              <w:spacing w:after="0"/>
              <w:jc w:val="left"/>
              <w:rPr>
                <w:rFonts w:asciiTheme="majorHAnsi" w:eastAsia="Times New Roman" w:hAnsiTheme="majorHAnsi" w:cstheme="majorHAnsi"/>
                <w:sz w:val="18"/>
                <w:szCs w:val="18"/>
              </w:rPr>
            </w:pPr>
            <w:r w:rsidRPr="008D4CEE">
              <w:rPr>
                <w:rFonts w:asciiTheme="majorHAnsi" w:eastAsia="Times New Roman" w:hAnsiTheme="majorHAnsi" w:cstheme="majorHAnsi"/>
                <w:sz w:val="18"/>
                <w:szCs w:val="18"/>
              </w:rPr>
              <w:t>3. Национална цел за енергийни спестявания в първичното потребление</w:t>
            </w:r>
          </w:p>
        </w:tc>
        <w:tc>
          <w:tcPr>
            <w:tcW w:w="516" w:type="pct"/>
            <w:tcBorders>
              <w:top w:val="nil"/>
              <w:left w:val="nil"/>
              <w:bottom w:val="nil"/>
              <w:right w:val="nil"/>
            </w:tcBorders>
            <w:shd w:val="clear" w:color="auto" w:fill="F2F2F2" w:themeFill="background1" w:themeFillShade="F2"/>
          </w:tcPr>
          <w:p w:rsidR="00204C82" w:rsidRPr="008D4CEE" w:rsidRDefault="00204C82" w:rsidP="002B2ADB">
            <w:pPr>
              <w:spacing w:before="120" w:after="0"/>
              <w:jc w:val="center"/>
              <w:rPr>
                <w:sz w:val="18"/>
                <w:szCs w:val="18"/>
              </w:rPr>
            </w:pPr>
            <w:r w:rsidRPr="008D4CEE">
              <w:rPr>
                <w:sz w:val="18"/>
                <w:szCs w:val="18"/>
              </w:rPr>
              <w:t xml:space="preserve">ktoe </w:t>
            </w:r>
          </w:p>
          <w:p w:rsidR="00204C82" w:rsidRPr="008D4CEE" w:rsidRDefault="00204C82" w:rsidP="002B2ADB">
            <w:pPr>
              <w:spacing w:before="120" w:after="0"/>
              <w:jc w:val="center"/>
              <w:rPr>
                <w:sz w:val="18"/>
                <w:szCs w:val="18"/>
              </w:rPr>
            </w:pPr>
          </w:p>
        </w:tc>
        <w:tc>
          <w:tcPr>
            <w:tcW w:w="637"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1 362</w:t>
            </w:r>
          </w:p>
          <w:p w:rsidR="00204C82" w:rsidRPr="008D4CEE" w:rsidRDefault="00204C82" w:rsidP="002B2ADB">
            <w:pPr>
              <w:spacing w:before="120" w:after="0"/>
              <w:jc w:val="center"/>
              <w:rPr>
                <w:sz w:val="18"/>
                <w:szCs w:val="18"/>
              </w:rPr>
            </w:pPr>
          </w:p>
        </w:tc>
        <w:tc>
          <w:tcPr>
            <w:tcW w:w="714"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1 590</w:t>
            </w:r>
          </w:p>
        </w:tc>
        <w:tc>
          <w:tcPr>
            <w:tcW w:w="725"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p>
        </w:tc>
        <w:tc>
          <w:tcPr>
            <w:tcW w:w="732"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p>
        </w:tc>
      </w:tr>
      <w:tr w:rsidR="00204C82" w:rsidRPr="008D4CEE" w:rsidTr="004D5326">
        <w:trPr>
          <w:trHeight w:val="567"/>
          <w:jc w:val="center"/>
        </w:trPr>
        <w:tc>
          <w:tcPr>
            <w:tcW w:w="1675" w:type="pct"/>
            <w:tcBorders>
              <w:top w:val="nil"/>
              <w:left w:val="nil"/>
              <w:bottom w:val="nil"/>
              <w:right w:val="nil"/>
            </w:tcBorders>
            <w:shd w:val="clear" w:color="auto" w:fill="auto"/>
          </w:tcPr>
          <w:p w:rsidR="00204C82" w:rsidRPr="008D4CEE" w:rsidRDefault="00204C82" w:rsidP="002B2ADB">
            <w:pPr>
              <w:widowControl w:val="0"/>
              <w:tabs>
                <w:tab w:val="left" w:pos="329"/>
              </w:tabs>
              <w:autoSpaceDE w:val="0"/>
              <w:autoSpaceDN w:val="0"/>
              <w:adjustRightInd w:val="0"/>
              <w:spacing w:after="0"/>
              <w:jc w:val="left"/>
              <w:rPr>
                <w:rFonts w:asciiTheme="majorHAnsi" w:eastAsia="Times New Roman" w:hAnsiTheme="majorHAnsi" w:cstheme="majorHAnsi"/>
                <w:sz w:val="18"/>
                <w:szCs w:val="18"/>
              </w:rPr>
            </w:pPr>
            <w:r w:rsidRPr="008D4CEE">
              <w:rPr>
                <w:rFonts w:asciiTheme="majorHAnsi" w:eastAsia="Times New Roman" w:hAnsiTheme="majorHAnsi" w:cstheme="majorHAnsi"/>
                <w:sz w:val="18"/>
                <w:szCs w:val="18"/>
              </w:rPr>
              <w:t>3а</w:t>
            </w:r>
            <w:r w:rsidR="007979CD">
              <w:rPr>
                <w:rFonts w:asciiTheme="majorHAnsi" w:eastAsia="Times New Roman" w:hAnsiTheme="majorHAnsi" w:cstheme="majorHAnsi"/>
                <w:sz w:val="18"/>
                <w:szCs w:val="18"/>
              </w:rPr>
              <w:t>.</w:t>
            </w:r>
            <w:r w:rsidRPr="008D4CEE">
              <w:rPr>
                <w:rFonts w:asciiTheme="majorHAnsi" w:eastAsia="Times New Roman" w:hAnsiTheme="majorHAnsi" w:cstheme="majorHAnsi"/>
                <w:sz w:val="18"/>
                <w:szCs w:val="18"/>
              </w:rPr>
              <w:t xml:space="preserve"> Първично енергийно потребление </w:t>
            </w:r>
          </w:p>
        </w:tc>
        <w:tc>
          <w:tcPr>
            <w:tcW w:w="516" w:type="pct"/>
            <w:tcBorders>
              <w:top w:val="nil"/>
              <w:left w:val="nil"/>
              <w:bottom w:val="nil"/>
              <w:right w:val="nil"/>
            </w:tcBorders>
            <w:shd w:val="clear" w:color="auto" w:fill="F2F2F2" w:themeFill="background1" w:themeFillShade="F2"/>
          </w:tcPr>
          <w:p w:rsidR="00204C82" w:rsidRPr="008D4CEE" w:rsidRDefault="00204C82" w:rsidP="002B2ADB">
            <w:pPr>
              <w:spacing w:before="120" w:after="0"/>
              <w:jc w:val="center"/>
              <w:rPr>
                <w:sz w:val="18"/>
                <w:szCs w:val="18"/>
              </w:rPr>
            </w:pPr>
            <w:r w:rsidRPr="008D4CEE">
              <w:rPr>
                <w:sz w:val="18"/>
                <w:szCs w:val="18"/>
              </w:rPr>
              <w:t xml:space="preserve">ktoe </w:t>
            </w:r>
          </w:p>
        </w:tc>
        <w:tc>
          <w:tcPr>
            <w:tcW w:w="637"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0</w:t>
            </w:r>
          </w:p>
        </w:tc>
        <w:tc>
          <w:tcPr>
            <w:tcW w:w="714"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lang w:val="en-US"/>
              </w:rPr>
            </w:pPr>
            <w:r w:rsidRPr="008D4CEE">
              <w:rPr>
                <w:sz w:val="18"/>
                <w:szCs w:val="18"/>
                <w:lang w:val="en-US"/>
              </w:rPr>
              <w:t>19 962</w:t>
            </w:r>
          </w:p>
        </w:tc>
        <w:tc>
          <w:tcPr>
            <w:tcW w:w="725"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19 169</w:t>
            </w:r>
          </w:p>
        </w:tc>
        <w:tc>
          <w:tcPr>
            <w:tcW w:w="732"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18 639</w:t>
            </w:r>
          </w:p>
        </w:tc>
      </w:tr>
      <w:tr w:rsidR="00204C82" w:rsidRPr="008D4CEE" w:rsidTr="004D5326">
        <w:trPr>
          <w:trHeight w:val="561"/>
          <w:jc w:val="center"/>
        </w:trPr>
        <w:tc>
          <w:tcPr>
            <w:tcW w:w="1675" w:type="pct"/>
            <w:tcBorders>
              <w:top w:val="nil"/>
              <w:left w:val="nil"/>
              <w:bottom w:val="nil"/>
              <w:right w:val="nil"/>
            </w:tcBorders>
            <w:shd w:val="clear" w:color="auto" w:fill="auto"/>
          </w:tcPr>
          <w:p w:rsidR="00204C82" w:rsidRPr="008D4CEE" w:rsidRDefault="00204C82" w:rsidP="002B2ADB">
            <w:pPr>
              <w:widowControl w:val="0"/>
              <w:tabs>
                <w:tab w:val="left" w:pos="329"/>
              </w:tabs>
              <w:autoSpaceDE w:val="0"/>
              <w:autoSpaceDN w:val="0"/>
              <w:adjustRightInd w:val="0"/>
              <w:spacing w:after="0"/>
              <w:jc w:val="left"/>
              <w:rPr>
                <w:rFonts w:asciiTheme="majorHAnsi" w:eastAsia="Times New Roman" w:hAnsiTheme="majorHAnsi" w:cstheme="majorHAnsi"/>
                <w:sz w:val="18"/>
                <w:szCs w:val="18"/>
              </w:rPr>
            </w:pPr>
            <w:r w:rsidRPr="008D4CEE">
              <w:rPr>
                <w:rFonts w:asciiTheme="majorHAnsi" w:eastAsia="Times New Roman" w:hAnsiTheme="majorHAnsi" w:cstheme="majorHAnsi"/>
                <w:sz w:val="18"/>
                <w:szCs w:val="18"/>
              </w:rPr>
              <w:t>4. Национална цел за енергийни спестявания в крайното потребление</w:t>
            </w:r>
          </w:p>
        </w:tc>
        <w:tc>
          <w:tcPr>
            <w:tcW w:w="516" w:type="pct"/>
            <w:tcBorders>
              <w:top w:val="nil"/>
              <w:left w:val="nil"/>
              <w:bottom w:val="nil"/>
              <w:right w:val="nil"/>
            </w:tcBorders>
            <w:shd w:val="clear" w:color="auto" w:fill="F2F2F2" w:themeFill="background1" w:themeFillShade="F2"/>
          </w:tcPr>
          <w:p w:rsidR="00204C82" w:rsidRPr="008D4CEE" w:rsidRDefault="00204C82" w:rsidP="002B2ADB">
            <w:pPr>
              <w:spacing w:before="120" w:after="0"/>
              <w:ind w:left="-211" w:firstLine="211"/>
              <w:jc w:val="center"/>
              <w:rPr>
                <w:sz w:val="18"/>
                <w:szCs w:val="18"/>
              </w:rPr>
            </w:pPr>
            <w:r w:rsidRPr="008D4CEE">
              <w:rPr>
                <w:sz w:val="18"/>
                <w:szCs w:val="18"/>
              </w:rPr>
              <w:t>ktoe</w:t>
            </w:r>
          </w:p>
        </w:tc>
        <w:tc>
          <w:tcPr>
            <w:tcW w:w="637"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613</w:t>
            </w:r>
          </w:p>
        </w:tc>
        <w:tc>
          <w:tcPr>
            <w:tcW w:w="714"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716</w:t>
            </w:r>
          </w:p>
        </w:tc>
        <w:tc>
          <w:tcPr>
            <w:tcW w:w="725"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p>
        </w:tc>
        <w:tc>
          <w:tcPr>
            <w:tcW w:w="732"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p>
        </w:tc>
      </w:tr>
      <w:tr w:rsidR="00204C82" w:rsidRPr="008D4CEE" w:rsidTr="004D5326">
        <w:trPr>
          <w:trHeight w:val="255"/>
          <w:jc w:val="center"/>
        </w:trPr>
        <w:tc>
          <w:tcPr>
            <w:tcW w:w="1675" w:type="pct"/>
            <w:tcBorders>
              <w:top w:val="nil"/>
              <w:left w:val="nil"/>
              <w:bottom w:val="nil"/>
              <w:right w:val="nil"/>
            </w:tcBorders>
            <w:shd w:val="clear" w:color="auto" w:fill="auto"/>
          </w:tcPr>
          <w:p w:rsidR="00204C82" w:rsidRPr="008D4CEE" w:rsidRDefault="00204C82" w:rsidP="002B2ADB">
            <w:pPr>
              <w:widowControl w:val="0"/>
              <w:tabs>
                <w:tab w:val="left" w:pos="329"/>
              </w:tabs>
              <w:autoSpaceDE w:val="0"/>
              <w:autoSpaceDN w:val="0"/>
              <w:adjustRightInd w:val="0"/>
              <w:spacing w:after="0"/>
              <w:jc w:val="left"/>
              <w:rPr>
                <w:rFonts w:asciiTheme="majorHAnsi" w:eastAsia="Times New Roman" w:hAnsiTheme="majorHAnsi" w:cstheme="majorHAnsi"/>
                <w:sz w:val="18"/>
                <w:szCs w:val="18"/>
              </w:rPr>
            </w:pPr>
            <w:r w:rsidRPr="008D4CEE">
              <w:rPr>
                <w:rFonts w:asciiTheme="majorHAnsi" w:eastAsia="Times New Roman" w:hAnsiTheme="majorHAnsi" w:cstheme="majorHAnsi"/>
                <w:sz w:val="18"/>
                <w:szCs w:val="18"/>
              </w:rPr>
              <w:t>4а</w:t>
            </w:r>
            <w:r w:rsidR="007979CD">
              <w:rPr>
                <w:rFonts w:asciiTheme="majorHAnsi" w:eastAsia="Times New Roman" w:hAnsiTheme="majorHAnsi" w:cstheme="majorHAnsi"/>
                <w:sz w:val="18"/>
                <w:szCs w:val="18"/>
              </w:rPr>
              <w:t>.</w:t>
            </w:r>
            <w:r w:rsidRPr="008D4CEE">
              <w:rPr>
                <w:rFonts w:asciiTheme="majorHAnsi" w:eastAsia="Times New Roman" w:hAnsiTheme="majorHAnsi" w:cstheme="majorHAnsi"/>
                <w:sz w:val="18"/>
                <w:szCs w:val="18"/>
              </w:rPr>
              <w:t xml:space="preserve"> Крайно потребление на енергия</w:t>
            </w:r>
          </w:p>
        </w:tc>
        <w:tc>
          <w:tcPr>
            <w:tcW w:w="516" w:type="pct"/>
            <w:tcBorders>
              <w:top w:val="nil"/>
              <w:left w:val="nil"/>
              <w:bottom w:val="nil"/>
              <w:right w:val="nil"/>
            </w:tcBorders>
            <w:shd w:val="clear" w:color="auto" w:fill="F2F2F2" w:themeFill="background1" w:themeFillShade="F2"/>
          </w:tcPr>
          <w:p w:rsidR="00204C82" w:rsidRPr="008D4CEE" w:rsidRDefault="00204C82" w:rsidP="002B2ADB">
            <w:pPr>
              <w:spacing w:before="120" w:after="0"/>
              <w:jc w:val="center"/>
              <w:rPr>
                <w:sz w:val="18"/>
                <w:szCs w:val="18"/>
              </w:rPr>
            </w:pPr>
            <w:r w:rsidRPr="008D4CEE">
              <w:rPr>
                <w:sz w:val="18"/>
                <w:szCs w:val="18"/>
              </w:rPr>
              <w:t>ktoe</w:t>
            </w:r>
          </w:p>
        </w:tc>
        <w:tc>
          <w:tcPr>
            <w:tcW w:w="637"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0</w:t>
            </w:r>
          </w:p>
        </w:tc>
        <w:tc>
          <w:tcPr>
            <w:tcW w:w="714"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lang w:val="en-US"/>
              </w:rPr>
            </w:pPr>
            <w:r w:rsidRPr="008D4CEE">
              <w:rPr>
                <w:sz w:val="18"/>
                <w:szCs w:val="18"/>
                <w:lang w:val="en-US"/>
              </w:rPr>
              <w:t>10 338</w:t>
            </w:r>
          </w:p>
        </w:tc>
        <w:tc>
          <w:tcPr>
            <w:tcW w:w="725"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10 214</w:t>
            </w:r>
          </w:p>
        </w:tc>
        <w:tc>
          <w:tcPr>
            <w:tcW w:w="732" w:type="pct"/>
            <w:tcBorders>
              <w:top w:val="nil"/>
              <w:left w:val="nil"/>
              <w:bottom w:val="nil"/>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10 022</w:t>
            </w:r>
          </w:p>
        </w:tc>
      </w:tr>
      <w:tr w:rsidR="00204C82" w:rsidRPr="008D4CEE" w:rsidTr="004D5326">
        <w:trPr>
          <w:trHeight w:val="255"/>
          <w:jc w:val="center"/>
        </w:trPr>
        <w:tc>
          <w:tcPr>
            <w:tcW w:w="1675" w:type="pct"/>
            <w:tcBorders>
              <w:top w:val="nil"/>
              <w:left w:val="nil"/>
              <w:bottom w:val="single" w:sz="4" w:space="0" w:color="auto"/>
              <w:right w:val="nil"/>
            </w:tcBorders>
            <w:shd w:val="clear" w:color="auto" w:fill="auto"/>
          </w:tcPr>
          <w:p w:rsidR="00204C82" w:rsidRPr="008D4CEE" w:rsidRDefault="00204C82" w:rsidP="002B2ADB">
            <w:pPr>
              <w:widowControl w:val="0"/>
              <w:tabs>
                <w:tab w:val="left" w:pos="329"/>
              </w:tabs>
              <w:autoSpaceDE w:val="0"/>
              <w:autoSpaceDN w:val="0"/>
              <w:adjustRightInd w:val="0"/>
              <w:spacing w:after="0"/>
              <w:jc w:val="left"/>
              <w:rPr>
                <w:rFonts w:asciiTheme="majorHAnsi" w:eastAsia="Times New Roman" w:hAnsiTheme="majorHAnsi" w:cstheme="majorHAnsi"/>
                <w:sz w:val="18"/>
                <w:szCs w:val="18"/>
              </w:rPr>
            </w:pPr>
            <w:r w:rsidRPr="008D4CEE">
              <w:rPr>
                <w:rFonts w:asciiTheme="majorHAnsi" w:eastAsia="Times New Roman" w:hAnsiTheme="majorHAnsi" w:cstheme="majorHAnsi"/>
                <w:sz w:val="18"/>
                <w:szCs w:val="18"/>
              </w:rPr>
              <w:t>5. Степен на осигуряване на минерално-суровинния баланс на държавата</w:t>
            </w:r>
          </w:p>
        </w:tc>
        <w:tc>
          <w:tcPr>
            <w:tcW w:w="516" w:type="pct"/>
            <w:tcBorders>
              <w:top w:val="nil"/>
              <w:left w:val="nil"/>
              <w:bottom w:val="single" w:sz="4" w:space="0" w:color="auto"/>
              <w:right w:val="nil"/>
            </w:tcBorders>
            <w:shd w:val="clear" w:color="auto" w:fill="F2F2F2" w:themeFill="background1" w:themeFillShade="F2"/>
          </w:tcPr>
          <w:p w:rsidR="00204C82" w:rsidRPr="008D4CEE" w:rsidRDefault="00204C82" w:rsidP="002B2ADB">
            <w:pPr>
              <w:spacing w:before="120" w:after="0"/>
              <w:jc w:val="center"/>
              <w:rPr>
                <w:sz w:val="18"/>
                <w:szCs w:val="18"/>
              </w:rPr>
            </w:pPr>
            <w:r w:rsidRPr="008D4CEE">
              <w:rPr>
                <w:sz w:val="18"/>
                <w:szCs w:val="18"/>
              </w:rPr>
              <w:t>%</w:t>
            </w:r>
          </w:p>
        </w:tc>
        <w:tc>
          <w:tcPr>
            <w:tcW w:w="637" w:type="pct"/>
            <w:tcBorders>
              <w:top w:val="nil"/>
              <w:left w:val="nil"/>
              <w:bottom w:val="single" w:sz="4" w:space="0" w:color="auto"/>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5%</w:t>
            </w:r>
          </w:p>
        </w:tc>
        <w:tc>
          <w:tcPr>
            <w:tcW w:w="714" w:type="pct"/>
            <w:tcBorders>
              <w:top w:val="nil"/>
              <w:left w:val="nil"/>
              <w:bottom w:val="single" w:sz="4" w:space="0" w:color="auto"/>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5%</w:t>
            </w:r>
          </w:p>
        </w:tc>
        <w:tc>
          <w:tcPr>
            <w:tcW w:w="725" w:type="pct"/>
            <w:tcBorders>
              <w:top w:val="nil"/>
              <w:left w:val="nil"/>
              <w:bottom w:val="single" w:sz="4" w:space="0" w:color="auto"/>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5%</w:t>
            </w:r>
          </w:p>
        </w:tc>
        <w:tc>
          <w:tcPr>
            <w:tcW w:w="732" w:type="pct"/>
            <w:tcBorders>
              <w:top w:val="nil"/>
              <w:left w:val="nil"/>
              <w:bottom w:val="single" w:sz="4" w:space="0" w:color="auto"/>
              <w:right w:val="nil"/>
            </w:tcBorders>
            <w:shd w:val="clear" w:color="auto" w:fill="auto"/>
          </w:tcPr>
          <w:p w:rsidR="00204C82" w:rsidRPr="008D4CEE" w:rsidRDefault="00204C82" w:rsidP="002B2ADB">
            <w:pPr>
              <w:spacing w:before="120" w:after="0"/>
              <w:jc w:val="center"/>
              <w:rPr>
                <w:sz w:val="18"/>
                <w:szCs w:val="18"/>
              </w:rPr>
            </w:pPr>
            <w:r w:rsidRPr="008D4CEE">
              <w:rPr>
                <w:sz w:val="18"/>
                <w:szCs w:val="18"/>
              </w:rPr>
              <w:t>5%</w:t>
            </w:r>
          </w:p>
        </w:tc>
      </w:tr>
    </w:tbl>
    <w:p w:rsidR="00B94954" w:rsidRPr="00B94954" w:rsidRDefault="00B94954" w:rsidP="009E2AC5">
      <w:pPr>
        <w:spacing w:before="120" w:after="0"/>
        <w:rPr>
          <w:rFonts w:eastAsia="Batang"/>
          <w:b/>
          <w:sz w:val="16"/>
          <w:szCs w:val="16"/>
        </w:rPr>
      </w:pPr>
      <w:r w:rsidRPr="00B94954">
        <w:rPr>
          <w:rFonts w:eastAsia="Batang"/>
          <w:b/>
          <w:sz w:val="16"/>
          <w:szCs w:val="16"/>
        </w:rPr>
        <w:t>Забележка:</w:t>
      </w:r>
      <w:r w:rsidRPr="00B94954">
        <w:rPr>
          <w:rFonts w:eastAsia="Batang"/>
          <w:b/>
          <w:bCs/>
          <w:sz w:val="16"/>
          <w:szCs w:val="16"/>
        </w:rPr>
        <w:t xml:space="preserve"> </w:t>
      </w:r>
      <w:r w:rsidRPr="00B94954">
        <w:rPr>
          <w:rFonts w:eastAsia="Batang"/>
          <w:b/>
          <w:bCs/>
          <w:sz w:val="16"/>
          <w:szCs w:val="16"/>
          <w:lang w:val="en-US"/>
        </w:rPr>
        <w:t>Ktoe</w:t>
      </w:r>
      <w:r>
        <w:rPr>
          <w:rFonts w:eastAsia="Batang"/>
          <w:b/>
          <w:bCs/>
          <w:sz w:val="16"/>
          <w:szCs w:val="16"/>
        </w:rPr>
        <w:t xml:space="preserve"> </w:t>
      </w:r>
      <w:r w:rsidRPr="00E22A97">
        <w:rPr>
          <w:rFonts w:eastAsia="Batang"/>
          <w:b/>
          <w:bCs/>
          <w:sz w:val="16"/>
          <w:szCs w:val="16"/>
        </w:rPr>
        <w:t>(</w:t>
      </w:r>
      <w:r w:rsidRPr="00B94954">
        <w:rPr>
          <w:rFonts w:eastAsia="Batang"/>
          <w:b/>
          <w:bCs/>
          <w:sz w:val="16"/>
          <w:szCs w:val="16"/>
        </w:rPr>
        <w:t>Кilotonne of oil equivalent</w:t>
      </w:r>
      <w:r w:rsidRPr="00E22A97">
        <w:rPr>
          <w:rFonts w:eastAsia="Batang"/>
          <w:b/>
          <w:bCs/>
          <w:sz w:val="16"/>
          <w:szCs w:val="16"/>
        </w:rPr>
        <w:t>)</w:t>
      </w:r>
      <w:r w:rsidRPr="00B94954">
        <w:rPr>
          <w:rFonts w:eastAsia="Batang"/>
          <w:b/>
          <w:bCs/>
          <w:sz w:val="16"/>
          <w:szCs w:val="16"/>
        </w:rPr>
        <w:t xml:space="preserve"> - килотон нефтен еквивалент; килотон (kt) = 1000 тона (t).</w:t>
      </w:r>
    </w:p>
    <w:p w:rsidR="00BA0BE3" w:rsidRPr="008D4CEE" w:rsidRDefault="00BA0BE3" w:rsidP="00BA0BE3">
      <w:pPr>
        <w:spacing w:before="120" w:after="0"/>
        <w:rPr>
          <w:rFonts w:eastAsia="Batang"/>
        </w:rPr>
      </w:pPr>
      <w:r w:rsidRPr="00204C82">
        <w:rPr>
          <w:rFonts w:eastAsia="Batang"/>
          <w:b/>
        </w:rPr>
        <w:t>Министерството на енергетиката</w:t>
      </w:r>
      <w:r w:rsidRPr="008D4CEE">
        <w:rPr>
          <w:rFonts w:eastAsia="Batang"/>
        </w:rPr>
        <w:t xml:space="preserve"> изпълнява политиката в областта на енергетиката.</w:t>
      </w:r>
      <w:r w:rsidRPr="008D4CEE">
        <w:rPr>
          <w:rFonts w:eastAsia="Batang"/>
        </w:rPr>
        <w:br/>
        <w:t xml:space="preserve">В бюджетната прогноза за периода 2020-2022 г. на Министерството на енергетиката по години са включени разходи за финансиране на дейностите по извеждане от експлоатация на ядрени съоръжения и на дейностите, свързани с управление на радиоактивни отпадъци - </w:t>
      </w:r>
      <w:r w:rsidRPr="00B12D02">
        <w:rPr>
          <w:rFonts w:eastAsia="Batang"/>
        </w:rPr>
        <w:t>49,0 млн. лв. з</w:t>
      </w:r>
      <w:r w:rsidR="0011251F">
        <w:rPr>
          <w:rFonts w:eastAsia="Batang"/>
        </w:rPr>
        <w:t>а 2020 г., 50,0 млн. лв. за 2021</w:t>
      </w:r>
      <w:r w:rsidRPr="00B12D02">
        <w:rPr>
          <w:rFonts w:eastAsia="Batang"/>
        </w:rPr>
        <w:t xml:space="preserve"> г. и 50,6 млн. лв. за 202</w:t>
      </w:r>
      <w:r w:rsidR="0011251F">
        <w:rPr>
          <w:rFonts w:eastAsia="Batang"/>
        </w:rPr>
        <w:t>2</w:t>
      </w:r>
      <w:r w:rsidRPr="00B12D02">
        <w:rPr>
          <w:rFonts w:eastAsia="Batang"/>
        </w:rPr>
        <w:t xml:space="preserve"> г., в т.ч. финансиране дейността</w:t>
      </w:r>
      <w:r w:rsidRPr="008D4CEE">
        <w:rPr>
          <w:rFonts w:eastAsia="Batang"/>
        </w:rPr>
        <w:t xml:space="preserve"> на Държавно</w:t>
      </w:r>
      <w:r w:rsidR="007979CD">
        <w:rPr>
          <w:rFonts w:eastAsia="Batang"/>
        </w:rPr>
        <w:t>то</w:t>
      </w:r>
      <w:r w:rsidRPr="008D4CEE">
        <w:rPr>
          <w:rFonts w:eastAsia="Batang"/>
        </w:rPr>
        <w:t xml:space="preserve"> пред</w:t>
      </w:r>
      <w:r>
        <w:rPr>
          <w:rFonts w:eastAsia="Batang"/>
        </w:rPr>
        <w:t>приятие „Радиоактивни отпадъци“.</w:t>
      </w:r>
    </w:p>
    <w:p w:rsidR="00BA0BE3" w:rsidRPr="008D4CEE" w:rsidRDefault="00BA0BE3" w:rsidP="00BA0BE3">
      <w:pPr>
        <w:spacing w:before="120" w:after="0"/>
        <w:rPr>
          <w:rFonts w:eastAsia="Batang"/>
        </w:rPr>
      </w:pPr>
      <w:r w:rsidRPr="008D4CEE">
        <w:rPr>
          <w:rFonts w:eastAsia="Batang"/>
        </w:rPr>
        <w:t xml:space="preserve">В бюджетната прогноза за периода 2020-2022 г. на Фонд „Сигурност на </w:t>
      </w:r>
      <w:r w:rsidRPr="00264ABB">
        <w:rPr>
          <w:rFonts w:eastAsia="Batang"/>
        </w:rPr>
        <w:t>електроенергийната система“ (Фонд „СЕлС“) годишно са предвидени разходи в размер на 1 829,1 млн. лв., в т.ч. от разходите 1 826,0 млн. лв. са за покриване на разходите</w:t>
      </w:r>
      <w:r w:rsidR="007979CD">
        <w:rPr>
          <w:rFonts w:eastAsia="Batang"/>
        </w:rPr>
        <w:t>,</w:t>
      </w:r>
      <w:r w:rsidRPr="00264ABB">
        <w:rPr>
          <w:rFonts w:eastAsia="Batang"/>
        </w:rPr>
        <w:t xml:space="preserve"> извършени от обществения доставчик, произтичащи от задълженията му по чл. 93а и 94 от Закона за енергетиката и за предоставяне на премия на производител по чл. 162а от Закона за енергетиката и производител с обща мощност 1 </w:t>
      </w:r>
      <w:r w:rsidRPr="00264ABB">
        <w:rPr>
          <w:rFonts w:eastAsia="Batang"/>
          <w:lang w:val="en-US"/>
        </w:rPr>
        <w:t>MW</w:t>
      </w:r>
      <w:r w:rsidRPr="00264ABB">
        <w:rPr>
          <w:rStyle w:val="FootnoteReference"/>
          <w:rFonts w:eastAsia="Batang"/>
        </w:rPr>
        <w:footnoteReference w:id="24"/>
      </w:r>
      <w:r w:rsidRPr="00264ABB">
        <w:rPr>
          <w:rFonts w:eastAsia="Batang"/>
        </w:rPr>
        <w:t xml:space="preserve"> и над 1 </w:t>
      </w:r>
      <w:r w:rsidRPr="00264ABB">
        <w:rPr>
          <w:rFonts w:eastAsia="Batang"/>
          <w:lang w:val="en-US"/>
        </w:rPr>
        <w:t>MW</w:t>
      </w:r>
      <w:r w:rsidRPr="00264ABB">
        <w:rPr>
          <w:rFonts w:eastAsia="Batang"/>
        </w:rPr>
        <w:t xml:space="preserve"> по Закона за енергията от възобновяеми източници,</w:t>
      </w:r>
      <w:r w:rsidRPr="00264ABB">
        <w:t xml:space="preserve"> определена с решение </w:t>
      </w:r>
      <w:r w:rsidRPr="008D4CEE">
        <w:t xml:space="preserve">на КЕВР, </w:t>
      </w:r>
      <w:r w:rsidRPr="008D4CEE">
        <w:rPr>
          <w:rFonts w:eastAsia="Batang"/>
        </w:rPr>
        <w:t xml:space="preserve"> включително за минали </w:t>
      </w:r>
      <w:r w:rsidRPr="008D4CEE">
        <w:t>регулаторни</w:t>
      </w:r>
      <w:r w:rsidRPr="008D4CEE">
        <w:rPr>
          <w:rFonts w:eastAsia="Batang"/>
        </w:rPr>
        <w:t xml:space="preserve"> периоди.</w:t>
      </w:r>
    </w:p>
    <w:p w:rsidR="00204C82" w:rsidRDefault="00BA0BE3" w:rsidP="00BA0BE3">
      <w:pPr>
        <w:spacing w:before="120" w:after="0"/>
      </w:pPr>
      <w:r w:rsidRPr="008D4CEE">
        <w:t>В следствие на правилното администриране на дейностите по набиране и разходване на средства във Фонд</w:t>
      </w:r>
      <w:r w:rsidRPr="0015560C">
        <w:rPr>
          <w:lang w:val="ru-RU"/>
        </w:rPr>
        <w:t xml:space="preserve"> </w:t>
      </w:r>
      <w:r w:rsidRPr="008D4CEE">
        <w:t>„СЕлС“, като част от заложения компенсаторен механизъм</w:t>
      </w:r>
      <w:r w:rsidR="007979CD">
        <w:t>,</w:t>
      </w:r>
      <w:r w:rsidRPr="008D4CEE">
        <w:t xml:space="preserve"> допринасящ за по-пълна либерализация в сектора, се отчита подобрена финансова стабилност и доверие между участниците в него. Образуващите се във Фонд „СЕлС“ финансови буфери дават предпоставки за допълнителни възможности от страна на регулаторния орган да компенсира възникнали през изминали регулаторни периоди финансови дефицити в електроенергийната системата. Всичко това доведе до положителен ефект в решението за определяне на цени в сектор „Електроенергетика“ за настоящия ценови период юли 2019 г.- юни 2020 г., изразяващ се в намаляване на цена</w:t>
      </w:r>
      <w:r w:rsidR="002F0D74">
        <w:t>та</w:t>
      </w:r>
      <w:r w:rsidRPr="008D4CEE">
        <w:t xml:space="preserve"> „задължение към обществото“, която се заплаща както от домакинствата, така и от бизнеса, от 36,75 лв./</w:t>
      </w:r>
      <w:r w:rsidRPr="008D4CEE">
        <w:rPr>
          <w:lang w:val="en-US"/>
        </w:rPr>
        <w:t>MWh</w:t>
      </w:r>
      <w:r>
        <w:rPr>
          <w:rStyle w:val="FootnoteReference"/>
        </w:rPr>
        <w:footnoteReference w:id="25"/>
      </w:r>
      <w:r>
        <w:t xml:space="preserve"> на 19,</w:t>
      </w:r>
      <w:r w:rsidRPr="008D4CEE">
        <w:t>57 лв./</w:t>
      </w:r>
      <w:r w:rsidRPr="008D4CEE">
        <w:rPr>
          <w:lang w:val="en-US"/>
        </w:rPr>
        <w:t>MWh</w:t>
      </w:r>
      <w:r w:rsidRPr="008D4CEE">
        <w:t>.</w:t>
      </w:r>
    </w:p>
    <w:p w:rsidR="00F11BBA" w:rsidRDefault="00F11BBA" w:rsidP="00E20575">
      <w:pPr>
        <w:spacing w:before="120" w:after="0"/>
      </w:pPr>
    </w:p>
    <w:p w:rsidR="00065A8F" w:rsidRPr="00065A8F" w:rsidRDefault="00065A8F" w:rsidP="00E20575">
      <w:pPr>
        <w:spacing w:before="120" w:after="0"/>
        <w:rPr>
          <w:rFonts w:eastAsia="Batang"/>
          <w:b/>
        </w:rPr>
      </w:pPr>
      <w:r w:rsidRPr="00065A8F">
        <w:rPr>
          <w:rFonts w:eastAsia="Batang"/>
          <w:b/>
        </w:rPr>
        <w:t>Комисия за енергийно и водно регулиране</w:t>
      </w:r>
    </w:p>
    <w:p w:rsidR="00AB705C" w:rsidRPr="005A1241" w:rsidRDefault="00AB705C" w:rsidP="00AB705C">
      <w:pPr>
        <w:tabs>
          <w:tab w:val="num" w:pos="0"/>
        </w:tabs>
        <w:spacing w:before="120" w:after="0"/>
        <w:rPr>
          <w:rFonts w:eastAsia="Times New Roman"/>
        </w:rPr>
      </w:pPr>
      <w:r w:rsidRPr="005A1241">
        <w:rPr>
          <w:rFonts w:eastAsia="Times New Roman"/>
        </w:rPr>
        <w:t>Комисията за енергийно и водно регулиране е независим специализиран държавен орган за регулиране на дейностите в енергетиката и във водоснабдяването и канализацията. При осъществяване на своите правомощия комисията е независима от изпълнителната власт и дейността й се осъществява въз основа на независимост, безпристрастност, професионализъм, почтеност, последователност, публичност и прозрачност.</w:t>
      </w:r>
    </w:p>
    <w:p w:rsidR="00AB705C" w:rsidRPr="005A1241" w:rsidRDefault="00AB705C" w:rsidP="00AB705C">
      <w:pPr>
        <w:tabs>
          <w:tab w:val="num" w:pos="0"/>
        </w:tabs>
        <w:spacing w:before="120" w:after="0"/>
      </w:pPr>
      <w:r w:rsidRPr="005A1241">
        <w:t>Визия</w:t>
      </w:r>
      <w:r>
        <w:t>та</w:t>
      </w:r>
      <w:r w:rsidRPr="005A1241">
        <w:t xml:space="preserve"> за развитието на политиката в енергетиката и ВиК сектора е подобряване на регулаторната рамка чрез усъвършенстване на съществуващите регулаторни подходи и принципи въз основа на международния опит и добрите европейски практики; </w:t>
      </w:r>
      <w:r>
        <w:t>н</w:t>
      </w:r>
      <w:r w:rsidRPr="005A1241">
        <w:t xml:space="preserve">асърчаване на доверието в енергийния пазар чрез спазване на основните принципи за равнопоставеност, прозрачност и справедливост за постигане на последователна и предвидима регулаторна политика; </w:t>
      </w:r>
      <w:r>
        <w:t>м</w:t>
      </w:r>
      <w:r w:rsidRPr="005A1241">
        <w:t xml:space="preserve">инимизиране на регулаторната тежест; съкращаване на времето при вземането на решения; подобряване на ефективността на административните процеси; </w:t>
      </w:r>
      <w:r>
        <w:t>е</w:t>
      </w:r>
      <w:r w:rsidRPr="005A1241">
        <w:t xml:space="preserve">фективен контрол по изпълнение на условията на издадените лицензии на дружествата в подсектори „електроенергетика“, „топлоенергетика“ и „природен газ“; </w:t>
      </w:r>
      <w:r>
        <w:t>е</w:t>
      </w:r>
      <w:r w:rsidRPr="005A1241">
        <w:t xml:space="preserve">фективен контрол по изпълнение на одобрените бизнес планове на ВиК операторите и по прилагането на утвърдените цени на предоставяните ВиК услуги на потребителите; </w:t>
      </w:r>
      <w:r>
        <w:t>п</w:t>
      </w:r>
      <w:r w:rsidRPr="005A1241">
        <w:t xml:space="preserve">редприемане на мерки за съществено подобряване на работата на регулираните дружества с потребителите и разрешаване на спорове; </w:t>
      </w:r>
      <w:r>
        <w:t>а</w:t>
      </w:r>
      <w:r w:rsidRPr="005A1241">
        <w:t>ктивно сътрудничество с други регулатори и участие в процеса на формиране на добри регулаторни практики.</w:t>
      </w:r>
    </w:p>
    <w:p w:rsidR="00AB705C" w:rsidRPr="005A1241" w:rsidRDefault="00AB705C" w:rsidP="00AB705C">
      <w:pPr>
        <w:spacing w:before="120" w:after="0"/>
        <w:rPr>
          <w:rFonts w:eastAsia="Batang"/>
        </w:rPr>
      </w:pPr>
      <w:r w:rsidRPr="005A1241">
        <w:t xml:space="preserve">Считано от 2020 г. дейността на </w:t>
      </w:r>
      <w:r w:rsidRPr="005A1241">
        <w:rPr>
          <w:rFonts w:eastAsia="Times New Roman"/>
        </w:rPr>
        <w:t>Комисията за енергийно и водно регулиране попада в обхвата на функционална област „Държавна регулация в енергетиката и ВиК в сектора“</w:t>
      </w:r>
      <w:r>
        <w:rPr>
          <w:rFonts w:eastAsia="Times New Roman"/>
        </w:rPr>
        <w:t>.</w:t>
      </w:r>
    </w:p>
    <w:p w:rsidR="008543D7" w:rsidRDefault="008543D7" w:rsidP="00E20575">
      <w:pPr>
        <w:spacing w:before="120" w:after="0"/>
        <w:rPr>
          <w:rFonts w:eastAsia="Batang"/>
        </w:rPr>
      </w:pPr>
    </w:p>
    <w:p w:rsidR="00065A8F" w:rsidRPr="00065A8F" w:rsidRDefault="00065A8F" w:rsidP="00E20575">
      <w:pPr>
        <w:spacing w:before="120" w:after="0"/>
        <w:rPr>
          <w:rFonts w:eastAsia="Batang"/>
          <w:b/>
        </w:rPr>
      </w:pPr>
      <w:r w:rsidRPr="00065A8F">
        <w:rPr>
          <w:rFonts w:eastAsia="Batang"/>
          <w:b/>
        </w:rPr>
        <w:t>Агенция за ядрено регулиране</w:t>
      </w:r>
    </w:p>
    <w:p w:rsidR="008367F1" w:rsidRPr="005A1241" w:rsidRDefault="008367F1" w:rsidP="008367F1">
      <w:pPr>
        <w:tabs>
          <w:tab w:val="num" w:pos="0"/>
        </w:tabs>
        <w:spacing w:before="120" w:after="0"/>
        <w:rPr>
          <w:rFonts w:eastAsia="Times New Roman"/>
        </w:rPr>
      </w:pPr>
      <w:r w:rsidRPr="005A1241">
        <w:rPr>
          <w:rFonts w:eastAsia="Times New Roman"/>
        </w:rPr>
        <w:t>Агенцията за ядрено регулиране е независим специализиран орган на изпълнителната власт и председателят на агенцията осъществява държавното регулиране на безопасното използване на ядрената енергия и йонизиращите лъчения и на безопасното управление на радиоактивните отпадъци и отработеното гориво.</w:t>
      </w:r>
    </w:p>
    <w:p w:rsidR="008367F1" w:rsidRPr="005A1241" w:rsidRDefault="008367F1" w:rsidP="008367F1">
      <w:pPr>
        <w:spacing w:before="120" w:after="0"/>
      </w:pPr>
      <w:r w:rsidRPr="005A1241">
        <w:t xml:space="preserve">Мисията на Агенцията за ядрено регулиране (АЯР) е </w:t>
      </w:r>
      <w:r>
        <w:t>з</w:t>
      </w:r>
      <w:r w:rsidRPr="005A1241">
        <w:t>ащита на човека, обществото, бъдещите поколения и околната среда от вредното въздействие на йонизиращите лъчения.</w:t>
      </w:r>
    </w:p>
    <w:p w:rsidR="008367F1" w:rsidRPr="005A1241" w:rsidRDefault="008367F1" w:rsidP="008367F1">
      <w:pPr>
        <w:spacing w:before="120" w:after="0"/>
      </w:pPr>
      <w:r w:rsidRPr="005A1241">
        <w:t>Основната цел на дейността на АЯР е да осигури използването на ядрената енергия и източниците на йонизиращи лъчения само за мирни цели и в съответствие със Закона за безопасно използване на ядрената енергия и актовете по неговото прилагане.</w:t>
      </w:r>
    </w:p>
    <w:p w:rsidR="008367F1" w:rsidRPr="005A1241" w:rsidRDefault="008367F1" w:rsidP="008367F1">
      <w:pPr>
        <w:spacing w:before="120" w:after="0"/>
      </w:pPr>
      <w:r w:rsidRPr="005A1241">
        <w:t>Основните дейности</w:t>
      </w:r>
      <w:r w:rsidR="0038589B">
        <w:t>,</w:t>
      </w:r>
      <w:r w:rsidRPr="005A1241">
        <w:t xml:space="preserve"> извършвани от АЯР, са:</w:t>
      </w:r>
    </w:p>
    <w:p w:rsidR="008367F1" w:rsidRPr="008367F1" w:rsidRDefault="008367F1" w:rsidP="003403BF">
      <w:pPr>
        <w:pStyle w:val="ListParagraph"/>
        <w:numPr>
          <w:ilvl w:val="0"/>
          <w:numId w:val="28"/>
        </w:numPr>
        <w:spacing w:before="120" w:after="0"/>
        <w:rPr>
          <w:rFonts w:eastAsia="Batang"/>
        </w:rPr>
      </w:pPr>
      <w:r w:rsidRPr="008367F1">
        <w:rPr>
          <w:rFonts w:eastAsia="Batang"/>
        </w:rPr>
        <w:t>Издаване на лицензии и разрешения за дейности в ядрени съоръжения с източници на йонизиращи лъчения, както и издаване на лицензии за специализирано обучение;</w:t>
      </w:r>
    </w:p>
    <w:p w:rsidR="008367F1" w:rsidRPr="008367F1" w:rsidRDefault="008367F1" w:rsidP="003403BF">
      <w:pPr>
        <w:pStyle w:val="ListParagraph"/>
        <w:numPr>
          <w:ilvl w:val="0"/>
          <w:numId w:val="28"/>
        </w:numPr>
        <w:spacing w:before="120" w:after="0"/>
        <w:rPr>
          <w:rFonts w:eastAsia="Batang"/>
        </w:rPr>
      </w:pPr>
      <w:r w:rsidRPr="008367F1">
        <w:rPr>
          <w:rFonts w:eastAsia="Batang"/>
        </w:rPr>
        <w:t>Издаване на удостоверения за регистрация на дейности по чл. 56, ал. 3 от Закона за безопасно използване на ядрената енергия</w:t>
      </w:r>
      <w:r w:rsidRPr="007D6981">
        <w:rPr>
          <w:rFonts w:eastAsia="Batang"/>
          <w:lang w:val="ru-RU"/>
        </w:rPr>
        <w:t xml:space="preserve"> </w:t>
      </w:r>
      <w:r w:rsidRPr="008367F1">
        <w:rPr>
          <w:rFonts w:eastAsia="Batang"/>
        </w:rPr>
        <w:t>и удостоверения за правоспособност за работа в ядрени съоръжения или с източници на йонизиращи лъчения;</w:t>
      </w:r>
    </w:p>
    <w:p w:rsidR="008367F1" w:rsidRPr="008367F1" w:rsidRDefault="008367F1" w:rsidP="003403BF">
      <w:pPr>
        <w:pStyle w:val="ListParagraph"/>
        <w:numPr>
          <w:ilvl w:val="0"/>
          <w:numId w:val="28"/>
        </w:numPr>
        <w:spacing w:before="120" w:after="0"/>
        <w:rPr>
          <w:rFonts w:eastAsia="Batang"/>
        </w:rPr>
      </w:pPr>
      <w:r w:rsidRPr="008367F1">
        <w:rPr>
          <w:rFonts w:eastAsia="Batang"/>
        </w:rPr>
        <w:t>Регулаторен контрол за безопасно използване на ядрени съоръжения и източници на йонизиращи лъчения;</w:t>
      </w:r>
    </w:p>
    <w:p w:rsidR="008367F1" w:rsidRPr="008367F1" w:rsidRDefault="008367F1" w:rsidP="003403BF">
      <w:pPr>
        <w:pStyle w:val="ListParagraph"/>
        <w:numPr>
          <w:ilvl w:val="0"/>
          <w:numId w:val="28"/>
        </w:numPr>
        <w:spacing w:before="120" w:after="0"/>
        <w:rPr>
          <w:rFonts w:eastAsia="Batang"/>
        </w:rPr>
      </w:pPr>
      <w:r w:rsidRPr="008367F1">
        <w:rPr>
          <w:rFonts w:eastAsia="Batang"/>
        </w:rPr>
        <w:t>Поддържане на аварийна готовност;</w:t>
      </w:r>
    </w:p>
    <w:p w:rsidR="008367F1" w:rsidRPr="008367F1" w:rsidRDefault="008367F1" w:rsidP="003403BF">
      <w:pPr>
        <w:pStyle w:val="ListParagraph"/>
        <w:numPr>
          <w:ilvl w:val="0"/>
          <w:numId w:val="28"/>
        </w:numPr>
        <w:spacing w:before="120" w:after="0"/>
        <w:rPr>
          <w:rFonts w:eastAsia="Batang"/>
        </w:rPr>
      </w:pPr>
      <w:r w:rsidRPr="008367F1">
        <w:rPr>
          <w:rFonts w:eastAsia="Batang"/>
        </w:rPr>
        <w:t>Развитие на нормативната уредба по безопасно използване на ядрената енергия;</w:t>
      </w:r>
    </w:p>
    <w:p w:rsidR="008367F1" w:rsidRPr="008367F1" w:rsidRDefault="008367F1" w:rsidP="003403BF">
      <w:pPr>
        <w:pStyle w:val="ListParagraph"/>
        <w:numPr>
          <w:ilvl w:val="0"/>
          <w:numId w:val="28"/>
        </w:numPr>
        <w:spacing w:before="120" w:after="0"/>
        <w:rPr>
          <w:rFonts w:eastAsia="Batang"/>
        </w:rPr>
      </w:pPr>
      <w:r w:rsidRPr="008367F1">
        <w:rPr>
          <w:rFonts w:eastAsia="Batang"/>
        </w:rPr>
        <w:t>Осигуряване на международното сътрудничество на Република България в тази област и изпълнение на международните конвенции и договори;</w:t>
      </w:r>
    </w:p>
    <w:p w:rsidR="008367F1" w:rsidRPr="008367F1" w:rsidRDefault="008367F1" w:rsidP="003403BF">
      <w:pPr>
        <w:pStyle w:val="ListParagraph"/>
        <w:numPr>
          <w:ilvl w:val="0"/>
          <w:numId w:val="28"/>
        </w:numPr>
        <w:spacing w:before="120" w:after="0"/>
        <w:rPr>
          <w:rFonts w:eastAsia="Batang"/>
        </w:rPr>
      </w:pPr>
      <w:r w:rsidRPr="008367F1">
        <w:rPr>
          <w:rFonts w:eastAsia="Batang"/>
        </w:rPr>
        <w:t>Информиране на обществеността за състоянието на ядрената безопасност и радиационната защита в страната</w:t>
      </w:r>
      <w:r w:rsidR="0038589B">
        <w:rPr>
          <w:rFonts w:eastAsia="Batang"/>
        </w:rPr>
        <w:t>.</w:t>
      </w:r>
      <w:r w:rsidRPr="008367F1">
        <w:rPr>
          <w:rFonts w:eastAsia="Batang"/>
        </w:rPr>
        <w:t xml:space="preserve"> </w:t>
      </w:r>
    </w:p>
    <w:p w:rsidR="00065A8F" w:rsidRPr="007D6981" w:rsidRDefault="008367F1" w:rsidP="008367F1">
      <w:pPr>
        <w:spacing w:before="120" w:after="0"/>
        <w:rPr>
          <w:lang w:val="ru-RU"/>
        </w:rPr>
      </w:pPr>
      <w:r w:rsidRPr="005A1241">
        <w:t>Считано от 2020 г. дейността на Агенцията за ядрено регулиране попада в обхвата на функционална област „Регулация на ядрената безопасност и радиационната защита на Република България“.</w:t>
      </w:r>
    </w:p>
    <w:p w:rsidR="00083361" w:rsidRDefault="00083361" w:rsidP="00517D0A">
      <w:pPr>
        <w:pStyle w:val="Heading3"/>
        <w:ind w:left="0"/>
      </w:pPr>
      <w:bookmarkStart w:id="492" w:name="_Toc465070475"/>
      <w:bookmarkStart w:id="493" w:name="_Toc465205525"/>
      <w:r w:rsidRPr="009D2915">
        <w:t>Политика в областта на опазване на околната среда</w:t>
      </w:r>
      <w:bookmarkEnd w:id="492"/>
      <w:bookmarkEnd w:id="493"/>
    </w:p>
    <w:p w:rsidR="008367F1" w:rsidRPr="008367F1" w:rsidRDefault="008367F1" w:rsidP="008367F1">
      <w:pPr>
        <w:spacing w:before="120" w:after="0"/>
        <w:rPr>
          <w:noProof/>
        </w:rPr>
      </w:pPr>
      <w:r w:rsidRPr="008367F1">
        <w:rPr>
          <w:noProof/>
        </w:rPr>
        <w:t xml:space="preserve">С провежданата  политика в областта на опазването на околната среда и водите се цели съхраняване на уникалната българска природа и подобряване на екологичната устойчивост, като се следи за баланса между развитието на бизнеса и опазването на биоразнообразието и ресурсите за постигане на максималните възможни ползи за икономиката и обществото. Акцент ще бъде поставен върху цели, които укрепват връзките между ресурсната ефективност, издръжливостта на екосистемите и човешкото благополучие, като усилията ще бъдат насочени към подобряване на взаимодействието с бизнеса, национални и регионални органи, местни власти, неправителствени и научни организации. </w:t>
      </w:r>
    </w:p>
    <w:p w:rsidR="008367F1" w:rsidRPr="008367F1" w:rsidRDefault="008367F1" w:rsidP="008367F1">
      <w:pPr>
        <w:spacing w:before="120" w:after="0"/>
        <w:rPr>
          <w:noProof/>
        </w:rPr>
      </w:pPr>
      <w:r w:rsidRPr="008367F1">
        <w:rPr>
          <w:noProof/>
        </w:rPr>
        <w:t xml:space="preserve">За провеждането на политиката в областта на опазването на околната среда отговорна институция е Министерството на околната среда и водите, както и Предприятието за управление на дейностите по опазване на околната среда (ПУДООС) за реализацията на проекти и дейности в изпълнение на национални и общински програми в областта на околната среда. </w:t>
      </w:r>
    </w:p>
    <w:p w:rsidR="00812B42" w:rsidRPr="008367F1" w:rsidRDefault="00812B42" w:rsidP="00E7639F">
      <w:pPr>
        <w:rPr>
          <w:noProof/>
          <w:highlight w:val="yellow"/>
        </w:rPr>
      </w:pPr>
    </w:p>
    <w:p w:rsidR="00E7639F" w:rsidRPr="002B1824" w:rsidRDefault="00E7639F" w:rsidP="00E7639F">
      <w:pPr>
        <w:pStyle w:val="Heading4"/>
        <w:rPr>
          <w:rFonts w:eastAsia="Times New Roman"/>
        </w:rPr>
      </w:pPr>
      <w:r w:rsidRPr="002B1824">
        <w:rPr>
          <w:rFonts w:eastAsia="Times New Roman"/>
        </w:rPr>
        <w:t xml:space="preserve">Политика в областта на опазването и ползването на компонентите на околната среда </w:t>
      </w:r>
    </w:p>
    <w:p w:rsidR="008367F1" w:rsidRPr="008367F1" w:rsidRDefault="008367F1" w:rsidP="008367F1">
      <w:pPr>
        <w:spacing w:before="120" w:after="0"/>
        <w:rPr>
          <w:noProof/>
        </w:rPr>
      </w:pPr>
      <w:r w:rsidRPr="008367F1">
        <w:rPr>
          <w:noProof/>
        </w:rPr>
        <w:t>Политиката в областта на опазването и ползването на компонентите на околната среда е насочена към опазване, съхранение и увеличаване на природния капитал, подобряване на управлението на отпадъците, преход към ефективна кръгова и конкурентоспособна нисковъглеродна икономика от гледна точка на използването на ресурсите и провеждане на устойчива политика за постигане на здравословна околна среда и защита на населението от свързани с околната среда въздействия. Тя обхваща прилагането и развиването на комплекс от инструменти, които допринасят във висока степен за опазване чистотата на водите, почвите и въздуха, предотвратяване образуването на отпадъците и увеличаване на оползотворяването на отпадъците, адаптиране към измененията на климата и ефективно използване на ресурсите в икономическия цикъл на страната.</w:t>
      </w:r>
    </w:p>
    <w:p w:rsidR="008367F1" w:rsidRPr="008367F1" w:rsidRDefault="008367F1" w:rsidP="008367F1">
      <w:pPr>
        <w:spacing w:before="120" w:after="0"/>
        <w:rPr>
          <w:noProof/>
        </w:rPr>
      </w:pPr>
      <w:r w:rsidRPr="008367F1">
        <w:rPr>
          <w:noProof/>
        </w:rPr>
        <w:t xml:space="preserve">В рамките на тази политика чрез </w:t>
      </w:r>
      <w:r w:rsidRPr="008367F1">
        <w:rPr>
          <w:bCs/>
          <w:noProof/>
        </w:rPr>
        <w:t>Предприятието</w:t>
      </w:r>
      <w:r w:rsidRPr="008367F1">
        <w:rPr>
          <w:noProof/>
        </w:rPr>
        <w:t xml:space="preserve"> за управление на дейностите по опазване на околната среда безвъзмездно се финансират екологични проекти на общините, неинвестиционни проекти и дейности, способстващи за осъществяване на политиката, насочени в секторите: управление на водите, управление на отпадъците и ограничаване загубата на биологичното разнообразие и запазване на естествените екосистеми. Проектите са насочени към изграждането на малки водоснабдителни мрежи и съорежения; пречиствателни станции за отпадъчни и канализационни мрежи и довеждащи колектори, както и проекти за изгарждане на нови или реконструкция на съществуващи обекти, инсталации или съоръжения за управление на отпадъците. </w:t>
      </w:r>
    </w:p>
    <w:p w:rsidR="006100EB" w:rsidRPr="007D6981" w:rsidRDefault="006100EB" w:rsidP="00E20575">
      <w:pPr>
        <w:spacing w:before="120" w:after="0"/>
        <w:rPr>
          <w:b/>
          <w:noProof/>
          <w:sz w:val="20"/>
          <w:szCs w:val="20"/>
          <w:lang w:val="ru-RU"/>
        </w:rPr>
      </w:pPr>
    </w:p>
    <w:p w:rsidR="00E7639F" w:rsidRPr="007D6981" w:rsidRDefault="00E7639F" w:rsidP="00E7639F">
      <w:pPr>
        <w:rPr>
          <w:b/>
          <w:noProof/>
          <w:sz w:val="20"/>
          <w:szCs w:val="20"/>
          <w:lang w:val="ru-RU"/>
        </w:rPr>
      </w:pPr>
      <w:r w:rsidRPr="007D717D">
        <w:rPr>
          <w:b/>
          <w:noProof/>
          <w:sz w:val="20"/>
          <w:szCs w:val="20"/>
        </w:rPr>
        <w:t>КЛЮЧОВИ ИНДИКАТОРИ ЗА ИЗПЪЛНЕНИЕ И ЦЕЛЕВИ СТОЙНОСТИ</w:t>
      </w:r>
    </w:p>
    <w:tbl>
      <w:tblPr>
        <w:tblStyle w:val="TableGrid2"/>
        <w:tblW w:w="9278"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81"/>
        <w:gridCol w:w="1164"/>
        <w:gridCol w:w="1412"/>
        <w:gridCol w:w="1039"/>
        <w:gridCol w:w="977"/>
        <w:gridCol w:w="914"/>
        <w:gridCol w:w="191"/>
      </w:tblGrid>
      <w:tr w:rsidR="008367F1" w:rsidTr="00F11BBA">
        <w:trPr>
          <w:gridAfter w:val="1"/>
          <w:wAfter w:w="191" w:type="dxa"/>
          <w:trHeight w:val="60"/>
          <w:tblHeader/>
        </w:trPr>
        <w:tc>
          <w:tcPr>
            <w:tcW w:w="3581" w:type="dxa"/>
            <w:tcBorders>
              <w:top w:val="single" w:sz="4" w:space="0" w:color="auto"/>
              <w:left w:val="nil"/>
              <w:bottom w:val="nil"/>
              <w:right w:val="nil"/>
            </w:tcBorders>
            <w:vAlign w:val="center"/>
            <w:hideMark/>
          </w:tcPr>
          <w:p w:rsidR="008367F1" w:rsidRDefault="008367F1" w:rsidP="002B2ADB">
            <w:pPr>
              <w:jc w:val="center"/>
              <w:rPr>
                <w:b/>
                <w:i/>
                <w:iCs/>
                <w:sz w:val="18"/>
                <w:szCs w:val="18"/>
              </w:rPr>
            </w:pPr>
            <w:r>
              <w:rPr>
                <w:b/>
                <w:i/>
                <w:iCs/>
                <w:sz w:val="18"/>
                <w:szCs w:val="18"/>
              </w:rPr>
              <w:t>Политика в областта на опазването и ползването на компонентите на околната среда</w:t>
            </w:r>
          </w:p>
        </w:tc>
        <w:tc>
          <w:tcPr>
            <w:tcW w:w="1164" w:type="dxa"/>
            <w:vMerge w:val="restart"/>
            <w:tcBorders>
              <w:top w:val="single" w:sz="4" w:space="0" w:color="auto"/>
              <w:left w:val="nil"/>
              <w:bottom w:val="single" w:sz="4" w:space="0" w:color="auto"/>
              <w:right w:val="nil"/>
            </w:tcBorders>
            <w:shd w:val="clear" w:color="auto" w:fill="F2F2F2" w:themeFill="background1" w:themeFillShade="F2"/>
            <w:vAlign w:val="center"/>
            <w:hideMark/>
          </w:tcPr>
          <w:p w:rsidR="008367F1" w:rsidRDefault="008367F1" w:rsidP="002B2ADB">
            <w:pPr>
              <w:jc w:val="center"/>
              <w:rPr>
                <w:sz w:val="18"/>
                <w:szCs w:val="18"/>
              </w:rPr>
            </w:pPr>
            <w:r>
              <w:rPr>
                <w:b/>
                <w:bCs/>
                <w:sz w:val="18"/>
                <w:szCs w:val="18"/>
              </w:rPr>
              <w:t>Мерна единица</w:t>
            </w:r>
          </w:p>
        </w:tc>
        <w:tc>
          <w:tcPr>
            <w:tcW w:w="4342" w:type="dxa"/>
            <w:gridSpan w:val="4"/>
            <w:tcBorders>
              <w:top w:val="single" w:sz="4" w:space="0" w:color="auto"/>
              <w:left w:val="nil"/>
              <w:bottom w:val="single" w:sz="4" w:space="0" w:color="auto"/>
              <w:right w:val="nil"/>
            </w:tcBorders>
            <w:vAlign w:val="center"/>
            <w:hideMark/>
          </w:tcPr>
          <w:p w:rsidR="008367F1" w:rsidRDefault="008367F1" w:rsidP="002B2ADB">
            <w:pPr>
              <w:ind w:left="162" w:hanging="162"/>
              <w:jc w:val="center"/>
              <w:rPr>
                <w:b/>
                <w:bCs/>
                <w:sz w:val="18"/>
                <w:szCs w:val="18"/>
              </w:rPr>
            </w:pPr>
            <w:r>
              <w:rPr>
                <w:b/>
                <w:bCs/>
                <w:sz w:val="18"/>
                <w:szCs w:val="18"/>
              </w:rPr>
              <w:t>Целева стойност</w:t>
            </w:r>
          </w:p>
        </w:tc>
      </w:tr>
      <w:tr w:rsidR="008367F1" w:rsidTr="00F11BBA">
        <w:trPr>
          <w:trHeight w:val="60"/>
          <w:tblHeader/>
        </w:trPr>
        <w:tc>
          <w:tcPr>
            <w:tcW w:w="3581" w:type="dxa"/>
            <w:tcBorders>
              <w:top w:val="nil"/>
              <w:left w:val="nil"/>
              <w:bottom w:val="single" w:sz="4" w:space="0" w:color="auto"/>
              <w:right w:val="nil"/>
            </w:tcBorders>
            <w:vAlign w:val="center"/>
            <w:hideMark/>
          </w:tcPr>
          <w:p w:rsidR="008367F1" w:rsidRDefault="008367F1" w:rsidP="002B2ADB">
            <w:pPr>
              <w:jc w:val="center"/>
              <w:rPr>
                <w:b/>
                <w:bCs/>
                <w:sz w:val="18"/>
                <w:szCs w:val="18"/>
              </w:rPr>
            </w:pPr>
            <w:r>
              <w:rPr>
                <w:b/>
                <w:bCs/>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8367F1" w:rsidRDefault="008367F1" w:rsidP="002B2ADB">
            <w:pPr>
              <w:spacing w:after="0"/>
              <w:jc w:val="left"/>
              <w:rPr>
                <w:sz w:val="18"/>
                <w:szCs w:val="18"/>
              </w:rPr>
            </w:pPr>
          </w:p>
        </w:tc>
        <w:tc>
          <w:tcPr>
            <w:tcW w:w="1412" w:type="dxa"/>
            <w:tcBorders>
              <w:top w:val="single" w:sz="4" w:space="0" w:color="auto"/>
              <w:left w:val="nil"/>
              <w:bottom w:val="single" w:sz="4" w:space="0" w:color="auto"/>
              <w:right w:val="nil"/>
            </w:tcBorders>
            <w:vAlign w:val="center"/>
            <w:hideMark/>
          </w:tcPr>
          <w:p w:rsidR="008367F1" w:rsidRDefault="008367F1" w:rsidP="002B2ADB">
            <w:pPr>
              <w:jc w:val="center"/>
              <w:rPr>
                <w:b/>
                <w:bCs/>
                <w:i/>
                <w:iCs/>
                <w:sz w:val="18"/>
                <w:szCs w:val="18"/>
              </w:rPr>
            </w:pPr>
            <w:r>
              <w:rPr>
                <w:b/>
                <w:bCs/>
                <w:i/>
                <w:iCs/>
                <w:sz w:val="18"/>
                <w:szCs w:val="18"/>
              </w:rPr>
              <w:t xml:space="preserve">Програма </w:t>
            </w:r>
            <w:r>
              <w:rPr>
                <w:b/>
                <w:bCs/>
                <w:i/>
                <w:iCs/>
                <w:sz w:val="18"/>
                <w:szCs w:val="18"/>
              </w:rPr>
              <w:br/>
              <w:t>2019 г.</w:t>
            </w:r>
          </w:p>
        </w:tc>
        <w:tc>
          <w:tcPr>
            <w:tcW w:w="1039" w:type="dxa"/>
            <w:tcBorders>
              <w:top w:val="single" w:sz="4" w:space="0" w:color="auto"/>
              <w:left w:val="nil"/>
              <w:bottom w:val="single" w:sz="4" w:space="0" w:color="auto"/>
              <w:right w:val="nil"/>
            </w:tcBorders>
            <w:vAlign w:val="center"/>
            <w:hideMark/>
          </w:tcPr>
          <w:p w:rsidR="008367F1" w:rsidRDefault="008367F1" w:rsidP="002B2ADB">
            <w:pPr>
              <w:jc w:val="center"/>
              <w:rPr>
                <w:b/>
                <w:bCs/>
                <w:i/>
                <w:iCs/>
                <w:sz w:val="18"/>
                <w:szCs w:val="18"/>
              </w:rPr>
            </w:pPr>
            <w:r>
              <w:rPr>
                <w:b/>
                <w:bCs/>
                <w:i/>
                <w:iCs/>
                <w:sz w:val="18"/>
                <w:szCs w:val="18"/>
              </w:rPr>
              <w:t>Проект 2020 г.</w:t>
            </w:r>
          </w:p>
        </w:tc>
        <w:tc>
          <w:tcPr>
            <w:tcW w:w="977" w:type="dxa"/>
            <w:tcBorders>
              <w:top w:val="single" w:sz="4" w:space="0" w:color="auto"/>
              <w:left w:val="nil"/>
              <w:bottom w:val="single" w:sz="4" w:space="0" w:color="auto"/>
              <w:right w:val="nil"/>
            </w:tcBorders>
            <w:vAlign w:val="center"/>
            <w:hideMark/>
          </w:tcPr>
          <w:p w:rsidR="008367F1" w:rsidRDefault="008367F1" w:rsidP="002B2ADB">
            <w:pPr>
              <w:jc w:val="center"/>
              <w:rPr>
                <w:b/>
                <w:bCs/>
                <w:i/>
                <w:iCs/>
                <w:sz w:val="18"/>
                <w:szCs w:val="18"/>
              </w:rPr>
            </w:pPr>
            <w:r>
              <w:rPr>
                <w:b/>
                <w:bCs/>
                <w:i/>
                <w:iCs/>
                <w:sz w:val="18"/>
                <w:szCs w:val="18"/>
              </w:rPr>
              <w:t>Прогноза 20</w:t>
            </w:r>
            <w:r>
              <w:rPr>
                <w:b/>
                <w:bCs/>
                <w:i/>
                <w:iCs/>
                <w:sz w:val="18"/>
                <w:szCs w:val="18"/>
                <w:lang w:val="en-US"/>
              </w:rPr>
              <w:t>21</w:t>
            </w:r>
            <w:r>
              <w:rPr>
                <w:b/>
                <w:bCs/>
                <w:i/>
                <w:iCs/>
                <w:sz w:val="18"/>
                <w:szCs w:val="18"/>
              </w:rPr>
              <w:t xml:space="preserve"> г.</w:t>
            </w:r>
          </w:p>
        </w:tc>
        <w:tc>
          <w:tcPr>
            <w:tcW w:w="1105" w:type="dxa"/>
            <w:gridSpan w:val="2"/>
            <w:tcBorders>
              <w:top w:val="single" w:sz="4" w:space="0" w:color="auto"/>
              <w:left w:val="nil"/>
              <w:bottom w:val="single" w:sz="4" w:space="0" w:color="auto"/>
              <w:right w:val="nil"/>
            </w:tcBorders>
            <w:vAlign w:val="center"/>
            <w:hideMark/>
          </w:tcPr>
          <w:p w:rsidR="008367F1" w:rsidRDefault="008367F1" w:rsidP="002B2ADB">
            <w:pPr>
              <w:jc w:val="center"/>
              <w:rPr>
                <w:b/>
                <w:bCs/>
                <w:i/>
                <w:iCs/>
                <w:sz w:val="18"/>
                <w:szCs w:val="18"/>
              </w:rPr>
            </w:pPr>
            <w:r>
              <w:rPr>
                <w:b/>
                <w:bCs/>
                <w:i/>
                <w:iCs/>
                <w:sz w:val="18"/>
                <w:szCs w:val="18"/>
              </w:rPr>
              <w:t>Прогноза 202</w:t>
            </w:r>
            <w:r>
              <w:rPr>
                <w:b/>
                <w:bCs/>
                <w:i/>
                <w:iCs/>
                <w:sz w:val="18"/>
                <w:szCs w:val="18"/>
                <w:lang w:val="en-US"/>
              </w:rPr>
              <w:t xml:space="preserve">2 </w:t>
            </w:r>
            <w:r>
              <w:rPr>
                <w:b/>
                <w:bCs/>
                <w:i/>
                <w:iCs/>
                <w:sz w:val="18"/>
                <w:szCs w:val="18"/>
              </w:rPr>
              <w:t>г.</w:t>
            </w:r>
          </w:p>
        </w:tc>
      </w:tr>
      <w:tr w:rsidR="008367F1" w:rsidTr="00A14763">
        <w:trPr>
          <w:trHeight w:val="67"/>
        </w:trPr>
        <w:tc>
          <w:tcPr>
            <w:tcW w:w="3581" w:type="dxa"/>
            <w:tcBorders>
              <w:top w:val="single" w:sz="4" w:space="0" w:color="auto"/>
              <w:left w:val="nil"/>
              <w:bottom w:val="nil"/>
              <w:right w:val="nil"/>
            </w:tcBorders>
            <w:hideMark/>
          </w:tcPr>
          <w:p w:rsidR="008367F1" w:rsidRDefault="008367F1" w:rsidP="003403BF">
            <w:pPr>
              <w:pStyle w:val="ListParagraph"/>
              <w:numPr>
                <w:ilvl w:val="0"/>
                <w:numId w:val="29"/>
              </w:numPr>
              <w:spacing w:after="0" w:line="276" w:lineRule="auto"/>
              <w:ind w:left="371" w:hanging="284"/>
              <w:contextualSpacing/>
              <w:rPr>
                <w:sz w:val="18"/>
                <w:szCs w:val="18"/>
              </w:rPr>
            </w:pPr>
            <w:r>
              <w:rPr>
                <w:sz w:val="18"/>
                <w:szCs w:val="18"/>
              </w:rPr>
              <w:t xml:space="preserve">Население, обхванато от изпълнени мерки за подобряване състоянието на водите и за защита от наводнения: </w:t>
            </w:r>
          </w:p>
          <w:p w:rsidR="008367F1" w:rsidRDefault="008367F1" w:rsidP="003403BF">
            <w:pPr>
              <w:pStyle w:val="ListParagraph"/>
              <w:numPr>
                <w:ilvl w:val="0"/>
                <w:numId w:val="53"/>
              </w:numPr>
              <w:spacing w:after="0" w:line="276" w:lineRule="auto"/>
              <w:contextualSpacing/>
              <w:rPr>
                <w:sz w:val="18"/>
                <w:szCs w:val="18"/>
              </w:rPr>
            </w:pPr>
            <w:r>
              <w:rPr>
                <w:sz w:val="18"/>
                <w:szCs w:val="18"/>
              </w:rPr>
              <w:t>подобрено водоснабдяване;</w:t>
            </w:r>
          </w:p>
          <w:p w:rsidR="008367F1" w:rsidRDefault="008367F1" w:rsidP="003403BF">
            <w:pPr>
              <w:pStyle w:val="ListParagraph"/>
              <w:numPr>
                <w:ilvl w:val="0"/>
                <w:numId w:val="53"/>
              </w:numPr>
              <w:spacing w:after="0" w:line="276" w:lineRule="auto"/>
              <w:contextualSpacing/>
              <w:rPr>
                <w:sz w:val="18"/>
                <w:szCs w:val="18"/>
              </w:rPr>
            </w:pPr>
            <w:r>
              <w:rPr>
                <w:sz w:val="18"/>
                <w:szCs w:val="18"/>
              </w:rPr>
              <w:t>подобрено пречистване на отпадъчни води;</w:t>
            </w:r>
          </w:p>
          <w:p w:rsidR="008367F1" w:rsidRDefault="008367F1" w:rsidP="003403BF">
            <w:pPr>
              <w:pStyle w:val="ListParagraph"/>
              <w:numPr>
                <w:ilvl w:val="0"/>
                <w:numId w:val="53"/>
              </w:numPr>
              <w:spacing w:after="0" w:line="276" w:lineRule="auto"/>
              <w:contextualSpacing/>
              <w:rPr>
                <w:sz w:val="18"/>
                <w:szCs w:val="18"/>
              </w:rPr>
            </w:pPr>
            <w:r>
              <w:rPr>
                <w:sz w:val="18"/>
                <w:szCs w:val="18"/>
              </w:rPr>
              <w:t>защита от наводнения</w:t>
            </w:r>
          </w:p>
        </w:tc>
        <w:tc>
          <w:tcPr>
            <w:tcW w:w="1164" w:type="dxa"/>
            <w:tcBorders>
              <w:top w:val="single" w:sz="4" w:space="0" w:color="auto"/>
              <w:left w:val="nil"/>
              <w:bottom w:val="nil"/>
              <w:right w:val="nil"/>
            </w:tcBorders>
            <w:shd w:val="clear" w:color="auto" w:fill="F2F2F2" w:themeFill="background1" w:themeFillShade="F2"/>
            <w:hideMark/>
          </w:tcPr>
          <w:p w:rsidR="008367F1" w:rsidRDefault="008367F1" w:rsidP="002B2ADB">
            <w:pPr>
              <w:jc w:val="center"/>
              <w:rPr>
                <w:sz w:val="18"/>
                <w:szCs w:val="18"/>
              </w:rPr>
            </w:pPr>
            <w:r>
              <w:rPr>
                <w:sz w:val="18"/>
                <w:szCs w:val="18"/>
              </w:rPr>
              <w:t>бр. жители</w:t>
            </w:r>
          </w:p>
        </w:tc>
        <w:tc>
          <w:tcPr>
            <w:tcW w:w="1412" w:type="dxa"/>
            <w:tcBorders>
              <w:top w:val="single" w:sz="4" w:space="0" w:color="auto"/>
              <w:left w:val="nil"/>
              <w:bottom w:val="nil"/>
              <w:right w:val="nil"/>
            </w:tcBorders>
          </w:tcPr>
          <w:p w:rsidR="008367F1" w:rsidRDefault="008367F1" w:rsidP="002B2ADB">
            <w:pPr>
              <w:spacing w:after="0"/>
              <w:jc w:val="center"/>
              <w:rPr>
                <w:sz w:val="18"/>
                <w:szCs w:val="18"/>
              </w:rPr>
            </w:pPr>
          </w:p>
          <w:p w:rsidR="008367F1" w:rsidRDefault="008367F1" w:rsidP="002B2ADB">
            <w:pPr>
              <w:spacing w:after="0"/>
              <w:jc w:val="center"/>
              <w:rPr>
                <w:sz w:val="18"/>
                <w:szCs w:val="18"/>
              </w:rPr>
            </w:pPr>
          </w:p>
          <w:p w:rsidR="008367F1" w:rsidRDefault="008367F1" w:rsidP="002B2ADB">
            <w:pPr>
              <w:spacing w:after="0"/>
              <w:jc w:val="center"/>
              <w:rPr>
                <w:sz w:val="18"/>
                <w:szCs w:val="18"/>
              </w:rPr>
            </w:pPr>
          </w:p>
          <w:p w:rsidR="008367F1" w:rsidRDefault="008367F1" w:rsidP="002B2ADB">
            <w:pPr>
              <w:spacing w:after="0"/>
              <w:jc w:val="center"/>
              <w:rPr>
                <w:sz w:val="18"/>
                <w:szCs w:val="18"/>
              </w:rPr>
            </w:pPr>
            <w:r>
              <w:rPr>
                <w:sz w:val="18"/>
                <w:szCs w:val="18"/>
              </w:rPr>
              <w:t>115 200</w:t>
            </w:r>
          </w:p>
          <w:p w:rsidR="008367F1" w:rsidRDefault="008367F1" w:rsidP="002B2ADB">
            <w:pPr>
              <w:spacing w:after="0"/>
              <w:jc w:val="center"/>
              <w:rPr>
                <w:sz w:val="18"/>
                <w:szCs w:val="18"/>
              </w:rPr>
            </w:pPr>
            <w:r>
              <w:rPr>
                <w:sz w:val="18"/>
                <w:szCs w:val="18"/>
              </w:rPr>
              <w:t>374 677</w:t>
            </w:r>
          </w:p>
          <w:p w:rsidR="008367F1" w:rsidRDefault="008367F1" w:rsidP="002B2ADB">
            <w:pPr>
              <w:jc w:val="center"/>
              <w:rPr>
                <w:sz w:val="18"/>
                <w:szCs w:val="18"/>
              </w:rPr>
            </w:pPr>
            <w:r>
              <w:rPr>
                <w:sz w:val="18"/>
                <w:szCs w:val="18"/>
              </w:rPr>
              <w:t>90 979</w:t>
            </w:r>
          </w:p>
        </w:tc>
        <w:tc>
          <w:tcPr>
            <w:tcW w:w="1039" w:type="dxa"/>
            <w:tcBorders>
              <w:top w:val="single" w:sz="4" w:space="0" w:color="auto"/>
              <w:left w:val="nil"/>
              <w:bottom w:val="nil"/>
              <w:right w:val="nil"/>
            </w:tcBorders>
          </w:tcPr>
          <w:p w:rsidR="008367F1" w:rsidRDefault="008367F1" w:rsidP="002B2ADB">
            <w:pPr>
              <w:spacing w:after="0"/>
              <w:jc w:val="center"/>
              <w:rPr>
                <w:sz w:val="18"/>
                <w:szCs w:val="18"/>
              </w:rPr>
            </w:pPr>
          </w:p>
          <w:p w:rsidR="008367F1" w:rsidRDefault="008367F1" w:rsidP="002B2ADB">
            <w:pPr>
              <w:spacing w:after="0"/>
              <w:jc w:val="center"/>
              <w:rPr>
                <w:sz w:val="18"/>
                <w:szCs w:val="18"/>
              </w:rPr>
            </w:pPr>
          </w:p>
          <w:p w:rsidR="008367F1" w:rsidRDefault="008367F1" w:rsidP="002B2ADB">
            <w:pPr>
              <w:spacing w:after="0"/>
              <w:jc w:val="center"/>
              <w:rPr>
                <w:sz w:val="18"/>
                <w:szCs w:val="18"/>
              </w:rPr>
            </w:pPr>
          </w:p>
          <w:p w:rsidR="008367F1" w:rsidRDefault="008367F1" w:rsidP="002B2ADB">
            <w:pPr>
              <w:spacing w:after="0"/>
              <w:jc w:val="center"/>
              <w:rPr>
                <w:sz w:val="18"/>
                <w:szCs w:val="18"/>
              </w:rPr>
            </w:pPr>
            <w:r>
              <w:rPr>
                <w:sz w:val="18"/>
                <w:szCs w:val="18"/>
              </w:rPr>
              <w:t>141 400</w:t>
            </w:r>
          </w:p>
          <w:p w:rsidR="008367F1" w:rsidRDefault="008367F1" w:rsidP="002B2ADB">
            <w:pPr>
              <w:spacing w:after="0"/>
              <w:jc w:val="center"/>
              <w:rPr>
                <w:sz w:val="18"/>
                <w:szCs w:val="18"/>
              </w:rPr>
            </w:pPr>
            <w:r>
              <w:rPr>
                <w:sz w:val="18"/>
                <w:szCs w:val="18"/>
              </w:rPr>
              <w:t>649 354</w:t>
            </w:r>
          </w:p>
          <w:p w:rsidR="008367F1" w:rsidRDefault="008367F1" w:rsidP="002B2ADB">
            <w:pPr>
              <w:spacing w:after="0"/>
              <w:jc w:val="center"/>
              <w:rPr>
                <w:sz w:val="18"/>
                <w:szCs w:val="18"/>
              </w:rPr>
            </w:pPr>
            <w:r>
              <w:rPr>
                <w:sz w:val="18"/>
                <w:szCs w:val="18"/>
              </w:rPr>
              <w:t>193 576</w:t>
            </w:r>
          </w:p>
        </w:tc>
        <w:tc>
          <w:tcPr>
            <w:tcW w:w="977" w:type="dxa"/>
            <w:tcBorders>
              <w:top w:val="single" w:sz="4" w:space="0" w:color="auto"/>
              <w:left w:val="nil"/>
              <w:bottom w:val="nil"/>
              <w:right w:val="nil"/>
            </w:tcBorders>
          </w:tcPr>
          <w:p w:rsidR="008367F1" w:rsidRDefault="008367F1" w:rsidP="002B2ADB">
            <w:pPr>
              <w:spacing w:after="0"/>
              <w:jc w:val="center"/>
              <w:rPr>
                <w:sz w:val="18"/>
                <w:szCs w:val="18"/>
              </w:rPr>
            </w:pPr>
          </w:p>
          <w:p w:rsidR="008367F1" w:rsidRDefault="008367F1" w:rsidP="002B2ADB">
            <w:pPr>
              <w:spacing w:after="0"/>
              <w:jc w:val="center"/>
              <w:rPr>
                <w:sz w:val="18"/>
                <w:szCs w:val="18"/>
              </w:rPr>
            </w:pPr>
          </w:p>
          <w:p w:rsidR="008367F1" w:rsidRDefault="008367F1" w:rsidP="002B2ADB">
            <w:pPr>
              <w:spacing w:after="0"/>
              <w:jc w:val="center"/>
              <w:rPr>
                <w:sz w:val="18"/>
                <w:szCs w:val="18"/>
              </w:rPr>
            </w:pPr>
          </w:p>
          <w:p w:rsidR="008367F1" w:rsidRDefault="008367F1" w:rsidP="002B2ADB">
            <w:pPr>
              <w:spacing w:after="0"/>
              <w:jc w:val="center"/>
              <w:rPr>
                <w:sz w:val="18"/>
                <w:szCs w:val="18"/>
              </w:rPr>
            </w:pPr>
            <w:r>
              <w:rPr>
                <w:sz w:val="18"/>
                <w:szCs w:val="18"/>
              </w:rPr>
              <w:t>167 600</w:t>
            </w:r>
          </w:p>
          <w:p w:rsidR="008367F1" w:rsidRDefault="008367F1" w:rsidP="002B2ADB">
            <w:pPr>
              <w:spacing w:after="0"/>
              <w:jc w:val="center"/>
              <w:rPr>
                <w:sz w:val="18"/>
                <w:szCs w:val="18"/>
              </w:rPr>
            </w:pPr>
            <w:r>
              <w:rPr>
                <w:sz w:val="18"/>
                <w:szCs w:val="18"/>
              </w:rPr>
              <w:t>924 030</w:t>
            </w:r>
          </w:p>
          <w:p w:rsidR="008367F1" w:rsidRDefault="008367F1" w:rsidP="002B2ADB">
            <w:pPr>
              <w:spacing w:after="0"/>
              <w:jc w:val="center"/>
              <w:rPr>
                <w:sz w:val="18"/>
                <w:szCs w:val="18"/>
              </w:rPr>
            </w:pPr>
            <w:r>
              <w:rPr>
                <w:sz w:val="18"/>
                <w:szCs w:val="18"/>
              </w:rPr>
              <w:t>267 746</w:t>
            </w:r>
          </w:p>
        </w:tc>
        <w:tc>
          <w:tcPr>
            <w:tcW w:w="1105" w:type="dxa"/>
            <w:gridSpan w:val="2"/>
            <w:tcBorders>
              <w:top w:val="single" w:sz="4" w:space="0" w:color="auto"/>
              <w:left w:val="nil"/>
              <w:bottom w:val="nil"/>
              <w:right w:val="nil"/>
            </w:tcBorders>
          </w:tcPr>
          <w:p w:rsidR="008367F1" w:rsidRDefault="008367F1" w:rsidP="002B2ADB">
            <w:pPr>
              <w:spacing w:after="0"/>
              <w:jc w:val="center"/>
              <w:rPr>
                <w:sz w:val="18"/>
                <w:szCs w:val="18"/>
              </w:rPr>
            </w:pPr>
          </w:p>
          <w:p w:rsidR="008367F1" w:rsidRDefault="008367F1" w:rsidP="002B2ADB">
            <w:pPr>
              <w:spacing w:after="0"/>
              <w:jc w:val="center"/>
              <w:rPr>
                <w:sz w:val="18"/>
                <w:szCs w:val="18"/>
              </w:rPr>
            </w:pPr>
          </w:p>
          <w:p w:rsidR="008367F1" w:rsidRDefault="008367F1" w:rsidP="002B2ADB">
            <w:pPr>
              <w:spacing w:after="0"/>
              <w:jc w:val="center"/>
              <w:rPr>
                <w:sz w:val="18"/>
                <w:szCs w:val="18"/>
              </w:rPr>
            </w:pPr>
          </w:p>
          <w:p w:rsidR="008367F1" w:rsidRDefault="008367F1" w:rsidP="002B2ADB">
            <w:pPr>
              <w:spacing w:after="0"/>
              <w:jc w:val="center"/>
              <w:rPr>
                <w:sz w:val="18"/>
                <w:szCs w:val="18"/>
              </w:rPr>
            </w:pPr>
            <w:r>
              <w:rPr>
                <w:sz w:val="18"/>
                <w:szCs w:val="18"/>
              </w:rPr>
              <w:t>167 600</w:t>
            </w:r>
          </w:p>
          <w:p w:rsidR="008367F1" w:rsidRDefault="008367F1" w:rsidP="002B2ADB">
            <w:pPr>
              <w:spacing w:after="0"/>
              <w:jc w:val="center"/>
              <w:rPr>
                <w:sz w:val="18"/>
                <w:szCs w:val="18"/>
              </w:rPr>
            </w:pPr>
            <w:r>
              <w:rPr>
                <w:sz w:val="18"/>
                <w:szCs w:val="18"/>
              </w:rPr>
              <w:t>924 030</w:t>
            </w:r>
          </w:p>
          <w:p w:rsidR="008367F1" w:rsidRDefault="008367F1" w:rsidP="002B2ADB">
            <w:pPr>
              <w:spacing w:after="0"/>
              <w:jc w:val="center"/>
              <w:rPr>
                <w:sz w:val="18"/>
                <w:szCs w:val="18"/>
              </w:rPr>
            </w:pPr>
            <w:r>
              <w:rPr>
                <w:sz w:val="18"/>
                <w:szCs w:val="18"/>
              </w:rPr>
              <w:t>301 916</w:t>
            </w:r>
          </w:p>
        </w:tc>
      </w:tr>
      <w:tr w:rsidR="008367F1" w:rsidTr="002B2ADB">
        <w:trPr>
          <w:trHeight w:val="60"/>
        </w:trPr>
        <w:tc>
          <w:tcPr>
            <w:tcW w:w="3581" w:type="dxa"/>
            <w:tcBorders>
              <w:top w:val="nil"/>
              <w:left w:val="nil"/>
              <w:bottom w:val="nil"/>
              <w:right w:val="nil"/>
            </w:tcBorders>
            <w:hideMark/>
          </w:tcPr>
          <w:p w:rsidR="008367F1" w:rsidRPr="007D6981" w:rsidRDefault="008367F1" w:rsidP="003403BF">
            <w:pPr>
              <w:pStyle w:val="ListParagraph"/>
              <w:numPr>
                <w:ilvl w:val="0"/>
                <w:numId w:val="29"/>
              </w:numPr>
              <w:spacing w:after="0" w:line="276" w:lineRule="auto"/>
              <w:ind w:left="371" w:hanging="284"/>
              <w:contextualSpacing/>
              <w:rPr>
                <w:sz w:val="18"/>
                <w:szCs w:val="18"/>
                <w:lang w:val="ru-RU"/>
              </w:rPr>
            </w:pPr>
            <w:r>
              <w:rPr>
                <w:sz w:val="18"/>
                <w:szCs w:val="18"/>
              </w:rPr>
              <w:t>Допълнителен капацитет за оползотворяване/рециклиране на отпадъци</w:t>
            </w:r>
          </w:p>
        </w:tc>
        <w:tc>
          <w:tcPr>
            <w:tcW w:w="1164" w:type="dxa"/>
            <w:tcBorders>
              <w:top w:val="nil"/>
              <w:left w:val="nil"/>
              <w:bottom w:val="nil"/>
              <w:right w:val="nil"/>
            </w:tcBorders>
            <w:shd w:val="clear" w:color="auto" w:fill="F2F2F2" w:themeFill="background1" w:themeFillShade="F2"/>
            <w:hideMark/>
          </w:tcPr>
          <w:p w:rsidR="008367F1" w:rsidRDefault="008367F1" w:rsidP="002B2ADB">
            <w:pPr>
              <w:spacing w:after="0"/>
              <w:jc w:val="center"/>
              <w:rPr>
                <w:sz w:val="18"/>
                <w:szCs w:val="18"/>
              </w:rPr>
            </w:pPr>
            <w:r>
              <w:rPr>
                <w:sz w:val="18"/>
                <w:szCs w:val="18"/>
              </w:rPr>
              <w:t>тона</w:t>
            </w:r>
          </w:p>
        </w:tc>
        <w:tc>
          <w:tcPr>
            <w:tcW w:w="1412" w:type="dxa"/>
            <w:tcBorders>
              <w:top w:val="nil"/>
              <w:left w:val="nil"/>
              <w:bottom w:val="nil"/>
              <w:right w:val="nil"/>
            </w:tcBorders>
            <w:hideMark/>
          </w:tcPr>
          <w:p w:rsidR="008367F1" w:rsidRDefault="008367F1" w:rsidP="002B2ADB">
            <w:pPr>
              <w:spacing w:after="0"/>
              <w:jc w:val="center"/>
              <w:rPr>
                <w:sz w:val="18"/>
                <w:szCs w:val="18"/>
              </w:rPr>
            </w:pPr>
            <w:r>
              <w:rPr>
                <w:sz w:val="18"/>
                <w:szCs w:val="18"/>
              </w:rPr>
              <w:t>20 000</w:t>
            </w:r>
          </w:p>
        </w:tc>
        <w:tc>
          <w:tcPr>
            <w:tcW w:w="1039" w:type="dxa"/>
            <w:tcBorders>
              <w:top w:val="nil"/>
              <w:left w:val="nil"/>
              <w:bottom w:val="nil"/>
              <w:right w:val="nil"/>
            </w:tcBorders>
            <w:hideMark/>
          </w:tcPr>
          <w:p w:rsidR="008367F1" w:rsidRDefault="008367F1" w:rsidP="002B2ADB">
            <w:pPr>
              <w:spacing w:after="0"/>
              <w:jc w:val="center"/>
              <w:rPr>
                <w:sz w:val="18"/>
                <w:szCs w:val="18"/>
              </w:rPr>
            </w:pPr>
            <w:r>
              <w:rPr>
                <w:sz w:val="18"/>
                <w:szCs w:val="18"/>
              </w:rPr>
              <w:t>20 000</w:t>
            </w:r>
          </w:p>
        </w:tc>
        <w:tc>
          <w:tcPr>
            <w:tcW w:w="977" w:type="dxa"/>
            <w:tcBorders>
              <w:top w:val="nil"/>
              <w:left w:val="nil"/>
              <w:bottom w:val="nil"/>
              <w:right w:val="nil"/>
            </w:tcBorders>
            <w:hideMark/>
          </w:tcPr>
          <w:p w:rsidR="008367F1" w:rsidRDefault="008367F1" w:rsidP="002B2ADB">
            <w:pPr>
              <w:spacing w:after="0"/>
              <w:jc w:val="center"/>
              <w:rPr>
                <w:sz w:val="18"/>
                <w:szCs w:val="18"/>
              </w:rPr>
            </w:pPr>
            <w:r>
              <w:rPr>
                <w:sz w:val="18"/>
                <w:szCs w:val="18"/>
              </w:rPr>
              <w:t>50 000</w:t>
            </w:r>
          </w:p>
        </w:tc>
        <w:tc>
          <w:tcPr>
            <w:tcW w:w="1105" w:type="dxa"/>
            <w:gridSpan w:val="2"/>
            <w:tcBorders>
              <w:top w:val="nil"/>
              <w:left w:val="nil"/>
              <w:bottom w:val="nil"/>
              <w:right w:val="nil"/>
            </w:tcBorders>
            <w:hideMark/>
          </w:tcPr>
          <w:p w:rsidR="008367F1" w:rsidRDefault="008367F1" w:rsidP="002B2ADB">
            <w:pPr>
              <w:spacing w:after="0"/>
              <w:jc w:val="center"/>
              <w:rPr>
                <w:sz w:val="18"/>
                <w:szCs w:val="18"/>
              </w:rPr>
            </w:pPr>
            <w:r>
              <w:rPr>
                <w:sz w:val="18"/>
                <w:szCs w:val="18"/>
              </w:rPr>
              <w:t>100 000</w:t>
            </w:r>
          </w:p>
        </w:tc>
      </w:tr>
      <w:tr w:rsidR="008367F1" w:rsidTr="002B2ADB">
        <w:trPr>
          <w:trHeight w:val="270"/>
        </w:trPr>
        <w:tc>
          <w:tcPr>
            <w:tcW w:w="3581" w:type="dxa"/>
            <w:tcBorders>
              <w:top w:val="nil"/>
              <w:left w:val="nil"/>
              <w:bottom w:val="nil"/>
              <w:right w:val="nil"/>
            </w:tcBorders>
            <w:hideMark/>
          </w:tcPr>
          <w:p w:rsidR="008367F1" w:rsidRDefault="008367F1" w:rsidP="003403BF">
            <w:pPr>
              <w:pStyle w:val="ListParagraph"/>
              <w:numPr>
                <w:ilvl w:val="0"/>
                <w:numId w:val="29"/>
              </w:numPr>
              <w:spacing w:after="0" w:line="276" w:lineRule="auto"/>
              <w:ind w:left="371" w:hanging="284"/>
              <w:contextualSpacing/>
              <w:rPr>
                <w:sz w:val="18"/>
                <w:szCs w:val="18"/>
              </w:rPr>
            </w:pPr>
            <w:r>
              <w:rPr>
                <w:sz w:val="18"/>
                <w:szCs w:val="18"/>
              </w:rPr>
              <w:t>Население с подобрено качество на атмосферния въздух (за замърсител ФПЧ</w:t>
            </w:r>
            <w:r>
              <w:rPr>
                <w:sz w:val="18"/>
                <w:szCs w:val="18"/>
                <w:vertAlign w:val="subscript"/>
              </w:rPr>
              <w:t>10</w:t>
            </w:r>
            <w:r>
              <w:rPr>
                <w:sz w:val="18"/>
                <w:szCs w:val="18"/>
              </w:rPr>
              <w:t>)</w:t>
            </w:r>
          </w:p>
        </w:tc>
        <w:tc>
          <w:tcPr>
            <w:tcW w:w="1164" w:type="dxa"/>
            <w:tcBorders>
              <w:top w:val="nil"/>
              <w:left w:val="nil"/>
              <w:bottom w:val="nil"/>
              <w:right w:val="nil"/>
            </w:tcBorders>
            <w:shd w:val="clear" w:color="auto" w:fill="F2F2F2" w:themeFill="background1" w:themeFillShade="F2"/>
            <w:hideMark/>
          </w:tcPr>
          <w:p w:rsidR="008367F1" w:rsidRDefault="008367F1" w:rsidP="002B2ADB">
            <w:pPr>
              <w:spacing w:after="0"/>
              <w:ind w:left="87"/>
              <w:rPr>
                <w:sz w:val="18"/>
                <w:szCs w:val="18"/>
              </w:rPr>
            </w:pPr>
            <w:r>
              <w:rPr>
                <w:sz w:val="18"/>
                <w:szCs w:val="18"/>
              </w:rPr>
              <w:t>бр. жители</w:t>
            </w:r>
          </w:p>
        </w:tc>
        <w:tc>
          <w:tcPr>
            <w:tcW w:w="1412" w:type="dxa"/>
            <w:tcBorders>
              <w:top w:val="nil"/>
              <w:left w:val="nil"/>
              <w:bottom w:val="nil"/>
              <w:right w:val="nil"/>
            </w:tcBorders>
            <w:hideMark/>
          </w:tcPr>
          <w:p w:rsidR="008367F1" w:rsidRDefault="008367F1" w:rsidP="002B2ADB">
            <w:pPr>
              <w:spacing w:after="0"/>
              <w:jc w:val="center"/>
              <w:rPr>
                <w:sz w:val="18"/>
                <w:szCs w:val="18"/>
              </w:rPr>
            </w:pPr>
            <w:r>
              <w:rPr>
                <w:sz w:val="18"/>
                <w:szCs w:val="18"/>
              </w:rPr>
              <w:t>335</w:t>
            </w:r>
            <w:r>
              <w:rPr>
                <w:sz w:val="18"/>
                <w:szCs w:val="18"/>
                <w:lang w:val="en-US"/>
              </w:rPr>
              <w:t> </w:t>
            </w:r>
            <w:r>
              <w:rPr>
                <w:sz w:val="18"/>
                <w:szCs w:val="18"/>
              </w:rPr>
              <w:t>854</w:t>
            </w:r>
          </w:p>
        </w:tc>
        <w:tc>
          <w:tcPr>
            <w:tcW w:w="1039" w:type="dxa"/>
            <w:tcBorders>
              <w:top w:val="nil"/>
              <w:left w:val="nil"/>
              <w:bottom w:val="nil"/>
              <w:right w:val="nil"/>
            </w:tcBorders>
            <w:hideMark/>
          </w:tcPr>
          <w:p w:rsidR="008367F1" w:rsidRDefault="008367F1" w:rsidP="002B2ADB">
            <w:pPr>
              <w:spacing w:after="0"/>
              <w:jc w:val="center"/>
              <w:rPr>
                <w:sz w:val="18"/>
                <w:szCs w:val="18"/>
              </w:rPr>
            </w:pPr>
            <w:r>
              <w:rPr>
                <w:sz w:val="18"/>
                <w:szCs w:val="18"/>
              </w:rPr>
              <w:t>402 767</w:t>
            </w:r>
          </w:p>
        </w:tc>
        <w:tc>
          <w:tcPr>
            <w:tcW w:w="977" w:type="dxa"/>
            <w:tcBorders>
              <w:top w:val="nil"/>
              <w:left w:val="nil"/>
              <w:bottom w:val="nil"/>
              <w:right w:val="nil"/>
            </w:tcBorders>
            <w:hideMark/>
          </w:tcPr>
          <w:p w:rsidR="008367F1" w:rsidRDefault="008367F1" w:rsidP="002B2ADB">
            <w:pPr>
              <w:spacing w:after="0"/>
              <w:jc w:val="center"/>
              <w:rPr>
                <w:sz w:val="18"/>
                <w:szCs w:val="18"/>
              </w:rPr>
            </w:pPr>
            <w:r>
              <w:rPr>
                <w:sz w:val="18"/>
                <w:szCs w:val="18"/>
              </w:rPr>
              <w:t>455 384</w:t>
            </w:r>
          </w:p>
        </w:tc>
        <w:tc>
          <w:tcPr>
            <w:tcW w:w="1105" w:type="dxa"/>
            <w:gridSpan w:val="2"/>
            <w:tcBorders>
              <w:top w:val="nil"/>
              <w:left w:val="nil"/>
              <w:bottom w:val="nil"/>
              <w:right w:val="nil"/>
            </w:tcBorders>
            <w:hideMark/>
          </w:tcPr>
          <w:p w:rsidR="008367F1" w:rsidRDefault="008367F1" w:rsidP="002B2ADB">
            <w:pPr>
              <w:spacing w:after="0"/>
              <w:jc w:val="center"/>
              <w:rPr>
                <w:sz w:val="18"/>
                <w:szCs w:val="18"/>
              </w:rPr>
            </w:pPr>
            <w:r>
              <w:rPr>
                <w:sz w:val="18"/>
                <w:szCs w:val="18"/>
              </w:rPr>
              <w:t>524 243</w:t>
            </w:r>
          </w:p>
        </w:tc>
      </w:tr>
      <w:tr w:rsidR="008367F1" w:rsidTr="002B2ADB">
        <w:trPr>
          <w:trHeight w:val="270"/>
        </w:trPr>
        <w:tc>
          <w:tcPr>
            <w:tcW w:w="3581" w:type="dxa"/>
            <w:tcBorders>
              <w:top w:val="nil"/>
              <w:left w:val="nil"/>
              <w:bottom w:val="single" w:sz="4" w:space="0" w:color="auto"/>
              <w:right w:val="nil"/>
            </w:tcBorders>
            <w:hideMark/>
          </w:tcPr>
          <w:p w:rsidR="008367F1" w:rsidRDefault="008367F1" w:rsidP="003403BF">
            <w:pPr>
              <w:pStyle w:val="ListParagraph"/>
              <w:numPr>
                <w:ilvl w:val="0"/>
                <w:numId w:val="29"/>
              </w:numPr>
              <w:spacing w:after="0" w:line="276" w:lineRule="auto"/>
              <w:ind w:left="371" w:hanging="284"/>
              <w:contextualSpacing/>
              <w:rPr>
                <w:sz w:val="18"/>
                <w:szCs w:val="18"/>
              </w:rPr>
            </w:pPr>
            <w:r>
              <w:rPr>
                <w:sz w:val="18"/>
                <w:szCs w:val="18"/>
              </w:rPr>
              <w:t>Спестени емисии на парникови газове от подкрепени проекти, подпомагащи смекчаването на неблагоприятните климатични промени</w:t>
            </w:r>
          </w:p>
        </w:tc>
        <w:tc>
          <w:tcPr>
            <w:tcW w:w="1164" w:type="dxa"/>
            <w:tcBorders>
              <w:top w:val="nil"/>
              <w:left w:val="nil"/>
              <w:bottom w:val="single" w:sz="4" w:space="0" w:color="auto"/>
              <w:right w:val="nil"/>
            </w:tcBorders>
            <w:shd w:val="clear" w:color="auto" w:fill="F2F2F2" w:themeFill="background1" w:themeFillShade="F2"/>
            <w:hideMark/>
          </w:tcPr>
          <w:p w:rsidR="008367F1" w:rsidRDefault="008367F1" w:rsidP="002B2ADB">
            <w:pPr>
              <w:spacing w:after="0"/>
              <w:jc w:val="center"/>
              <w:rPr>
                <w:sz w:val="18"/>
                <w:szCs w:val="18"/>
              </w:rPr>
            </w:pPr>
            <w:r>
              <w:rPr>
                <w:sz w:val="18"/>
                <w:szCs w:val="18"/>
              </w:rPr>
              <w:t>tCO2eq*</w:t>
            </w:r>
          </w:p>
        </w:tc>
        <w:tc>
          <w:tcPr>
            <w:tcW w:w="1412" w:type="dxa"/>
            <w:tcBorders>
              <w:top w:val="nil"/>
              <w:left w:val="nil"/>
              <w:bottom w:val="single" w:sz="4" w:space="0" w:color="auto"/>
              <w:right w:val="nil"/>
            </w:tcBorders>
            <w:hideMark/>
          </w:tcPr>
          <w:p w:rsidR="008367F1" w:rsidRDefault="008367F1" w:rsidP="002B2ADB">
            <w:pPr>
              <w:spacing w:after="0"/>
              <w:jc w:val="center"/>
              <w:rPr>
                <w:sz w:val="18"/>
                <w:szCs w:val="18"/>
              </w:rPr>
            </w:pPr>
            <w:r>
              <w:rPr>
                <w:sz w:val="18"/>
                <w:szCs w:val="18"/>
              </w:rPr>
              <w:t>640 000</w:t>
            </w:r>
          </w:p>
        </w:tc>
        <w:tc>
          <w:tcPr>
            <w:tcW w:w="1039" w:type="dxa"/>
            <w:tcBorders>
              <w:top w:val="nil"/>
              <w:left w:val="nil"/>
              <w:bottom w:val="single" w:sz="4" w:space="0" w:color="auto"/>
              <w:right w:val="nil"/>
            </w:tcBorders>
            <w:hideMark/>
          </w:tcPr>
          <w:p w:rsidR="008367F1" w:rsidRDefault="008367F1" w:rsidP="002B2ADB">
            <w:pPr>
              <w:spacing w:after="0"/>
              <w:jc w:val="center"/>
              <w:rPr>
                <w:sz w:val="18"/>
                <w:szCs w:val="18"/>
              </w:rPr>
            </w:pPr>
            <w:r>
              <w:rPr>
                <w:sz w:val="18"/>
                <w:szCs w:val="18"/>
              </w:rPr>
              <w:t>640 000</w:t>
            </w:r>
          </w:p>
        </w:tc>
        <w:tc>
          <w:tcPr>
            <w:tcW w:w="977" w:type="dxa"/>
            <w:tcBorders>
              <w:top w:val="nil"/>
              <w:left w:val="nil"/>
              <w:bottom w:val="single" w:sz="4" w:space="0" w:color="auto"/>
              <w:right w:val="nil"/>
            </w:tcBorders>
            <w:hideMark/>
          </w:tcPr>
          <w:p w:rsidR="008367F1" w:rsidRDefault="008367F1" w:rsidP="002B2ADB">
            <w:pPr>
              <w:spacing w:after="0"/>
              <w:jc w:val="center"/>
              <w:rPr>
                <w:sz w:val="18"/>
                <w:szCs w:val="18"/>
              </w:rPr>
            </w:pPr>
            <w:r>
              <w:rPr>
                <w:sz w:val="18"/>
                <w:szCs w:val="18"/>
              </w:rPr>
              <w:t>650 000</w:t>
            </w:r>
          </w:p>
        </w:tc>
        <w:tc>
          <w:tcPr>
            <w:tcW w:w="1105" w:type="dxa"/>
            <w:gridSpan w:val="2"/>
            <w:tcBorders>
              <w:top w:val="nil"/>
              <w:left w:val="nil"/>
              <w:bottom w:val="single" w:sz="4" w:space="0" w:color="auto"/>
              <w:right w:val="nil"/>
            </w:tcBorders>
            <w:hideMark/>
          </w:tcPr>
          <w:p w:rsidR="008367F1" w:rsidRDefault="008367F1" w:rsidP="002B2ADB">
            <w:pPr>
              <w:spacing w:after="0"/>
              <w:jc w:val="center"/>
              <w:rPr>
                <w:sz w:val="18"/>
                <w:szCs w:val="18"/>
              </w:rPr>
            </w:pPr>
            <w:r>
              <w:rPr>
                <w:sz w:val="18"/>
                <w:szCs w:val="18"/>
              </w:rPr>
              <w:t>660 000</w:t>
            </w:r>
          </w:p>
        </w:tc>
      </w:tr>
    </w:tbl>
    <w:p w:rsidR="00E7639F" w:rsidRPr="008C1DE7" w:rsidRDefault="00D14A3B" w:rsidP="00E7639F">
      <w:pPr>
        <w:rPr>
          <w:noProof/>
          <w:sz w:val="18"/>
          <w:szCs w:val="18"/>
        </w:rPr>
      </w:pPr>
      <w:r w:rsidRPr="008C1DE7">
        <w:rPr>
          <w:noProof/>
          <w:sz w:val="18"/>
          <w:szCs w:val="18"/>
        </w:rPr>
        <w:t>* tCO2eq - тон еквивалент въглероден диоксид</w:t>
      </w:r>
      <w:r w:rsidR="00DD18D4" w:rsidRPr="008C1DE7">
        <w:rPr>
          <w:noProof/>
          <w:sz w:val="18"/>
          <w:szCs w:val="18"/>
        </w:rPr>
        <w:t>.</w:t>
      </w:r>
    </w:p>
    <w:p w:rsidR="00E7639F" w:rsidRPr="002B1824" w:rsidRDefault="00E7639F" w:rsidP="00E7639F">
      <w:pPr>
        <w:pStyle w:val="Heading4"/>
        <w:rPr>
          <w:rFonts w:eastAsia="Times New Roman"/>
        </w:rPr>
      </w:pPr>
      <w:r w:rsidRPr="002B1824">
        <w:rPr>
          <w:rFonts w:eastAsia="Times New Roman"/>
        </w:rPr>
        <w:t xml:space="preserve">Политика в областта на националната система за мониторинг на околната среда и информационна обезпеченост </w:t>
      </w:r>
    </w:p>
    <w:p w:rsidR="0077033E" w:rsidRPr="007D6981" w:rsidRDefault="0077033E" w:rsidP="00E20575">
      <w:pPr>
        <w:spacing w:before="120" w:after="0"/>
        <w:rPr>
          <w:noProof/>
          <w:lang w:val="ru-RU"/>
        </w:rPr>
      </w:pPr>
    </w:p>
    <w:p w:rsidR="0077033E" w:rsidRPr="007D6981" w:rsidRDefault="0077033E" w:rsidP="0077033E">
      <w:pPr>
        <w:spacing w:before="120" w:after="0"/>
        <w:rPr>
          <w:noProof/>
          <w:lang w:val="ru-RU"/>
        </w:rPr>
      </w:pPr>
      <w:r w:rsidRPr="0077033E">
        <w:rPr>
          <w:noProof/>
        </w:rPr>
        <w:t>Политиката в областта на националната система за мониторинг на околната среда и информационна обезпеченост е насочена към осигуряване на мониторинг на околната среда, анализ и оценка на състоянието на компонентите и факторите на околната среда за изготвяне и предоставяне на информация, която да служи за основа за вземане на решения относно ефективността и целесъобразността на провежданите политики в областта на околната среда. Политиката се реализира чрез дейности за изграждане и поддържане на Националната система за мониторинг на околната среда (НСМОС), която гарантира достоверност, пълнота, актуалност, прозрачност и публичност на информацията за състоянието на околната среда, за целите на публичната власт и в полза на обществото.</w:t>
      </w:r>
    </w:p>
    <w:p w:rsidR="00071E32" w:rsidRPr="007D6981" w:rsidRDefault="00071E32" w:rsidP="00E20575">
      <w:pPr>
        <w:spacing w:before="120" w:after="0"/>
        <w:rPr>
          <w:noProof/>
          <w:highlight w:val="yellow"/>
          <w:lang w:val="ru-RU"/>
        </w:rPr>
      </w:pPr>
    </w:p>
    <w:p w:rsidR="00E7639F" w:rsidRDefault="00E7639F" w:rsidP="00E7639F">
      <w:pPr>
        <w:rPr>
          <w:b/>
          <w:noProof/>
          <w:sz w:val="20"/>
          <w:szCs w:val="20"/>
        </w:rPr>
      </w:pPr>
      <w:r w:rsidRPr="007D717D">
        <w:rPr>
          <w:b/>
          <w:noProof/>
          <w:sz w:val="20"/>
          <w:szCs w:val="20"/>
        </w:rPr>
        <w:t>КЛЮЧОВИ ИНДИКАТОРИ ЗА ИЗПЪЛНЕНИЕ И ЦЕЛЕВИ СТОЙНОСТИ</w:t>
      </w:r>
    </w:p>
    <w:tbl>
      <w:tblPr>
        <w:tblStyle w:val="TableGrid2"/>
        <w:tblW w:w="9087"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98"/>
        <w:gridCol w:w="1275"/>
        <w:gridCol w:w="996"/>
        <w:gridCol w:w="992"/>
        <w:gridCol w:w="992"/>
        <w:gridCol w:w="1134"/>
      </w:tblGrid>
      <w:tr w:rsidR="0077033E" w:rsidTr="002B2ADB">
        <w:trPr>
          <w:trHeight w:val="69"/>
        </w:trPr>
        <w:tc>
          <w:tcPr>
            <w:tcW w:w="3698" w:type="dxa"/>
            <w:tcBorders>
              <w:top w:val="single" w:sz="4" w:space="0" w:color="auto"/>
              <w:left w:val="nil"/>
              <w:bottom w:val="nil"/>
              <w:right w:val="nil"/>
            </w:tcBorders>
            <w:vAlign w:val="center"/>
            <w:hideMark/>
          </w:tcPr>
          <w:p w:rsidR="0077033E" w:rsidRPr="0077033E" w:rsidRDefault="0077033E" w:rsidP="002B2ADB">
            <w:pPr>
              <w:jc w:val="center"/>
              <w:rPr>
                <w:b/>
                <w:i/>
                <w:iCs/>
                <w:sz w:val="18"/>
                <w:szCs w:val="18"/>
              </w:rPr>
            </w:pPr>
            <w:r w:rsidRPr="0077033E">
              <w:rPr>
                <w:b/>
                <w:i/>
                <w:iCs/>
                <w:sz w:val="18"/>
                <w:szCs w:val="18"/>
              </w:rPr>
              <w:t>Политика в областта на националната система за мониторинг на околната среда и информационна обезпеченост</w:t>
            </w:r>
          </w:p>
        </w:tc>
        <w:tc>
          <w:tcPr>
            <w:tcW w:w="1275" w:type="dxa"/>
            <w:vMerge w:val="restart"/>
            <w:tcBorders>
              <w:top w:val="single" w:sz="4" w:space="0" w:color="auto"/>
              <w:left w:val="nil"/>
              <w:bottom w:val="single" w:sz="4" w:space="0" w:color="auto"/>
              <w:right w:val="nil"/>
            </w:tcBorders>
            <w:shd w:val="clear" w:color="auto" w:fill="F2F2F2" w:themeFill="background1" w:themeFillShade="F2"/>
            <w:vAlign w:val="center"/>
          </w:tcPr>
          <w:p w:rsidR="0077033E" w:rsidRDefault="0077033E" w:rsidP="002B2ADB">
            <w:pPr>
              <w:jc w:val="center"/>
              <w:rPr>
                <w:sz w:val="18"/>
                <w:szCs w:val="18"/>
              </w:rPr>
            </w:pPr>
          </w:p>
          <w:p w:rsidR="0077033E" w:rsidRDefault="0077033E" w:rsidP="002B2ADB">
            <w:pPr>
              <w:jc w:val="center"/>
              <w:rPr>
                <w:sz w:val="18"/>
                <w:szCs w:val="18"/>
              </w:rPr>
            </w:pPr>
            <w:r>
              <w:rPr>
                <w:b/>
                <w:bCs/>
                <w:sz w:val="18"/>
                <w:szCs w:val="18"/>
              </w:rPr>
              <w:t>Мерна единица</w:t>
            </w:r>
          </w:p>
        </w:tc>
        <w:tc>
          <w:tcPr>
            <w:tcW w:w="4114" w:type="dxa"/>
            <w:gridSpan w:val="4"/>
            <w:tcBorders>
              <w:top w:val="single" w:sz="4" w:space="0" w:color="auto"/>
              <w:left w:val="nil"/>
              <w:bottom w:val="single" w:sz="4" w:space="0" w:color="auto"/>
              <w:right w:val="nil"/>
            </w:tcBorders>
            <w:vAlign w:val="center"/>
            <w:hideMark/>
          </w:tcPr>
          <w:p w:rsidR="0077033E" w:rsidRDefault="0077033E" w:rsidP="002B2ADB">
            <w:pPr>
              <w:ind w:left="162" w:hanging="162"/>
              <w:jc w:val="center"/>
              <w:rPr>
                <w:b/>
                <w:bCs/>
                <w:sz w:val="18"/>
                <w:szCs w:val="18"/>
              </w:rPr>
            </w:pPr>
            <w:r>
              <w:rPr>
                <w:b/>
                <w:bCs/>
                <w:sz w:val="18"/>
                <w:szCs w:val="18"/>
              </w:rPr>
              <w:t>Целева стойност</w:t>
            </w:r>
          </w:p>
        </w:tc>
      </w:tr>
      <w:tr w:rsidR="0077033E" w:rsidTr="00A14763">
        <w:trPr>
          <w:trHeight w:val="60"/>
        </w:trPr>
        <w:tc>
          <w:tcPr>
            <w:tcW w:w="3698" w:type="dxa"/>
            <w:tcBorders>
              <w:top w:val="nil"/>
              <w:left w:val="nil"/>
              <w:bottom w:val="single" w:sz="4" w:space="0" w:color="auto"/>
              <w:right w:val="nil"/>
            </w:tcBorders>
            <w:vAlign w:val="center"/>
            <w:hideMark/>
          </w:tcPr>
          <w:p w:rsidR="0077033E" w:rsidRDefault="0077033E" w:rsidP="002B2ADB">
            <w:pPr>
              <w:jc w:val="center"/>
              <w:rPr>
                <w:b/>
                <w:bCs/>
                <w:sz w:val="18"/>
                <w:szCs w:val="18"/>
              </w:rPr>
            </w:pPr>
            <w:r>
              <w:rPr>
                <w:b/>
                <w:bCs/>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77033E" w:rsidRDefault="0077033E" w:rsidP="002B2ADB">
            <w:pPr>
              <w:spacing w:after="0"/>
              <w:jc w:val="left"/>
              <w:rPr>
                <w:sz w:val="18"/>
                <w:szCs w:val="18"/>
              </w:rPr>
            </w:pPr>
          </w:p>
        </w:tc>
        <w:tc>
          <w:tcPr>
            <w:tcW w:w="996" w:type="dxa"/>
            <w:tcBorders>
              <w:top w:val="single" w:sz="4" w:space="0" w:color="auto"/>
              <w:left w:val="nil"/>
              <w:bottom w:val="single" w:sz="4" w:space="0" w:color="auto"/>
              <w:right w:val="nil"/>
            </w:tcBorders>
            <w:vAlign w:val="center"/>
            <w:hideMark/>
          </w:tcPr>
          <w:p w:rsidR="0077033E" w:rsidRDefault="0077033E" w:rsidP="002B2ADB">
            <w:pPr>
              <w:jc w:val="center"/>
              <w:rPr>
                <w:b/>
                <w:bCs/>
                <w:i/>
                <w:iCs/>
                <w:sz w:val="18"/>
                <w:szCs w:val="18"/>
              </w:rPr>
            </w:pPr>
            <w:r>
              <w:rPr>
                <w:b/>
                <w:bCs/>
                <w:i/>
                <w:iCs/>
                <w:sz w:val="18"/>
                <w:szCs w:val="18"/>
              </w:rPr>
              <w:t>Програма 2019 г.</w:t>
            </w:r>
          </w:p>
        </w:tc>
        <w:tc>
          <w:tcPr>
            <w:tcW w:w="992" w:type="dxa"/>
            <w:tcBorders>
              <w:top w:val="single" w:sz="4" w:space="0" w:color="auto"/>
              <w:left w:val="nil"/>
              <w:bottom w:val="single" w:sz="4" w:space="0" w:color="auto"/>
              <w:right w:val="nil"/>
            </w:tcBorders>
            <w:vAlign w:val="center"/>
            <w:hideMark/>
          </w:tcPr>
          <w:p w:rsidR="0077033E" w:rsidRDefault="0077033E" w:rsidP="002B2ADB">
            <w:pPr>
              <w:jc w:val="center"/>
              <w:rPr>
                <w:b/>
                <w:bCs/>
                <w:i/>
                <w:iCs/>
                <w:sz w:val="18"/>
                <w:szCs w:val="18"/>
              </w:rPr>
            </w:pPr>
            <w:r>
              <w:rPr>
                <w:b/>
                <w:bCs/>
                <w:i/>
                <w:iCs/>
                <w:sz w:val="18"/>
                <w:szCs w:val="18"/>
              </w:rPr>
              <w:t>Проект 2020 г.</w:t>
            </w:r>
          </w:p>
        </w:tc>
        <w:tc>
          <w:tcPr>
            <w:tcW w:w="992" w:type="dxa"/>
            <w:tcBorders>
              <w:top w:val="single" w:sz="4" w:space="0" w:color="auto"/>
              <w:left w:val="nil"/>
              <w:bottom w:val="single" w:sz="4" w:space="0" w:color="auto"/>
              <w:right w:val="nil"/>
            </w:tcBorders>
            <w:vAlign w:val="center"/>
            <w:hideMark/>
          </w:tcPr>
          <w:p w:rsidR="0077033E" w:rsidRDefault="0077033E" w:rsidP="002B2ADB">
            <w:pPr>
              <w:jc w:val="center"/>
              <w:rPr>
                <w:b/>
                <w:bCs/>
                <w:i/>
                <w:iCs/>
                <w:sz w:val="18"/>
                <w:szCs w:val="18"/>
              </w:rPr>
            </w:pPr>
            <w:r>
              <w:rPr>
                <w:b/>
                <w:bCs/>
                <w:i/>
                <w:iCs/>
                <w:sz w:val="18"/>
                <w:szCs w:val="18"/>
              </w:rPr>
              <w:t>Прогноза 20</w:t>
            </w:r>
            <w:r>
              <w:rPr>
                <w:b/>
                <w:bCs/>
                <w:i/>
                <w:iCs/>
                <w:sz w:val="18"/>
                <w:szCs w:val="18"/>
                <w:lang w:val="en-US"/>
              </w:rPr>
              <w:t>21</w:t>
            </w:r>
            <w:r>
              <w:rPr>
                <w:b/>
                <w:bCs/>
                <w:i/>
                <w:iCs/>
                <w:sz w:val="18"/>
                <w:szCs w:val="18"/>
              </w:rPr>
              <w:t xml:space="preserve"> г.</w:t>
            </w:r>
          </w:p>
        </w:tc>
        <w:tc>
          <w:tcPr>
            <w:tcW w:w="1134" w:type="dxa"/>
            <w:tcBorders>
              <w:top w:val="single" w:sz="4" w:space="0" w:color="auto"/>
              <w:left w:val="nil"/>
              <w:bottom w:val="single" w:sz="4" w:space="0" w:color="auto"/>
              <w:right w:val="nil"/>
            </w:tcBorders>
            <w:vAlign w:val="center"/>
            <w:hideMark/>
          </w:tcPr>
          <w:p w:rsidR="0077033E" w:rsidRDefault="0077033E" w:rsidP="002B2ADB">
            <w:pPr>
              <w:jc w:val="center"/>
              <w:rPr>
                <w:b/>
                <w:bCs/>
                <w:i/>
                <w:iCs/>
                <w:sz w:val="18"/>
                <w:szCs w:val="18"/>
              </w:rPr>
            </w:pPr>
            <w:r>
              <w:rPr>
                <w:b/>
                <w:bCs/>
                <w:i/>
                <w:iCs/>
                <w:sz w:val="18"/>
                <w:szCs w:val="18"/>
              </w:rPr>
              <w:t>Прогноза 2022 г.</w:t>
            </w:r>
          </w:p>
        </w:tc>
      </w:tr>
      <w:tr w:rsidR="0077033E" w:rsidTr="00A14763">
        <w:trPr>
          <w:trHeight w:val="255"/>
        </w:trPr>
        <w:tc>
          <w:tcPr>
            <w:tcW w:w="3698" w:type="dxa"/>
            <w:tcBorders>
              <w:top w:val="single" w:sz="4" w:space="0" w:color="auto"/>
              <w:left w:val="nil"/>
              <w:bottom w:val="nil"/>
              <w:right w:val="nil"/>
            </w:tcBorders>
            <w:hideMark/>
          </w:tcPr>
          <w:p w:rsidR="0077033E" w:rsidRDefault="0077033E" w:rsidP="003403BF">
            <w:pPr>
              <w:pStyle w:val="ListParagraph"/>
              <w:numPr>
                <w:ilvl w:val="0"/>
                <w:numId w:val="30"/>
              </w:numPr>
              <w:spacing w:after="0" w:line="276" w:lineRule="auto"/>
              <w:ind w:left="229" w:hanging="229"/>
              <w:contextualSpacing/>
              <w:rPr>
                <w:sz w:val="18"/>
                <w:szCs w:val="18"/>
              </w:rPr>
            </w:pPr>
            <w:r>
              <w:rPr>
                <w:sz w:val="18"/>
                <w:szCs w:val="18"/>
              </w:rPr>
              <w:t>Изпълнени програми за мониторинг на компонентите и факторите на околната среда</w:t>
            </w:r>
          </w:p>
        </w:tc>
        <w:tc>
          <w:tcPr>
            <w:tcW w:w="1275" w:type="dxa"/>
            <w:tcBorders>
              <w:top w:val="single" w:sz="4" w:space="0" w:color="auto"/>
              <w:left w:val="nil"/>
              <w:bottom w:val="nil"/>
              <w:right w:val="nil"/>
            </w:tcBorders>
            <w:shd w:val="clear" w:color="auto" w:fill="F2F2F2" w:themeFill="background1" w:themeFillShade="F2"/>
            <w:hideMark/>
          </w:tcPr>
          <w:p w:rsidR="0077033E" w:rsidRDefault="0077033E" w:rsidP="002B2ADB">
            <w:pPr>
              <w:jc w:val="center"/>
              <w:rPr>
                <w:sz w:val="18"/>
                <w:szCs w:val="18"/>
              </w:rPr>
            </w:pPr>
            <w:r>
              <w:rPr>
                <w:sz w:val="18"/>
                <w:szCs w:val="18"/>
              </w:rPr>
              <w:t>брой</w:t>
            </w:r>
          </w:p>
        </w:tc>
        <w:tc>
          <w:tcPr>
            <w:tcW w:w="996" w:type="dxa"/>
            <w:tcBorders>
              <w:top w:val="single" w:sz="4" w:space="0" w:color="auto"/>
              <w:left w:val="nil"/>
              <w:bottom w:val="nil"/>
              <w:right w:val="nil"/>
            </w:tcBorders>
            <w:hideMark/>
          </w:tcPr>
          <w:p w:rsidR="0077033E" w:rsidRDefault="0077033E" w:rsidP="002B2ADB">
            <w:pPr>
              <w:spacing w:after="0"/>
              <w:jc w:val="center"/>
              <w:rPr>
                <w:sz w:val="18"/>
                <w:szCs w:val="18"/>
              </w:rPr>
            </w:pPr>
            <w:r>
              <w:rPr>
                <w:sz w:val="18"/>
                <w:szCs w:val="18"/>
              </w:rPr>
              <w:t>12</w:t>
            </w:r>
          </w:p>
        </w:tc>
        <w:tc>
          <w:tcPr>
            <w:tcW w:w="992" w:type="dxa"/>
            <w:tcBorders>
              <w:top w:val="single" w:sz="4" w:space="0" w:color="auto"/>
              <w:left w:val="nil"/>
              <w:bottom w:val="nil"/>
              <w:right w:val="nil"/>
            </w:tcBorders>
            <w:hideMark/>
          </w:tcPr>
          <w:p w:rsidR="0077033E" w:rsidRDefault="0077033E" w:rsidP="002B2ADB">
            <w:pPr>
              <w:spacing w:after="0"/>
              <w:jc w:val="center"/>
              <w:rPr>
                <w:sz w:val="18"/>
                <w:szCs w:val="18"/>
              </w:rPr>
            </w:pPr>
            <w:r>
              <w:rPr>
                <w:sz w:val="18"/>
                <w:szCs w:val="18"/>
              </w:rPr>
              <w:t>12</w:t>
            </w:r>
          </w:p>
        </w:tc>
        <w:tc>
          <w:tcPr>
            <w:tcW w:w="992" w:type="dxa"/>
            <w:tcBorders>
              <w:top w:val="single" w:sz="4" w:space="0" w:color="auto"/>
              <w:left w:val="nil"/>
              <w:bottom w:val="nil"/>
              <w:right w:val="nil"/>
            </w:tcBorders>
            <w:hideMark/>
          </w:tcPr>
          <w:p w:rsidR="0077033E" w:rsidRDefault="0077033E" w:rsidP="002B2ADB">
            <w:pPr>
              <w:spacing w:after="0"/>
              <w:jc w:val="center"/>
              <w:rPr>
                <w:sz w:val="18"/>
                <w:szCs w:val="18"/>
              </w:rPr>
            </w:pPr>
            <w:r>
              <w:rPr>
                <w:sz w:val="18"/>
                <w:szCs w:val="18"/>
              </w:rPr>
              <w:t>12</w:t>
            </w:r>
          </w:p>
        </w:tc>
        <w:tc>
          <w:tcPr>
            <w:tcW w:w="1134" w:type="dxa"/>
            <w:tcBorders>
              <w:top w:val="single" w:sz="4" w:space="0" w:color="auto"/>
              <w:left w:val="nil"/>
              <w:bottom w:val="nil"/>
              <w:right w:val="nil"/>
            </w:tcBorders>
            <w:hideMark/>
          </w:tcPr>
          <w:p w:rsidR="0077033E" w:rsidRDefault="0077033E" w:rsidP="002B2ADB">
            <w:pPr>
              <w:spacing w:after="0"/>
              <w:jc w:val="center"/>
              <w:rPr>
                <w:sz w:val="18"/>
                <w:szCs w:val="18"/>
              </w:rPr>
            </w:pPr>
            <w:r>
              <w:rPr>
                <w:sz w:val="18"/>
                <w:szCs w:val="18"/>
              </w:rPr>
              <w:t>12</w:t>
            </w:r>
          </w:p>
        </w:tc>
      </w:tr>
      <w:tr w:rsidR="0077033E" w:rsidTr="002B2ADB">
        <w:trPr>
          <w:trHeight w:val="255"/>
        </w:trPr>
        <w:tc>
          <w:tcPr>
            <w:tcW w:w="3698" w:type="dxa"/>
            <w:tcBorders>
              <w:top w:val="nil"/>
              <w:left w:val="nil"/>
              <w:bottom w:val="nil"/>
              <w:right w:val="nil"/>
            </w:tcBorders>
            <w:hideMark/>
          </w:tcPr>
          <w:p w:rsidR="0077033E" w:rsidRDefault="0077033E" w:rsidP="003403BF">
            <w:pPr>
              <w:pStyle w:val="ListParagraph"/>
              <w:numPr>
                <w:ilvl w:val="0"/>
                <w:numId w:val="30"/>
              </w:numPr>
              <w:spacing w:after="0" w:line="276" w:lineRule="auto"/>
              <w:ind w:left="229" w:hanging="229"/>
              <w:contextualSpacing/>
              <w:rPr>
                <w:sz w:val="18"/>
                <w:szCs w:val="18"/>
              </w:rPr>
            </w:pPr>
            <w:r>
              <w:rPr>
                <w:sz w:val="18"/>
                <w:szCs w:val="18"/>
              </w:rPr>
              <w:t>Поддържани информационни системи/ системи с публичен достъп на НСМОС</w:t>
            </w:r>
            <w:r w:rsidRPr="007D6981">
              <w:rPr>
                <w:sz w:val="18"/>
                <w:szCs w:val="18"/>
                <w:lang w:val="ru-RU"/>
              </w:rPr>
              <w:t xml:space="preserve"> *</w:t>
            </w:r>
          </w:p>
        </w:tc>
        <w:tc>
          <w:tcPr>
            <w:tcW w:w="1275" w:type="dxa"/>
            <w:tcBorders>
              <w:top w:val="nil"/>
              <w:left w:val="nil"/>
              <w:bottom w:val="nil"/>
              <w:right w:val="nil"/>
            </w:tcBorders>
            <w:shd w:val="clear" w:color="auto" w:fill="F2F2F2" w:themeFill="background1" w:themeFillShade="F2"/>
            <w:hideMark/>
          </w:tcPr>
          <w:p w:rsidR="0077033E" w:rsidRDefault="0077033E" w:rsidP="002B2ADB">
            <w:pPr>
              <w:jc w:val="center"/>
              <w:rPr>
                <w:sz w:val="18"/>
                <w:szCs w:val="18"/>
              </w:rPr>
            </w:pPr>
            <w:r>
              <w:rPr>
                <w:sz w:val="18"/>
                <w:szCs w:val="18"/>
              </w:rPr>
              <w:t>брой</w:t>
            </w:r>
          </w:p>
        </w:tc>
        <w:tc>
          <w:tcPr>
            <w:tcW w:w="996" w:type="dxa"/>
            <w:tcBorders>
              <w:top w:val="nil"/>
              <w:left w:val="nil"/>
              <w:bottom w:val="nil"/>
              <w:right w:val="nil"/>
            </w:tcBorders>
            <w:hideMark/>
          </w:tcPr>
          <w:p w:rsidR="0077033E" w:rsidRDefault="0077033E" w:rsidP="002B2ADB">
            <w:pPr>
              <w:spacing w:after="0"/>
              <w:jc w:val="center"/>
              <w:rPr>
                <w:sz w:val="18"/>
                <w:szCs w:val="18"/>
              </w:rPr>
            </w:pPr>
            <w:r>
              <w:rPr>
                <w:sz w:val="18"/>
                <w:szCs w:val="18"/>
              </w:rPr>
              <w:t>16/8</w:t>
            </w:r>
          </w:p>
        </w:tc>
        <w:tc>
          <w:tcPr>
            <w:tcW w:w="992" w:type="dxa"/>
            <w:tcBorders>
              <w:top w:val="nil"/>
              <w:left w:val="nil"/>
              <w:bottom w:val="nil"/>
              <w:right w:val="nil"/>
            </w:tcBorders>
            <w:hideMark/>
          </w:tcPr>
          <w:p w:rsidR="0077033E" w:rsidRDefault="0077033E" w:rsidP="002B2ADB">
            <w:pPr>
              <w:spacing w:after="0"/>
              <w:jc w:val="center"/>
              <w:rPr>
                <w:sz w:val="18"/>
                <w:szCs w:val="18"/>
              </w:rPr>
            </w:pPr>
            <w:r>
              <w:rPr>
                <w:sz w:val="18"/>
                <w:szCs w:val="18"/>
              </w:rPr>
              <w:t>18/10</w:t>
            </w:r>
          </w:p>
        </w:tc>
        <w:tc>
          <w:tcPr>
            <w:tcW w:w="992" w:type="dxa"/>
            <w:tcBorders>
              <w:top w:val="nil"/>
              <w:left w:val="nil"/>
              <w:bottom w:val="nil"/>
              <w:right w:val="nil"/>
            </w:tcBorders>
            <w:hideMark/>
          </w:tcPr>
          <w:p w:rsidR="0077033E" w:rsidRDefault="0077033E" w:rsidP="002B2ADB">
            <w:pPr>
              <w:spacing w:after="0"/>
              <w:jc w:val="center"/>
              <w:rPr>
                <w:sz w:val="18"/>
                <w:szCs w:val="18"/>
              </w:rPr>
            </w:pPr>
            <w:r>
              <w:rPr>
                <w:sz w:val="18"/>
                <w:szCs w:val="18"/>
              </w:rPr>
              <w:t>19/12</w:t>
            </w:r>
          </w:p>
        </w:tc>
        <w:tc>
          <w:tcPr>
            <w:tcW w:w="1134" w:type="dxa"/>
            <w:tcBorders>
              <w:top w:val="nil"/>
              <w:left w:val="nil"/>
              <w:bottom w:val="nil"/>
              <w:right w:val="nil"/>
            </w:tcBorders>
            <w:hideMark/>
          </w:tcPr>
          <w:p w:rsidR="0077033E" w:rsidRDefault="0077033E" w:rsidP="002B2ADB">
            <w:pPr>
              <w:spacing w:after="0"/>
              <w:jc w:val="center"/>
              <w:rPr>
                <w:sz w:val="18"/>
                <w:szCs w:val="18"/>
              </w:rPr>
            </w:pPr>
            <w:r>
              <w:rPr>
                <w:sz w:val="18"/>
                <w:szCs w:val="18"/>
                <w:lang w:val="en-US"/>
              </w:rPr>
              <w:t>20</w:t>
            </w:r>
            <w:r>
              <w:rPr>
                <w:sz w:val="18"/>
                <w:szCs w:val="18"/>
              </w:rPr>
              <w:t>/</w:t>
            </w:r>
            <w:r>
              <w:rPr>
                <w:sz w:val="18"/>
                <w:szCs w:val="18"/>
                <w:lang w:val="en-US"/>
              </w:rPr>
              <w:t>13</w:t>
            </w:r>
          </w:p>
        </w:tc>
      </w:tr>
      <w:tr w:rsidR="0077033E" w:rsidTr="002B2ADB">
        <w:trPr>
          <w:trHeight w:val="70"/>
        </w:trPr>
        <w:tc>
          <w:tcPr>
            <w:tcW w:w="3698" w:type="dxa"/>
            <w:tcBorders>
              <w:top w:val="nil"/>
              <w:left w:val="nil"/>
              <w:bottom w:val="single" w:sz="4" w:space="0" w:color="auto"/>
              <w:right w:val="nil"/>
            </w:tcBorders>
            <w:hideMark/>
          </w:tcPr>
          <w:p w:rsidR="0077033E" w:rsidRDefault="0077033E" w:rsidP="003403BF">
            <w:pPr>
              <w:pStyle w:val="ListParagraph"/>
              <w:numPr>
                <w:ilvl w:val="0"/>
                <w:numId w:val="30"/>
              </w:numPr>
              <w:spacing w:after="0" w:line="276" w:lineRule="auto"/>
              <w:ind w:left="229" w:hanging="229"/>
              <w:contextualSpacing/>
              <w:rPr>
                <w:sz w:val="18"/>
                <w:szCs w:val="18"/>
              </w:rPr>
            </w:pPr>
            <w:r>
              <w:rPr>
                <w:sz w:val="18"/>
                <w:szCs w:val="18"/>
              </w:rPr>
              <w:t>Поддържани регистри с публичен достъп</w:t>
            </w:r>
          </w:p>
        </w:tc>
        <w:tc>
          <w:tcPr>
            <w:tcW w:w="1275" w:type="dxa"/>
            <w:tcBorders>
              <w:top w:val="nil"/>
              <w:left w:val="nil"/>
              <w:bottom w:val="single" w:sz="4" w:space="0" w:color="auto"/>
              <w:right w:val="nil"/>
            </w:tcBorders>
            <w:shd w:val="clear" w:color="auto" w:fill="F2F2F2" w:themeFill="background1" w:themeFillShade="F2"/>
            <w:hideMark/>
          </w:tcPr>
          <w:p w:rsidR="0077033E" w:rsidRDefault="0077033E" w:rsidP="002B2ADB">
            <w:pPr>
              <w:jc w:val="center"/>
              <w:rPr>
                <w:sz w:val="18"/>
                <w:szCs w:val="18"/>
              </w:rPr>
            </w:pPr>
            <w:r>
              <w:rPr>
                <w:sz w:val="18"/>
                <w:szCs w:val="18"/>
              </w:rPr>
              <w:t>брой</w:t>
            </w:r>
          </w:p>
        </w:tc>
        <w:tc>
          <w:tcPr>
            <w:tcW w:w="996" w:type="dxa"/>
            <w:tcBorders>
              <w:top w:val="nil"/>
              <w:left w:val="nil"/>
              <w:bottom w:val="single" w:sz="4" w:space="0" w:color="auto"/>
              <w:right w:val="nil"/>
            </w:tcBorders>
            <w:hideMark/>
          </w:tcPr>
          <w:p w:rsidR="0077033E" w:rsidRDefault="0077033E" w:rsidP="002B2ADB">
            <w:pPr>
              <w:spacing w:after="0"/>
              <w:jc w:val="center"/>
              <w:rPr>
                <w:sz w:val="18"/>
                <w:szCs w:val="18"/>
              </w:rPr>
            </w:pPr>
            <w:r>
              <w:rPr>
                <w:sz w:val="18"/>
                <w:szCs w:val="18"/>
              </w:rPr>
              <w:t>18</w:t>
            </w:r>
          </w:p>
        </w:tc>
        <w:tc>
          <w:tcPr>
            <w:tcW w:w="992" w:type="dxa"/>
            <w:tcBorders>
              <w:top w:val="nil"/>
              <w:left w:val="nil"/>
              <w:bottom w:val="single" w:sz="4" w:space="0" w:color="auto"/>
              <w:right w:val="nil"/>
            </w:tcBorders>
            <w:hideMark/>
          </w:tcPr>
          <w:p w:rsidR="0077033E" w:rsidRDefault="0077033E" w:rsidP="002B2ADB">
            <w:pPr>
              <w:spacing w:after="0"/>
              <w:jc w:val="center"/>
              <w:rPr>
                <w:sz w:val="18"/>
                <w:szCs w:val="18"/>
              </w:rPr>
            </w:pPr>
            <w:r>
              <w:rPr>
                <w:sz w:val="18"/>
                <w:szCs w:val="18"/>
              </w:rPr>
              <w:t>20</w:t>
            </w:r>
          </w:p>
        </w:tc>
        <w:tc>
          <w:tcPr>
            <w:tcW w:w="992" w:type="dxa"/>
            <w:tcBorders>
              <w:top w:val="nil"/>
              <w:left w:val="nil"/>
              <w:bottom w:val="single" w:sz="4" w:space="0" w:color="auto"/>
              <w:right w:val="nil"/>
            </w:tcBorders>
            <w:hideMark/>
          </w:tcPr>
          <w:p w:rsidR="0077033E" w:rsidRDefault="0077033E" w:rsidP="002B2ADB">
            <w:pPr>
              <w:spacing w:after="0"/>
              <w:jc w:val="center"/>
              <w:rPr>
                <w:sz w:val="18"/>
                <w:szCs w:val="18"/>
              </w:rPr>
            </w:pPr>
            <w:r>
              <w:rPr>
                <w:sz w:val="18"/>
                <w:szCs w:val="18"/>
              </w:rPr>
              <w:t>20</w:t>
            </w:r>
          </w:p>
        </w:tc>
        <w:tc>
          <w:tcPr>
            <w:tcW w:w="1134" w:type="dxa"/>
            <w:tcBorders>
              <w:top w:val="nil"/>
              <w:left w:val="nil"/>
              <w:bottom w:val="single" w:sz="4" w:space="0" w:color="auto"/>
              <w:right w:val="nil"/>
            </w:tcBorders>
            <w:hideMark/>
          </w:tcPr>
          <w:p w:rsidR="0077033E" w:rsidRDefault="0077033E" w:rsidP="002B2ADB">
            <w:pPr>
              <w:spacing w:after="0"/>
              <w:jc w:val="center"/>
              <w:rPr>
                <w:sz w:val="18"/>
                <w:szCs w:val="18"/>
              </w:rPr>
            </w:pPr>
            <w:r>
              <w:rPr>
                <w:sz w:val="18"/>
                <w:szCs w:val="18"/>
              </w:rPr>
              <w:t>20</w:t>
            </w:r>
          </w:p>
        </w:tc>
      </w:tr>
    </w:tbl>
    <w:p w:rsidR="0077033E" w:rsidRPr="007D6981" w:rsidRDefault="0077033E" w:rsidP="0077033E">
      <w:pPr>
        <w:rPr>
          <w:noProof/>
          <w:sz w:val="18"/>
          <w:szCs w:val="18"/>
          <w:lang w:val="ru-RU"/>
        </w:rPr>
      </w:pPr>
      <w:r w:rsidRPr="00F11BBA">
        <w:rPr>
          <w:noProof/>
          <w:sz w:val="18"/>
          <w:szCs w:val="18"/>
        </w:rPr>
        <w:t>* Увеличението на целевите стойности (в проекта на бюджетната прогноза 2020-2022, спрямо прогнозата за периода 2019-2021) на показателите за изпълнение по т. 2 и 3 се дължи на изискванията за разработване и поддържане на информационни системи и публични регистри, заложени през 2018 и 2019 г., с промени в законови и подзаконови нормативни актове в областта на околната среда.</w:t>
      </w:r>
    </w:p>
    <w:p w:rsidR="0077033E" w:rsidRPr="007D6981" w:rsidRDefault="0077033E" w:rsidP="0077033E">
      <w:pPr>
        <w:rPr>
          <w:noProof/>
          <w:sz w:val="20"/>
          <w:szCs w:val="20"/>
          <w:lang w:val="ru-RU"/>
        </w:rPr>
      </w:pPr>
    </w:p>
    <w:p w:rsidR="00812B42" w:rsidRDefault="00812B42" w:rsidP="00812B42">
      <w:pPr>
        <w:pStyle w:val="Heading4"/>
        <w:rPr>
          <w:rFonts w:eastAsia="Times New Roman"/>
        </w:rPr>
      </w:pPr>
      <w:r w:rsidRPr="00812B42">
        <w:rPr>
          <w:rFonts w:eastAsia="Times New Roman"/>
        </w:rPr>
        <w:t>Политика за поддържане, модернизация и изграждане на техническата инфраструктура, свързана с подобряване на транспортната достъпност и интегрираното управление на водните ресурси и геозащита</w:t>
      </w:r>
    </w:p>
    <w:p w:rsidR="0027337E" w:rsidRPr="007D6981" w:rsidRDefault="0027337E" w:rsidP="00E20575">
      <w:pPr>
        <w:spacing w:before="120" w:after="0"/>
        <w:rPr>
          <w:noProof/>
          <w:lang w:val="ru-RU"/>
        </w:rPr>
      </w:pPr>
    </w:p>
    <w:p w:rsidR="0027337E" w:rsidRPr="007D6981" w:rsidRDefault="0027337E" w:rsidP="0027337E">
      <w:pPr>
        <w:spacing w:before="120" w:after="0"/>
        <w:rPr>
          <w:noProof/>
          <w:lang w:val="ru-RU"/>
        </w:rPr>
      </w:pPr>
      <w:r w:rsidRPr="0027337E">
        <w:rPr>
          <w:noProof/>
        </w:rPr>
        <w:t>Политиката в областта на околната среда,  обвързана с изпълнението на геозащитните мерки и дейности за ограничаване на свлачищата, ерозионните процеси по Дунавското крайбрежие и абразионните процеси по Черноморското крайбрежие и за предотвратяване на аварии и щети, както и дейностите по регистрирането и мониторинга на свлачищните райони в Република България се изпълнява от Министерството на регионалното развитие и благоустройството. Свлачищата, ерозията по Дунавското крайбрежие и абразията по Черноморското крайбрежие са част от общите геодинамични процеси, които представляват основни елементи на геоложката опасност на страната. Разрушителният ефект на тези процеси и явления се увеличава рязко през последните години поради комплексното взаимодействие на природни и техногенни фактори, включващи промените в климата, урбанизиране на териториите, незаконно строителство и др.</w:t>
      </w:r>
    </w:p>
    <w:p w:rsidR="0027337E" w:rsidRPr="0027337E" w:rsidRDefault="0027337E" w:rsidP="0027337E">
      <w:pPr>
        <w:spacing w:before="120" w:after="0"/>
        <w:rPr>
          <w:noProof/>
        </w:rPr>
      </w:pPr>
      <w:r w:rsidRPr="0027337E">
        <w:rPr>
          <w:noProof/>
        </w:rPr>
        <w:t>В рамките на политиката по геозащита чрез бюджета на Министерството на регионалното развитие и благоустройството през 2020 г. е предвидено да бъдат финансирани следните приоритетни инфраструктурни проекти:</w:t>
      </w:r>
    </w:p>
    <w:p w:rsidR="0027337E" w:rsidRPr="0027337E" w:rsidRDefault="0027337E" w:rsidP="003403BF">
      <w:pPr>
        <w:numPr>
          <w:ilvl w:val="0"/>
          <w:numId w:val="54"/>
        </w:numPr>
        <w:spacing w:before="120" w:after="0"/>
        <w:rPr>
          <w:noProof/>
        </w:rPr>
      </w:pPr>
      <w:r w:rsidRPr="0027337E">
        <w:rPr>
          <w:noProof/>
        </w:rPr>
        <w:t>„Укрепване свлачище кв. Сарафово – етап ІІІ.2“, община Бургас, като за 2020 г. са предвидени средства в размер на 1,9 млн.</w:t>
      </w:r>
      <w:r w:rsidR="008543D7">
        <w:rPr>
          <w:noProof/>
        </w:rPr>
        <w:t xml:space="preserve"> </w:t>
      </w:r>
      <w:r w:rsidRPr="0027337E">
        <w:rPr>
          <w:noProof/>
        </w:rPr>
        <w:t>лв.;</w:t>
      </w:r>
    </w:p>
    <w:p w:rsidR="0027337E" w:rsidRPr="0027337E" w:rsidRDefault="0027337E" w:rsidP="003403BF">
      <w:pPr>
        <w:numPr>
          <w:ilvl w:val="0"/>
          <w:numId w:val="54"/>
        </w:numPr>
        <w:spacing w:before="120" w:after="0"/>
        <w:rPr>
          <w:noProof/>
        </w:rPr>
      </w:pPr>
      <w:r w:rsidRPr="0027337E">
        <w:rPr>
          <w:noProof/>
        </w:rPr>
        <w:t>„Укрепване свлачище северен бряг – гр. Царево“ за 2020 са предвидени средства в размер на 3,0 млн.</w:t>
      </w:r>
      <w:r w:rsidR="008543D7">
        <w:rPr>
          <w:noProof/>
        </w:rPr>
        <w:t xml:space="preserve"> </w:t>
      </w:r>
      <w:r w:rsidRPr="0027337E">
        <w:rPr>
          <w:noProof/>
        </w:rPr>
        <w:t>лв.;</w:t>
      </w:r>
    </w:p>
    <w:p w:rsidR="0027337E" w:rsidRPr="0027337E" w:rsidRDefault="0027337E" w:rsidP="003403BF">
      <w:pPr>
        <w:numPr>
          <w:ilvl w:val="0"/>
          <w:numId w:val="54"/>
        </w:numPr>
        <w:spacing w:before="120" w:after="0"/>
        <w:rPr>
          <w:noProof/>
        </w:rPr>
      </w:pPr>
      <w:r w:rsidRPr="0027337E">
        <w:rPr>
          <w:noProof/>
        </w:rPr>
        <w:t>„Укрепване свлачище в района на екопътека в местност „Леден врис“, гр. Неделино  за 2020 г. са предвидени средства в размер на 1,4 млн.</w:t>
      </w:r>
      <w:r w:rsidR="008543D7">
        <w:rPr>
          <w:noProof/>
        </w:rPr>
        <w:t xml:space="preserve"> </w:t>
      </w:r>
      <w:r w:rsidRPr="0027337E">
        <w:rPr>
          <w:noProof/>
        </w:rPr>
        <w:t>лв.</w:t>
      </w:r>
    </w:p>
    <w:p w:rsidR="00264ABB" w:rsidRDefault="00264ABB" w:rsidP="00E20575">
      <w:pPr>
        <w:spacing w:before="120" w:after="0"/>
        <w:rPr>
          <w:noProof/>
          <w:highlight w:val="yellow"/>
        </w:rPr>
      </w:pPr>
    </w:p>
    <w:p w:rsidR="00264ABB" w:rsidRDefault="00264ABB" w:rsidP="00E20575">
      <w:pPr>
        <w:spacing w:before="120" w:after="0"/>
        <w:rPr>
          <w:noProof/>
          <w:highlight w:val="yellow"/>
        </w:rPr>
      </w:pPr>
    </w:p>
    <w:p w:rsidR="007C4D3C" w:rsidRPr="0027337E" w:rsidRDefault="00E7639F" w:rsidP="00E7639F">
      <w:pPr>
        <w:rPr>
          <w:b/>
          <w:noProof/>
          <w:sz w:val="20"/>
          <w:szCs w:val="20"/>
        </w:rPr>
      </w:pPr>
      <w:r w:rsidRPr="0027337E">
        <w:rPr>
          <w:b/>
          <w:noProof/>
          <w:sz w:val="20"/>
          <w:szCs w:val="20"/>
        </w:rPr>
        <w:t>КЛЮЧОВИ ИНДИКАТОРИ ЗА ИЗПЪЛНЕНИЕ И ЦЕЛЕВИ СТОЙНОСТИ</w:t>
      </w:r>
    </w:p>
    <w:tbl>
      <w:tblPr>
        <w:tblStyle w:val="TableGrid2"/>
        <w:tblW w:w="9835"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6"/>
        <w:gridCol w:w="892"/>
        <w:gridCol w:w="996"/>
        <w:gridCol w:w="895"/>
        <w:gridCol w:w="953"/>
        <w:gridCol w:w="953"/>
      </w:tblGrid>
      <w:tr w:rsidR="0027337E" w:rsidTr="001C6B75">
        <w:trPr>
          <w:trHeight w:val="300"/>
          <w:tblHeader/>
        </w:trPr>
        <w:tc>
          <w:tcPr>
            <w:tcW w:w="5402" w:type="dxa"/>
            <w:tcBorders>
              <w:top w:val="single" w:sz="4" w:space="0" w:color="auto"/>
              <w:left w:val="nil"/>
              <w:bottom w:val="nil"/>
              <w:right w:val="nil"/>
            </w:tcBorders>
            <w:vAlign w:val="center"/>
            <w:hideMark/>
          </w:tcPr>
          <w:p w:rsidR="0027337E" w:rsidRDefault="0027337E" w:rsidP="002B2ADB">
            <w:pPr>
              <w:spacing w:after="0"/>
              <w:jc w:val="center"/>
              <w:rPr>
                <w:rFonts w:asciiTheme="minorHAnsi" w:eastAsia="Times New Roman" w:hAnsiTheme="minorHAnsi" w:cstheme="minorHAnsi"/>
                <w:b/>
                <w:i/>
                <w:iCs/>
                <w:color w:val="000000"/>
                <w:sz w:val="18"/>
                <w:szCs w:val="18"/>
              </w:rPr>
            </w:pPr>
            <w:r>
              <w:rPr>
                <w:rFonts w:asciiTheme="minorHAnsi" w:hAnsiTheme="minorHAnsi" w:cstheme="minorHAnsi"/>
                <w:b/>
                <w:bCs/>
                <w:i/>
                <w:iCs/>
                <w:sz w:val="18"/>
                <w:szCs w:val="18"/>
              </w:rPr>
              <w:t>Политика за поддържане,</w:t>
            </w:r>
            <w:r>
              <w:rPr>
                <w:rFonts w:asciiTheme="minorHAnsi" w:hAnsiTheme="minorHAnsi" w:cstheme="minorHAnsi"/>
                <w:b/>
                <w:i/>
                <w:iCs/>
                <w:sz w:val="18"/>
                <w:szCs w:val="18"/>
              </w:rPr>
              <w:t xml:space="preserve"> </w:t>
            </w:r>
            <w:r>
              <w:rPr>
                <w:rFonts w:asciiTheme="minorHAnsi" w:hAnsiTheme="minorHAnsi" w:cstheme="minorHAnsi"/>
                <w:b/>
                <w:bCs/>
                <w:i/>
                <w:iCs/>
                <w:sz w:val="18"/>
                <w:szCs w:val="18"/>
              </w:rPr>
              <w:t>модернизация и изграждане на техническата инфраструктура, свързана с подобряване на транспортната достъпност и интегрираното управление на водните ресурси и геозащита</w:t>
            </w:r>
          </w:p>
        </w:tc>
        <w:tc>
          <w:tcPr>
            <w:tcW w:w="816" w:type="dxa"/>
            <w:vMerge w:val="restart"/>
            <w:tcBorders>
              <w:top w:val="single" w:sz="4" w:space="0" w:color="auto"/>
              <w:left w:val="nil"/>
              <w:bottom w:val="single" w:sz="4" w:space="0" w:color="auto"/>
              <w:right w:val="nil"/>
            </w:tcBorders>
            <w:shd w:val="clear" w:color="auto" w:fill="F2F2F2" w:themeFill="background1" w:themeFillShade="F2"/>
            <w:vAlign w:val="center"/>
            <w:hideMark/>
          </w:tcPr>
          <w:p w:rsidR="0027337E" w:rsidRDefault="0027337E" w:rsidP="002B2ADB">
            <w:pPr>
              <w:spacing w:after="0"/>
              <w:jc w:val="center"/>
              <w:rPr>
                <w:rFonts w:asciiTheme="minorHAnsi" w:eastAsia="Times New Roman" w:hAnsiTheme="minorHAnsi" w:cstheme="minorHAnsi"/>
                <w:b/>
                <w:bCs/>
                <w:color w:val="000000"/>
                <w:sz w:val="18"/>
                <w:szCs w:val="18"/>
              </w:rPr>
            </w:pPr>
            <w:r>
              <w:rPr>
                <w:rFonts w:asciiTheme="minorHAnsi" w:eastAsia="Times New Roman" w:hAnsiTheme="minorHAnsi" w:cstheme="minorHAnsi"/>
                <w:b/>
                <w:bCs/>
                <w:color w:val="000000"/>
                <w:sz w:val="18"/>
                <w:szCs w:val="18"/>
              </w:rPr>
              <w:t>Мерна единица</w:t>
            </w:r>
          </w:p>
        </w:tc>
        <w:tc>
          <w:tcPr>
            <w:tcW w:w="3617" w:type="dxa"/>
            <w:gridSpan w:val="4"/>
            <w:tcBorders>
              <w:top w:val="single" w:sz="4" w:space="0" w:color="auto"/>
              <w:left w:val="nil"/>
              <w:bottom w:val="single" w:sz="4" w:space="0" w:color="auto"/>
              <w:right w:val="nil"/>
            </w:tcBorders>
            <w:vAlign w:val="center"/>
            <w:hideMark/>
          </w:tcPr>
          <w:p w:rsidR="0027337E" w:rsidRDefault="0027337E" w:rsidP="002B2ADB">
            <w:pPr>
              <w:spacing w:after="0"/>
              <w:jc w:val="center"/>
              <w:rPr>
                <w:rFonts w:asciiTheme="minorHAnsi" w:eastAsia="Times New Roman" w:hAnsiTheme="minorHAnsi" w:cstheme="minorHAnsi"/>
                <w:b/>
                <w:bCs/>
                <w:color w:val="000000"/>
                <w:sz w:val="18"/>
                <w:szCs w:val="18"/>
              </w:rPr>
            </w:pPr>
            <w:r>
              <w:rPr>
                <w:rFonts w:asciiTheme="minorHAnsi" w:eastAsia="Times New Roman" w:hAnsiTheme="minorHAnsi" w:cstheme="minorHAnsi"/>
                <w:b/>
                <w:bCs/>
                <w:color w:val="000000"/>
                <w:sz w:val="18"/>
                <w:szCs w:val="18"/>
              </w:rPr>
              <w:t>Целева стойност</w:t>
            </w:r>
          </w:p>
        </w:tc>
      </w:tr>
      <w:tr w:rsidR="0027337E" w:rsidTr="001C6B75">
        <w:trPr>
          <w:trHeight w:val="480"/>
          <w:tblHeader/>
        </w:trPr>
        <w:tc>
          <w:tcPr>
            <w:tcW w:w="5402" w:type="dxa"/>
            <w:tcBorders>
              <w:top w:val="nil"/>
              <w:left w:val="nil"/>
              <w:bottom w:val="single" w:sz="4" w:space="0" w:color="auto"/>
              <w:right w:val="nil"/>
            </w:tcBorders>
            <w:vAlign w:val="center"/>
            <w:hideMark/>
          </w:tcPr>
          <w:p w:rsidR="0027337E" w:rsidRDefault="0027337E" w:rsidP="002B2ADB">
            <w:pPr>
              <w:spacing w:after="0"/>
              <w:jc w:val="center"/>
              <w:rPr>
                <w:rFonts w:asciiTheme="minorHAnsi" w:eastAsia="Times New Roman" w:hAnsiTheme="minorHAnsi" w:cstheme="minorHAnsi"/>
                <w:b/>
                <w:bCs/>
                <w:color w:val="000000"/>
                <w:sz w:val="18"/>
                <w:szCs w:val="18"/>
              </w:rPr>
            </w:pPr>
            <w:r>
              <w:rPr>
                <w:rFonts w:asciiTheme="minorHAnsi" w:eastAsia="Times New Roman" w:hAnsiTheme="minorHAnsi" w:cstheme="minorHAnsi"/>
                <w:b/>
                <w:bCs/>
                <w:color w:val="000000"/>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27337E" w:rsidRDefault="0027337E" w:rsidP="002B2ADB">
            <w:pPr>
              <w:spacing w:after="0"/>
              <w:jc w:val="left"/>
              <w:rPr>
                <w:rFonts w:asciiTheme="minorHAnsi" w:eastAsia="Times New Roman" w:hAnsiTheme="minorHAnsi" w:cstheme="minorHAnsi"/>
                <w:b/>
                <w:bCs/>
                <w:color w:val="000000"/>
                <w:sz w:val="18"/>
                <w:szCs w:val="18"/>
              </w:rPr>
            </w:pPr>
          </w:p>
        </w:tc>
        <w:tc>
          <w:tcPr>
            <w:tcW w:w="920" w:type="dxa"/>
            <w:tcBorders>
              <w:top w:val="single" w:sz="4" w:space="0" w:color="auto"/>
              <w:left w:val="nil"/>
              <w:bottom w:val="single" w:sz="4" w:space="0" w:color="auto"/>
              <w:right w:val="nil"/>
            </w:tcBorders>
            <w:vAlign w:val="center"/>
            <w:hideMark/>
          </w:tcPr>
          <w:p w:rsidR="0027337E" w:rsidRDefault="0027337E" w:rsidP="002B2ADB">
            <w:pPr>
              <w:spacing w:after="0"/>
              <w:jc w:val="center"/>
              <w:rPr>
                <w:rFonts w:asciiTheme="minorHAnsi" w:eastAsia="Times New Roman" w:hAnsiTheme="minorHAnsi" w:cstheme="minorHAnsi"/>
                <w:b/>
                <w:bCs/>
                <w:i/>
                <w:iCs/>
                <w:color w:val="000000"/>
                <w:sz w:val="18"/>
                <w:szCs w:val="18"/>
              </w:rPr>
            </w:pPr>
            <w:r>
              <w:rPr>
                <w:rFonts w:asciiTheme="minorHAnsi" w:eastAsia="Times New Roman" w:hAnsiTheme="minorHAnsi" w:cstheme="minorHAnsi"/>
                <w:b/>
                <w:bCs/>
                <w:i/>
                <w:iCs/>
                <w:color w:val="000000"/>
                <w:sz w:val="18"/>
                <w:szCs w:val="18"/>
              </w:rPr>
              <w:t>Програма 2019 г.</w:t>
            </w:r>
          </w:p>
        </w:tc>
        <w:tc>
          <w:tcPr>
            <w:tcW w:w="898" w:type="dxa"/>
            <w:tcBorders>
              <w:top w:val="single" w:sz="4" w:space="0" w:color="auto"/>
              <w:left w:val="nil"/>
              <w:bottom w:val="single" w:sz="4" w:space="0" w:color="auto"/>
              <w:right w:val="nil"/>
            </w:tcBorders>
            <w:vAlign w:val="center"/>
            <w:hideMark/>
          </w:tcPr>
          <w:p w:rsidR="0027337E" w:rsidRDefault="0027337E" w:rsidP="002B2ADB">
            <w:pPr>
              <w:spacing w:after="0"/>
              <w:jc w:val="center"/>
              <w:rPr>
                <w:rFonts w:asciiTheme="minorHAnsi" w:eastAsia="Times New Roman" w:hAnsiTheme="minorHAnsi" w:cstheme="minorHAnsi"/>
                <w:b/>
                <w:bCs/>
                <w:i/>
                <w:iCs/>
                <w:color w:val="000000"/>
                <w:sz w:val="18"/>
                <w:szCs w:val="18"/>
              </w:rPr>
            </w:pPr>
            <w:r>
              <w:rPr>
                <w:rFonts w:asciiTheme="minorHAnsi" w:eastAsia="Times New Roman" w:hAnsiTheme="minorHAnsi" w:cstheme="minorHAnsi"/>
                <w:b/>
                <w:bCs/>
                <w:i/>
                <w:iCs/>
                <w:color w:val="000000"/>
                <w:sz w:val="18"/>
                <w:szCs w:val="18"/>
              </w:rPr>
              <w:t>Проект 2020 г.</w:t>
            </w:r>
          </w:p>
        </w:tc>
        <w:tc>
          <w:tcPr>
            <w:tcW w:w="919" w:type="dxa"/>
            <w:tcBorders>
              <w:top w:val="single" w:sz="4" w:space="0" w:color="auto"/>
              <w:left w:val="nil"/>
              <w:bottom w:val="single" w:sz="4" w:space="0" w:color="auto"/>
              <w:right w:val="nil"/>
            </w:tcBorders>
            <w:vAlign w:val="center"/>
            <w:hideMark/>
          </w:tcPr>
          <w:p w:rsidR="0027337E" w:rsidRDefault="0027337E" w:rsidP="002B2ADB">
            <w:pPr>
              <w:spacing w:after="0"/>
              <w:jc w:val="center"/>
              <w:rPr>
                <w:rFonts w:asciiTheme="minorHAnsi" w:eastAsia="Times New Roman" w:hAnsiTheme="minorHAnsi" w:cstheme="minorHAnsi"/>
                <w:b/>
                <w:bCs/>
                <w:i/>
                <w:iCs/>
                <w:color w:val="000000"/>
                <w:sz w:val="18"/>
                <w:szCs w:val="18"/>
              </w:rPr>
            </w:pPr>
            <w:r>
              <w:rPr>
                <w:rFonts w:asciiTheme="minorHAnsi" w:eastAsia="Times New Roman" w:hAnsiTheme="minorHAnsi" w:cstheme="minorHAnsi"/>
                <w:b/>
                <w:bCs/>
                <w:i/>
                <w:iCs/>
                <w:color w:val="000000"/>
                <w:sz w:val="18"/>
                <w:szCs w:val="18"/>
              </w:rPr>
              <w:t>Прогноза 2021 г.</w:t>
            </w:r>
          </w:p>
        </w:tc>
        <w:tc>
          <w:tcPr>
            <w:tcW w:w="880" w:type="dxa"/>
            <w:tcBorders>
              <w:top w:val="single" w:sz="4" w:space="0" w:color="auto"/>
              <w:left w:val="nil"/>
              <w:bottom w:val="single" w:sz="4" w:space="0" w:color="auto"/>
              <w:right w:val="nil"/>
            </w:tcBorders>
            <w:vAlign w:val="center"/>
            <w:hideMark/>
          </w:tcPr>
          <w:p w:rsidR="0027337E" w:rsidRDefault="0027337E" w:rsidP="002B2ADB">
            <w:pPr>
              <w:spacing w:after="0"/>
              <w:jc w:val="center"/>
              <w:rPr>
                <w:rFonts w:asciiTheme="minorHAnsi" w:eastAsia="Times New Roman" w:hAnsiTheme="minorHAnsi" w:cstheme="minorHAnsi"/>
                <w:b/>
                <w:bCs/>
                <w:i/>
                <w:iCs/>
                <w:color w:val="000000"/>
                <w:sz w:val="18"/>
                <w:szCs w:val="18"/>
              </w:rPr>
            </w:pPr>
            <w:r>
              <w:rPr>
                <w:rFonts w:asciiTheme="minorHAnsi" w:eastAsia="Times New Roman" w:hAnsiTheme="minorHAnsi" w:cstheme="minorHAnsi"/>
                <w:b/>
                <w:bCs/>
                <w:i/>
                <w:iCs/>
                <w:color w:val="000000"/>
                <w:sz w:val="18"/>
                <w:szCs w:val="18"/>
              </w:rPr>
              <w:t>Прогноза 2022 г.</w:t>
            </w:r>
          </w:p>
        </w:tc>
      </w:tr>
      <w:tr w:rsidR="0027337E" w:rsidTr="00522E56">
        <w:trPr>
          <w:trHeight w:val="300"/>
        </w:trPr>
        <w:tc>
          <w:tcPr>
            <w:tcW w:w="5402" w:type="dxa"/>
            <w:tcBorders>
              <w:top w:val="single" w:sz="4" w:space="0" w:color="auto"/>
              <w:left w:val="nil"/>
              <w:bottom w:val="nil"/>
              <w:right w:val="nil"/>
            </w:tcBorders>
            <w:shd w:val="clear" w:color="auto" w:fill="auto"/>
            <w:hideMark/>
          </w:tcPr>
          <w:p w:rsidR="0027337E" w:rsidRPr="00522E56" w:rsidRDefault="0027337E" w:rsidP="00522E56">
            <w:pPr>
              <w:widowControl w:val="0"/>
              <w:tabs>
                <w:tab w:val="left" w:pos="258"/>
              </w:tabs>
              <w:autoSpaceDE w:val="0"/>
              <w:autoSpaceDN w:val="0"/>
              <w:adjustRightInd w:val="0"/>
              <w:spacing w:after="0"/>
              <w:rPr>
                <w:rFonts w:asciiTheme="minorHAnsi" w:eastAsia="Times New Roman" w:hAnsiTheme="minorHAnsi" w:cstheme="minorHAnsi"/>
                <w:color w:val="000000"/>
                <w:sz w:val="18"/>
                <w:szCs w:val="18"/>
              </w:rPr>
            </w:pPr>
            <w:r w:rsidRPr="00522E56">
              <w:rPr>
                <w:rFonts w:asciiTheme="minorHAnsi" w:eastAsia="Times New Roman" w:hAnsiTheme="minorHAnsi" w:cstheme="minorHAnsi"/>
                <w:color w:val="000000"/>
                <w:sz w:val="18"/>
                <w:szCs w:val="18"/>
              </w:rPr>
              <w:t xml:space="preserve">1. </w:t>
            </w:r>
            <w:r w:rsidR="00522E56">
              <w:rPr>
                <w:rFonts w:asciiTheme="minorHAnsi" w:eastAsia="Times New Roman" w:hAnsiTheme="minorHAnsi" w:cstheme="minorHAnsi"/>
                <w:color w:val="000000"/>
                <w:sz w:val="18"/>
                <w:szCs w:val="18"/>
              </w:rPr>
              <w:t>Б</w:t>
            </w:r>
            <w:r w:rsidRPr="00522E56">
              <w:rPr>
                <w:rFonts w:asciiTheme="minorHAnsi" w:eastAsia="Times New Roman" w:hAnsiTheme="minorHAnsi" w:cstheme="minorHAnsi"/>
                <w:color w:val="000000"/>
                <w:sz w:val="18"/>
                <w:szCs w:val="18"/>
              </w:rPr>
              <w:t>регоукрепени участъци</w:t>
            </w:r>
            <w:r w:rsidR="00A21BDE" w:rsidRPr="00522E56">
              <w:rPr>
                <w:rFonts w:asciiTheme="minorHAnsi" w:eastAsia="Times New Roman" w:hAnsiTheme="minorHAnsi" w:cstheme="minorHAnsi"/>
                <w:color w:val="000000"/>
                <w:sz w:val="18"/>
                <w:szCs w:val="18"/>
                <w:vertAlign w:val="superscript"/>
              </w:rPr>
              <w:t>*</w:t>
            </w:r>
          </w:p>
        </w:tc>
        <w:tc>
          <w:tcPr>
            <w:tcW w:w="816" w:type="dxa"/>
            <w:tcBorders>
              <w:top w:val="single" w:sz="4" w:space="0" w:color="auto"/>
              <w:left w:val="nil"/>
              <w:bottom w:val="nil"/>
              <w:right w:val="nil"/>
            </w:tcBorders>
            <w:shd w:val="clear" w:color="auto" w:fill="auto"/>
            <w:hideMark/>
          </w:tcPr>
          <w:p w:rsidR="0027337E" w:rsidRPr="00522E56" w:rsidRDefault="0027337E" w:rsidP="002B2ADB">
            <w:pPr>
              <w:spacing w:after="0"/>
              <w:jc w:val="center"/>
              <w:rPr>
                <w:rFonts w:asciiTheme="minorHAnsi" w:eastAsia="Times New Roman" w:hAnsiTheme="minorHAnsi" w:cstheme="minorHAnsi"/>
                <w:color w:val="000000"/>
                <w:sz w:val="18"/>
                <w:szCs w:val="18"/>
              </w:rPr>
            </w:pPr>
            <w:r w:rsidRPr="00522E56">
              <w:rPr>
                <w:rFonts w:asciiTheme="minorHAnsi" w:eastAsia="Times New Roman" w:hAnsiTheme="minorHAnsi" w:cstheme="minorHAnsi"/>
                <w:color w:val="000000"/>
                <w:sz w:val="18"/>
                <w:szCs w:val="18"/>
              </w:rPr>
              <w:t>м</w:t>
            </w:r>
          </w:p>
        </w:tc>
        <w:tc>
          <w:tcPr>
            <w:tcW w:w="920" w:type="dxa"/>
            <w:tcBorders>
              <w:top w:val="single" w:sz="4" w:space="0" w:color="auto"/>
              <w:left w:val="nil"/>
              <w:bottom w:val="nil"/>
              <w:right w:val="nil"/>
            </w:tcBorders>
            <w:shd w:val="clear" w:color="auto" w:fill="auto"/>
            <w:hideMark/>
          </w:tcPr>
          <w:p w:rsidR="0027337E" w:rsidRPr="00522E56" w:rsidRDefault="0027337E" w:rsidP="002B2ADB">
            <w:pPr>
              <w:spacing w:after="0"/>
              <w:jc w:val="center"/>
              <w:rPr>
                <w:rFonts w:asciiTheme="minorHAnsi" w:eastAsia="Times New Roman" w:hAnsiTheme="minorHAnsi" w:cstheme="minorHAnsi"/>
                <w:color w:val="000000"/>
                <w:sz w:val="18"/>
                <w:szCs w:val="18"/>
              </w:rPr>
            </w:pPr>
            <w:r w:rsidRPr="00522E56">
              <w:rPr>
                <w:rFonts w:asciiTheme="minorHAnsi" w:eastAsia="Times New Roman" w:hAnsiTheme="minorHAnsi" w:cstheme="minorHAnsi"/>
                <w:color w:val="000000"/>
                <w:sz w:val="18"/>
                <w:szCs w:val="18"/>
              </w:rPr>
              <w:t>560</w:t>
            </w:r>
          </w:p>
        </w:tc>
        <w:tc>
          <w:tcPr>
            <w:tcW w:w="898" w:type="dxa"/>
            <w:tcBorders>
              <w:top w:val="single" w:sz="4" w:space="0" w:color="auto"/>
              <w:left w:val="nil"/>
              <w:bottom w:val="nil"/>
              <w:right w:val="nil"/>
            </w:tcBorders>
            <w:shd w:val="clear" w:color="auto" w:fill="auto"/>
            <w:hideMark/>
          </w:tcPr>
          <w:p w:rsidR="0027337E" w:rsidRPr="00522E56" w:rsidRDefault="0027337E" w:rsidP="002B2ADB">
            <w:pPr>
              <w:spacing w:after="0"/>
              <w:jc w:val="center"/>
              <w:rPr>
                <w:rFonts w:asciiTheme="minorHAnsi" w:eastAsia="Times New Roman" w:hAnsiTheme="minorHAnsi" w:cstheme="minorHAnsi"/>
                <w:color w:val="000000"/>
                <w:sz w:val="18"/>
                <w:szCs w:val="18"/>
              </w:rPr>
            </w:pPr>
            <w:r w:rsidRPr="00522E56">
              <w:rPr>
                <w:rFonts w:asciiTheme="minorHAnsi" w:eastAsia="Times New Roman" w:hAnsiTheme="minorHAnsi" w:cstheme="minorHAnsi"/>
                <w:color w:val="000000"/>
                <w:sz w:val="18"/>
                <w:szCs w:val="18"/>
              </w:rPr>
              <w:t>560</w:t>
            </w:r>
          </w:p>
        </w:tc>
        <w:tc>
          <w:tcPr>
            <w:tcW w:w="919" w:type="dxa"/>
            <w:tcBorders>
              <w:top w:val="single" w:sz="4" w:space="0" w:color="auto"/>
              <w:left w:val="nil"/>
              <w:bottom w:val="nil"/>
              <w:right w:val="nil"/>
            </w:tcBorders>
            <w:shd w:val="clear" w:color="auto" w:fill="auto"/>
            <w:hideMark/>
          </w:tcPr>
          <w:p w:rsidR="0027337E" w:rsidRPr="00522E56" w:rsidRDefault="0027337E" w:rsidP="002B2ADB">
            <w:pPr>
              <w:spacing w:after="0"/>
              <w:jc w:val="center"/>
              <w:rPr>
                <w:rFonts w:asciiTheme="minorHAnsi" w:eastAsia="Times New Roman" w:hAnsiTheme="minorHAnsi" w:cstheme="minorHAnsi"/>
                <w:color w:val="000000"/>
                <w:sz w:val="18"/>
                <w:szCs w:val="18"/>
              </w:rPr>
            </w:pPr>
            <w:r w:rsidRPr="00522E56">
              <w:rPr>
                <w:rFonts w:asciiTheme="minorHAnsi" w:eastAsia="Times New Roman" w:hAnsiTheme="minorHAnsi" w:cstheme="minorHAnsi"/>
                <w:color w:val="000000"/>
                <w:sz w:val="18"/>
                <w:szCs w:val="18"/>
              </w:rPr>
              <w:t>450</w:t>
            </w:r>
          </w:p>
        </w:tc>
        <w:tc>
          <w:tcPr>
            <w:tcW w:w="880" w:type="dxa"/>
            <w:tcBorders>
              <w:top w:val="single" w:sz="4" w:space="0" w:color="auto"/>
              <w:left w:val="nil"/>
              <w:bottom w:val="nil"/>
              <w:right w:val="nil"/>
            </w:tcBorders>
            <w:shd w:val="clear" w:color="auto" w:fill="auto"/>
            <w:hideMark/>
          </w:tcPr>
          <w:p w:rsidR="0027337E" w:rsidRPr="00522E56" w:rsidRDefault="0027337E" w:rsidP="002B2ADB">
            <w:pPr>
              <w:spacing w:after="0"/>
              <w:jc w:val="center"/>
              <w:rPr>
                <w:rFonts w:asciiTheme="minorHAnsi" w:eastAsia="Times New Roman" w:hAnsiTheme="minorHAnsi" w:cstheme="minorHAnsi"/>
                <w:color w:val="000000"/>
                <w:sz w:val="18"/>
                <w:szCs w:val="18"/>
              </w:rPr>
            </w:pPr>
            <w:r w:rsidRPr="00522E56">
              <w:rPr>
                <w:rFonts w:asciiTheme="minorHAnsi" w:eastAsia="Times New Roman" w:hAnsiTheme="minorHAnsi" w:cstheme="minorHAnsi"/>
                <w:color w:val="000000"/>
                <w:sz w:val="18"/>
                <w:szCs w:val="18"/>
              </w:rPr>
              <w:t>500</w:t>
            </w:r>
          </w:p>
        </w:tc>
      </w:tr>
      <w:tr w:rsidR="0027337E" w:rsidTr="002B2ADB">
        <w:trPr>
          <w:trHeight w:val="300"/>
        </w:trPr>
        <w:tc>
          <w:tcPr>
            <w:tcW w:w="5402" w:type="dxa"/>
            <w:tcBorders>
              <w:top w:val="nil"/>
              <w:left w:val="nil"/>
              <w:bottom w:val="single" w:sz="4" w:space="0" w:color="auto"/>
              <w:right w:val="nil"/>
            </w:tcBorders>
            <w:hideMark/>
          </w:tcPr>
          <w:p w:rsidR="0027337E" w:rsidRDefault="0027337E" w:rsidP="002B2ADB">
            <w:pPr>
              <w:spacing w:after="0"/>
              <w:rPr>
                <w:rFonts w:asciiTheme="minorHAnsi" w:eastAsia="Times New Roman" w:hAnsiTheme="minorHAnsi" w:cstheme="minorHAnsi"/>
                <w:color w:val="000000"/>
                <w:sz w:val="18"/>
                <w:szCs w:val="18"/>
              </w:rPr>
            </w:pPr>
            <w:r>
              <w:rPr>
                <w:rFonts w:asciiTheme="minorHAnsi" w:eastAsia="Times New Roman" w:hAnsiTheme="minorHAnsi" w:cstheme="minorHAnsi"/>
                <w:color w:val="000000"/>
                <w:sz w:val="18"/>
                <w:szCs w:val="18"/>
              </w:rPr>
              <w:t>2. Контролирана свлачищна територия</w:t>
            </w:r>
          </w:p>
        </w:tc>
        <w:tc>
          <w:tcPr>
            <w:tcW w:w="816" w:type="dxa"/>
            <w:tcBorders>
              <w:top w:val="nil"/>
              <w:left w:val="nil"/>
              <w:bottom w:val="single" w:sz="4" w:space="0" w:color="auto"/>
              <w:right w:val="nil"/>
            </w:tcBorders>
            <w:shd w:val="clear" w:color="auto" w:fill="F2F2F2" w:themeFill="background1" w:themeFillShade="F2"/>
            <w:hideMark/>
          </w:tcPr>
          <w:p w:rsidR="0027337E" w:rsidRDefault="0027337E" w:rsidP="002B2ADB">
            <w:pPr>
              <w:spacing w:after="0"/>
              <w:jc w:val="center"/>
              <w:rPr>
                <w:rFonts w:asciiTheme="minorHAnsi" w:eastAsia="Times New Roman" w:hAnsiTheme="minorHAnsi" w:cstheme="minorHAnsi"/>
                <w:color w:val="000000"/>
                <w:sz w:val="18"/>
                <w:szCs w:val="18"/>
              </w:rPr>
            </w:pPr>
            <w:r>
              <w:rPr>
                <w:rFonts w:asciiTheme="minorHAnsi" w:eastAsia="Times New Roman" w:hAnsiTheme="minorHAnsi" w:cstheme="minorHAnsi"/>
                <w:color w:val="000000"/>
                <w:sz w:val="18"/>
                <w:szCs w:val="18"/>
              </w:rPr>
              <w:t>ха</w:t>
            </w:r>
          </w:p>
        </w:tc>
        <w:tc>
          <w:tcPr>
            <w:tcW w:w="920" w:type="dxa"/>
            <w:tcBorders>
              <w:top w:val="nil"/>
              <w:left w:val="nil"/>
              <w:bottom w:val="single" w:sz="4" w:space="0" w:color="auto"/>
              <w:right w:val="nil"/>
            </w:tcBorders>
            <w:hideMark/>
          </w:tcPr>
          <w:p w:rsidR="0027337E" w:rsidRDefault="0027337E" w:rsidP="002B2ADB">
            <w:pPr>
              <w:spacing w:after="0"/>
              <w:jc w:val="center"/>
              <w:rPr>
                <w:rFonts w:asciiTheme="minorHAnsi" w:eastAsia="Times New Roman" w:hAnsiTheme="minorHAnsi" w:cstheme="minorHAnsi"/>
                <w:color w:val="000000"/>
                <w:sz w:val="18"/>
                <w:szCs w:val="18"/>
              </w:rPr>
            </w:pPr>
            <w:r>
              <w:rPr>
                <w:rFonts w:asciiTheme="minorHAnsi" w:eastAsia="Times New Roman" w:hAnsiTheme="minorHAnsi" w:cstheme="minorHAnsi"/>
                <w:color w:val="000000"/>
                <w:sz w:val="18"/>
                <w:szCs w:val="18"/>
                <w:lang w:val="en-US"/>
              </w:rPr>
              <w:t>8</w:t>
            </w:r>
            <w:r>
              <w:rPr>
                <w:rFonts w:asciiTheme="minorHAnsi" w:eastAsia="Times New Roman" w:hAnsiTheme="minorHAnsi" w:cstheme="minorHAnsi"/>
                <w:color w:val="000000"/>
                <w:sz w:val="18"/>
                <w:szCs w:val="18"/>
              </w:rPr>
              <w:t>00</w:t>
            </w:r>
          </w:p>
        </w:tc>
        <w:tc>
          <w:tcPr>
            <w:tcW w:w="898" w:type="dxa"/>
            <w:tcBorders>
              <w:top w:val="nil"/>
              <w:left w:val="nil"/>
              <w:bottom w:val="single" w:sz="4" w:space="0" w:color="auto"/>
              <w:right w:val="nil"/>
            </w:tcBorders>
            <w:hideMark/>
          </w:tcPr>
          <w:p w:rsidR="0027337E" w:rsidRDefault="0027337E" w:rsidP="002B2ADB">
            <w:pPr>
              <w:spacing w:after="0"/>
              <w:jc w:val="center"/>
              <w:rPr>
                <w:rFonts w:asciiTheme="minorHAnsi" w:eastAsia="Times New Roman" w:hAnsiTheme="minorHAnsi" w:cstheme="minorHAnsi"/>
                <w:color w:val="000000"/>
                <w:sz w:val="18"/>
                <w:szCs w:val="18"/>
              </w:rPr>
            </w:pPr>
            <w:r>
              <w:rPr>
                <w:rFonts w:asciiTheme="minorHAnsi" w:eastAsia="Times New Roman" w:hAnsiTheme="minorHAnsi" w:cstheme="minorHAnsi"/>
                <w:color w:val="000000"/>
                <w:sz w:val="18"/>
                <w:szCs w:val="18"/>
              </w:rPr>
              <w:t>800</w:t>
            </w:r>
          </w:p>
        </w:tc>
        <w:tc>
          <w:tcPr>
            <w:tcW w:w="919" w:type="dxa"/>
            <w:tcBorders>
              <w:top w:val="nil"/>
              <w:left w:val="nil"/>
              <w:bottom w:val="single" w:sz="4" w:space="0" w:color="auto"/>
              <w:right w:val="nil"/>
            </w:tcBorders>
            <w:hideMark/>
          </w:tcPr>
          <w:p w:rsidR="0027337E" w:rsidRDefault="0027337E" w:rsidP="002B2ADB">
            <w:pPr>
              <w:spacing w:after="0"/>
              <w:jc w:val="center"/>
              <w:rPr>
                <w:rFonts w:asciiTheme="minorHAnsi" w:eastAsia="Times New Roman" w:hAnsiTheme="minorHAnsi" w:cstheme="minorHAnsi"/>
                <w:color w:val="000000"/>
                <w:sz w:val="18"/>
                <w:szCs w:val="18"/>
              </w:rPr>
            </w:pPr>
            <w:r>
              <w:rPr>
                <w:rFonts w:asciiTheme="minorHAnsi" w:eastAsia="Times New Roman" w:hAnsiTheme="minorHAnsi" w:cstheme="minorHAnsi"/>
                <w:color w:val="000000"/>
                <w:sz w:val="18"/>
                <w:szCs w:val="18"/>
              </w:rPr>
              <w:t>800</w:t>
            </w:r>
          </w:p>
        </w:tc>
        <w:tc>
          <w:tcPr>
            <w:tcW w:w="880" w:type="dxa"/>
            <w:tcBorders>
              <w:top w:val="nil"/>
              <w:left w:val="nil"/>
              <w:bottom w:val="single" w:sz="4" w:space="0" w:color="auto"/>
              <w:right w:val="nil"/>
            </w:tcBorders>
            <w:hideMark/>
          </w:tcPr>
          <w:p w:rsidR="0027337E" w:rsidRDefault="0027337E" w:rsidP="002B2ADB">
            <w:pPr>
              <w:spacing w:after="0"/>
              <w:jc w:val="center"/>
              <w:rPr>
                <w:rFonts w:asciiTheme="minorHAnsi" w:eastAsia="Times New Roman" w:hAnsiTheme="minorHAnsi" w:cstheme="minorHAnsi"/>
                <w:color w:val="000000"/>
                <w:sz w:val="18"/>
                <w:szCs w:val="18"/>
              </w:rPr>
            </w:pPr>
            <w:r>
              <w:rPr>
                <w:rFonts w:asciiTheme="minorHAnsi" w:eastAsia="Times New Roman" w:hAnsiTheme="minorHAnsi" w:cstheme="minorHAnsi"/>
                <w:color w:val="000000"/>
                <w:sz w:val="18"/>
                <w:szCs w:val="18"/>
              </w:rPr>
              <w:t>800</w:t>
            </w:r>
          </w:p>
        </w:tc>
      </w:tr>
    </w:tbl>
    <w:p w:rsidR="0027337E" w:rsidRPr="0027337E" w:rsidRDefault="0027337E" w:rsidP="00812B42">
      <w:pPr>
        <w:tabs>
          <w:tab w:val="left" w:pos="1690"/>
        </w:tabs>
        <w:spacing w:after="0"/>
        <w:ind w:right="284"/>
        <w:rPr>
          <w:rFonts w:eastAsia="Calibri" w:cs="Times New Roman"/>
          <w:color w:val="000000"/>
          <w:sz w:val="18"/>
          <w:szCs w:val="18"/>
          <w:vertAlign w:val="superscript"/>
        </w:rPr>
      </w:pPr>
    </w:p>
    <w:p w:rsidR="0027337E" w:rsidRPr="0027337E" w:rsidRDefault="0027337E" w:rsidP="0027337E">
      <w:pPr>
        <w:tabs>
          <w:tab w:val="left" w:pos="1690"/>
        </w:tabs>
        <w:spacing w:after="0"/>
        <w:ind w:right="284"/>
        <w:rPr>
          <w:rFonts w:eastAsia="Calibri" w:cs="Times New Roman"/>
          <w:sz w:val="18"/>
          <w:szCs w:val="18"/>
        </w:rPr>
      </w:pPr>
      <w:r w:rsidRPr="0027337E">
        <w:rPr>
          <w:rFonts w:eastAsia="Calibri" w:cs="Times New Roman"/>
          <w:color w:val="000000"/>
          <w:sz w:val="18"/>
          <w:szCs w:val="18"/>
          <w:vertAlign w:val="superscript"/>
        </w:rPr>
        <w:t xml:space="preserve">* </w:t>
      </w:r>
      <w:r w:rsidRPr="0027337E">
        <w:rPr>
          <w:rFonts w:eastAsia="Calibri" w:cs="Times New Roman"/>
          <w:sz w:val="18"/>
          <w:szCs w:val="18"/>
        </w:rPr>
        <w:t>Стойността на показател „</w:t>
      </w:r>
      <w:r w:rsidR="00522E56">
        <w:rPr>
          <w:rFonts w:eastAsia="Calibri" w:cs="Times New Roman"/>
          <w:sz w:val="18"/>
          <w:szCs w:val="18"/>
        </w:rPr>
        <w:t>Б</w:t>
      </w:r>
      <w:r w:rsidRPr="0027337E">
        <w:rPr>
          <w:rFonts w:eastAsia="Calibri" w:cs="Times New Roman"/>
          <w:sz w:val="18"/>
          <w:szCs w:val="18"/>
        </w:rPr>
        <w:t>регоукрепен</w:t>
      </w:r>
      <w:r w:rsidR="00734DE5">
        <w:rPr>
          <w:rFonts w:eastAsia="Calibri" w:cs="Times New Roman"/>
          <w:sz w:val="18"/>
          <w:szCs w:val="18"/>
        </w:rPr>
        <w:t>и участъци“ е на база издадени р</w:t>
      </w:r>
      <w:r w:rsidRPr="0027337E">
        <w:rPr>
          <w:rFonts w:eastAsia="Calibri" w:cs="Times New Roman"/>
          <w:sz w:val="18"/>
          <w:szCs w:val="18"/>
        </w:rPr>
        <w:t>азрешения за ползване на обекти или дължината на брегоукрепените участъци в линейни метри</w:t>
      </w:r>
      <w:r w:rsidR="008543D7">
        <w:rPr>
          <w:rFonts w:eastAsia="Calibri" w:cs="Times New Roman"/>
          <w:sz w:val="18"/>
          <w:szCs w:val="18"/>
        </w:rPr>
        <w:t>.</w:t>
      </w:r>
    </w:p>
    <w:p w:rsidR="0027337E" w:rsidRPr="0027337E" w:rsidRDefault="0027337E" w:rsidP="0027337E">
      <w:pPr>
        <w:tabs>
          <w:tab w:val="left" w:pos="1690"/>
        </w:tabs>
        <w:spacing w:after="0"/>
        <w:ind w:right="284"/>
        <w:rPr>
          <w:rFonts w:eastAsia="Calibri" w:cs="Times New Roman"/>
          <w:sz w:val="18"/>
          <w:szCs w:val="18"/>
          <w:highlight w:val="yellow"/>
        </w:rPr>
      </w:pPr>
    </w:p>
    <w:p w:rsidR="008213FE" w:rsidRPr="00C965A2" w:rsidRDefault="008213FE" w:rsidP="00202515">
      <w:pPr>
        <w:spacing w:before="240"/>
        <w:rPr>
          <w:b/>
          <w:i/>
          <w:color w:val="852010" w:themeColor="accent3" w:themeShade="BF"/>
        </w:rPr>
      </w:pPr>
      <w:r w:rsidRPr="00C965A2">
        <w:rPr>
          <w:b/>
          <w:i/>
          <w:color w:val="852010" w:themeColor="accent3" w:themeShade="BF"/>
        </w:rPr>
        <w:t xml:space="preserve">Финансиране на програми за отстраняване на нанесените щети върху околната среда, настъпили от минали действия или бездействия при приватизация </w:t>
      </w:r>
    </w:p>
    <w:p w:rsidR="00F96AF6" w:rsidRDefault="00F96AF6" w:rsidP="002C5F7D">
      <w:pPr>
        <w:rPr>
          <w:highlight w:val="yellow"/>
        </w:rPr>
      </w:pPr>
      <w:r w:rsidRPr="00F96AF6">
        <w:t xml:space="preserve">През периода 2020-2022 г. ще продължи изпълнението на програмите за отстраняване на нанесените щети върху околната среда, настъпили от минали действия или бездействия при приватизация. Финансирането от държавния бюджет на тези програми е на основание § 9 от преходните и заключителните разпоредби на Закона за опазване на околната среда. С изпълнението на програмите се цели трайно отстраняване на замърсяването от промишлената и добивна дейност на повърхностните и подземни води и почви, с оглед подобряване на работната и околната среда на работещите в предприятията и населените места в района на дружествата. Средствата ще бъдат насочени към изпълнение на програмите за отстраняване на минали екологични щети на „Лукойл Нефтохим Бургас” АД, „Хармони 2012“ ЕООД – Кърджали и „Агрополихим” АД – Девня.  Средствата за периода 2020-2022 г. са в размер </w:t>
      </w:r>
      <w:r w:rsidRPr="00264ABB">
        <w:t xml:space="preserve">по 10,0 млн. </w:t>
      </w:r>
      <w:r w:rsidRPr="00F96AF6">
        <w:t>лв. на година.</w:t>
      </w:r>
    </w:p>
    <w:p w:rsidR="00083361" w:rsidRPr="009D2915" w:rsidRDefault="00083361" w:rsidP="00517D0A">
      <w:pPr>
        <w:pStyle w:val="Heading3"/>
        <w:ind w:left="0"/>
      </w:pPr>
      <w:bookmarkStart w:id="494" w:name="_Toc465070476"/>
      <w:bookmarkStart w:id="495" w:name="_Toc465205526"/>
      <w:r w:rsidRPr="009D2915">
        <w:t>Политика в областта на регионалното развитие</w:t>
      </w:r>
      <w:bookmarkEnd w:id="494"/>
      <w:bookmarkEnd w:id="495"/>
    </w:p>
    <w:p w:rsidR="0027337E" w:rsidRPr="0027337E" w:rsidRDefault="0027337E" w:rsidP="0027337E">
      <w:pPr>
        <w:spacing w:before="120" w:after="0"/>
      </w:pPr>
      <w:r w:rsidRPr="0027337E">
        <w:t>Провежданата политика в областта на регионалното развитие е насочена към създаването на условия за балансирано и устойчиво интегрирано развитие на регионите, целящо общо икономическо и социално развитие на страната, както и развитие на териториалното сътрудничество. Политиката е насочена и към подобряване качеството на жизнената среда на българските граждани и превръщането на българските региони в привлекателно място за инвестиции и бизнес.</w:t>
      </w:r>
    </w:p>
    <w:p w:rsidR="0027337E" w:rsidRPr="007D6981" w:rsidRDefault="0027337E" w:rsidP="00E20575">
      <w:pPr>
        <w:spacing w:before="120" w:after="0"/>
        <w:rPr>
          <w:lang w:val="ru-RU"/>
        </w:rPr>
      </w:pPr>
      <w:r w:rsidRPr="0027337E">
        <w:t>Поставените цели в областта на регионалното развитие се осъществяват от Министерството на регионалното развитие и благоустройството посредством изпълнението на посочените по-долу политики, като към тях са определени и съответните ключови индикатори за измерване на постигнатите резултати в периода 2020-2022 г.</w:t>
      </w:r>
    </w:p>
    <w:p w:rsidR="00812B42" w:rsidRDefault="00812B42" w:rsidP="00812B42">
      <w:pPr>
        <w:pStyle w:val="Heading4"/>
        <w:rPr>
          <w:rFonts w:eastAsia="Times New Roman"/>
        </w:rPr>
      </w:pPr>
      <w:r w:rsidRPr="00812B42">
        <w:rPr>
          <w:rFonts w:eastAsia="Times New Roman"/>
        </w:rPr>
        <w:t>Политика за интегрирано развитие на регионите, ефективно и ефикасно използване на публичните финанси и финансовите инструменти за постигане на растеж и подобряване качеството на жизнената среда</w:t>
      </w:r>
    </w:p>
    <w:p w:rsidR="0027337E" w:rsidRPr="0027337E" w:rsidRDefault="0027337E" w:rsidP="0027337E">
      <w:pPr>
        <w:spacing w:before="120" w:after="0"/>
      </w:pPr>
      <w:r w:rsidRPr="0027337E">
        <w:t>Основен акцент на тази политика е създаването на условия за постигане на устойчиво интегрирано развитие на районите и общините в страната, подпомагане на икономическото и социално развитие на трансграничните региони и намаляване на регионалните различия посредством подобряване на инфраструктурата в граничните райони, насърчаване на сътрудничеството между регионите, както и насърчаване на съвместното трансгранично сътрудничество и балансирано териториално развитие чрез укрепване на мрежата от градове-центрове, подобряване свързаността в районите и качеството на средата в населените места.</w:t>
      </w:r>
    </w:p>
    <w:p w:rsidR="0027337E" w:rsidRPr="0027337E" w:rsidRDefault="0027337E" w:rsidP="0027337E">
      <w:pPr>
        <w:spacing w:before="120" w:after="0"/>
      </w:pPr>
      <w:r w:rsidRPr="0027337E">
        <w:t>Тази политика е насочена към подобряване качеството на жизнената среда и превръщането на регионите в привлекателно място за инвестиции и бизнес, както и прилагане на целенасочени мерки за подпомагане на регионите изоставащи с развитието си, като се отчитат специфичните им нужди и местния потенциал за развитие. Целта е насочена към сближаване в три аспекта – икономическо, социално и териториално сближаване, както и три нива – европейско – с регионите на ЕС, национално – между българските райони и вътрешно регионално – между общините в отделните райони.</w:t>
      </w:r>
    </w:p>
    <w:p w:rsidR="0027337E" w:rsidRPr="0027337E" w:rsidRDefault="0027337E" w:rsidP="0027337E">
      <w:pPr>
        <w:spacing w:before="120" w:after="0"/>
      </w:pPr>
      <w:r w:rsidRPr="0027337E">
        <w:t>Сред основните приоритети е и създаването на балансирана, съразмерно развиваща се и устойчива жилищна система.</w:t>
      </w:r>
    </w:p>
    <w:p w:rsidR="00E20575" w:rsidRPr="007D6981" w:rsidRDefault="0027337E" w:rsidP="00E20575">
      <w:pPr>
        <w:spacing w:before="120" w:after="0"/>
        <w:rPr>
          <w:lang w:val="ru-RU"/>
        </w:rPr>
      </w:pPr>
      <w:r w:rsidRPr="0027337E">
        <w:t>В рамките на политиката се координира изпълнението на Националната програма за енергийна ефективност на многофамилни жилищни сгради.</w:t>
      </w:r>
    </w:p>
    <w:p w:rsidR="00071E32" w:rsidRPr="007D6981" w:rsidRDefault="00071E32" w:rsidP="00E20575">
      <w:pPr>
        <w:spacing w:before="120" w:after="0"/>
        <w:rPr>
          <w:highlight w:val="yellow"/>
          <w:lang w:val="ru-RU"/>
        </w:rPr>
      </w:pPr>
    </w:p>
    <w:p w:rsidR="002920E5" w:rsidRDefault="002920E5" w:rsidP="00AD1AF9">
      <w:pPr>
        <w:rPr>
          <w:b/>
          <w:sz w:val="20"/>
          <w:szCs w:val="20"/>
        </w:rPr>
      </w:pPr>
    </w:p>
    <w:p w:rsidR="002920E5" w:rsidRDefault="002920E5" w:rsidP="00AD1AF9">
      <w:pPr>
        <w:rPr>
          <w:b/>
          <w:sz w:val="20"/>
          <w:szCs w:val="20"/>
        </w:rPr>
      </w:pPr>
    </w:p>
    <w:p w:rsidR="00AD1AF9" w:rsidRDefault="00AD1AF9" w:rsidP="00AD1AF9">
      <w:pPr>
        <w:rPr>
          <w:b/>
          <w:sz w:val="20"/>
          <w:szCs w:val="20"/>
        </w:rPr>
      </w:pPr>
      <w:r w:rsidRPr="006F6A1F">
        <w:rPr>
          <w:b/>
          <w:sz w:val="20"/>
          <w:szCs w:val="20"/>
        </w:rPr>
        <w:t>КЛЮЧОВИ ИНДИКАТОРИ ЗА ИЗПЪЛНЕНИЕ И ЦЕЛЕВИ СТОЙНОСТИ</w:t>
      </w:r>
    </w:p>
    <w:tbl>
      <w:tblPr>
        <w:tblStyle w:val="TableGrid"/>
        <w:tblW w:w="8954"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021"/>
        <w:gridCol w:w="892"/>
        <w:gridCol w:w="1149"/>
        <w:gridCol w:w="851"/>
        <w:gridCol w:w="980"/>
        <w:gridCol w:w="1061"/>
      </w:tblGrid>
      <w:tr w:rsidR="0027337E" w:rsidRPr="00ED48A7" w:rsidTr="001C6B75">
        <w:trPr>
          <w:trHeight w:val="64"/>
          <w:tblHeader/>
          <w:jc w:val="center"/>
        </w:trPr>
        <w:tc>
          <w:tcPr>
            <w:tcW w:w="4021" w:type="dxa"/>
            <w:tcBorders>
              <w:top w:val="single" w:sz="4" w:space="0" w:color="auto"/>
              <w:left w:val="nil"/>
              <w:bottom w:val="nil"/>
              <w:right w:val="nil"/>
            </w:tcBorders>
            <w:vAlign w:val="center"/>
            <w:hideMark/>
          </w:tcPr>
          <w:p w:rsidR="0027337E" w:rsidRPr="00ED48A7" w:rsidRDefault="0027337E" w:rsidP="002B2ADB">
            <w:pPr>
              <w:spacing w:after="0"/>
              <w:jc w:val="center"/>
              <w:rPr>
                <w:rFonts w:cs="Times New Roman"/>
                <w:b/>
                <w:bCs/>
                <w:i/>
                <w:iCs/>
                <w:sz w:val="18"/>
                <w:szCs w:val="18"/>
                <w:lang w:eastAsia="en-US"/>
              </w:rPr>
            </w:pPr>
            <w:r w:rsidRPr="00ED48A7">
              <w:rPr>
                <w:rFonts w:cs="Times New Roman"/>
                <w:b/>
                <w:bCs/>
                <w:i/>
                <w:iCs/>
                <w:sz w:val="18"/>
                <w:szCs w:val="18"/>
                <w:lang w:eastAsia="en-US"/>
              </w:rPr>
              <w:t>Политика за интегрирано развитие на</w:t>
            </w:r>
          </w:p>
          <w:p w:rsidR="0027337E" w:rsidRPr="00ED48A7" w:rsidRDefault="0027337E" w:rsidP="002B2ADB">
            <w:pPr>
              <w:spacing w:after="0"/>
              <w:jc w:val="center"/>
              <w:rPr>
                <w:rFonts w:cs="Times New Roman"/>
                <w:b/>
                <w:bCs/>
                <w:i/>
                <w:iCs/>
                <w:sz w:val="18"/>
                <w:szCs w:val="18"/>
                <w:lang w:eastAsia="en-US"/>
              </w:rPr>
            </w:pPr>
            <w:r w:rsidRPr="00ED48A7">
              <w:rPr>
                <w:rFonts w:cs="Times New Roman"/>
                <w:b/>
                <w:bCs/>
                <w:i/>
                <w:iCs/>
                <w:sz w:val="18"/>
                <w:szCs w:val="18"/>
                <w:lang w:eastAsia="en-US"/>
              </w:rPr>
              <w:t>регионите, ефективно и ефикасно</w:t>
            </w:r>
          </w:p>
          <w:p w:rsidR="0027337E" w:rsidRPr="00ED48A7" w:rsidRDefault="0027337E" w:rsidP="002B2ADB">
            <w:pPr>
              <w:spacing w:after="0"/>
              <w:jc w:val="center"/>
              <w:rPr>
                <w:rFonts w:cs="Times New Roman"/>
                <w:b/>
                <w:bCs/>
                <w:i/>
                <w:iCs/>
                <w:sz w:val="18"/>
                <w:szCs w:val="18"/>
                <w:lang w:eastAsia="en-US"/>
              </w:rPr>
            </w:pPr>
            <w:r w:rsidRPr="00ED48A7">
              <w:rPr>
                <w:rFonts w:cs="Times New Roman"/>
                <w:b/>
                <w:bCs/>
                <w:i/>
                <w:iCs/>
                <w:sz w:val="18"/>
                <w:szCs w:val="18"/>
                <w:lang w:eastAsia="en-US"/>
              </w:rPr>
              <w:t>използване на публичните финанси и</w:t>
            </w:r>
          </w:p>
          <w:p w:rsidR="0027337E" w:rsidRPr="00ED48A7" w:rsidRDefault="0027337E" w:rsidP="002B2ADB">
            <w:pPr>
              <w:spacing w:after="0"/>
              <w:jc w:val="center"/>
              <w:rPr>
                <w:rFonts w:cs="Times New Roman"/>
                <w:b/>
                <w:bCs/>
                <w:i/>
                <w:iCs/>
                <w:sz w:val="18"/>
                <w:szCs w:val="18"/>
                <w:lang w:eastAsia="en-US"/>
              </w:rPr>
            </w:pPr>
            <w:r w:rsidRPr="00ED48A7">
              <w:rPr>
                <w:rFonts w:cs="Times New Roman"/>
                <w:b/>
                <w:bCs/>
                <w:i/>
                <w:iCs/>
                <w:sz w:val="18"/>
                <w:szCs w:val="18"/>
                <w:lang w:eastAsia="en-US"/>
              </w:rPr>
              <w:t>финансовите инструменти за постигане</w:t>
            </w:r>
          </w:p>
          <w:p w:rsidR="0027337E" w:rsidRPr="00ED48A7" w:rsidRDefault="0027337E" w:rsidP="002B2ADB">
            <w:pPr>
              <w:spacing w:after="0"/>
              <w:jc w:val="center"/>
              <w:rPr>
                <w:rFonts w:cs="Times New Roman"/>
                <w:b/>
                <w:bCs/>
                <w:i/>
                <w:iCs/>
                <w:sz w:val="18"/>
                <w:szCs w:val="18"/>
                <w:lang w:eastAsia="en-US"/>
              </w:rPr>
            </w:pPr>
            <w:r w:rsidRPr="00ED48A7">
              <w:rPr>
                <w:rFonts w:cs="Times New Roman"/>
                <w:b/>
                <w:bCs/>
                <w:i/>
                <w:iCs/>
                <w:sz w:val="18"/>
                <w:szCs w:val="18"/>
                <w:lang w:eastAsia="en-US"/>
              </w:rPr>
              <w:t>на растеж и подобряване качеството на</w:t>
            </w:r>
          </w:p>
          <w:p w:rsidR="0027337E" w:rsidRPr="00ED48A7" w:rsidRDefault="0027337E" w:rsidP="002B2ADB">
            <w:pPr>
              <w:spacing w:after="0"/>
              <w:jc w:val="center"/>
              <w:rPr>
                <w:rFonts w:cs="Times New Roman"/>
                <w:bCs/>
                <w:i/>
                <w:iCs/>
                <w:sz w:val="18"/>
                <w:szCs w:val="18"/>
                <w:lang w:eastAsia="en-US"/>
              </w:rPr>
            </w:pPr>
            <w:r w:rsidRPr="00ED48A7">
              <w:rPr>
                <w:rFonts w:cs="Times New Roman"/>
                <w:b/>
                <w:bCs/>
                <w:i/>
                <w:iCs/>
                <w:sz w:val="18"/>
                <w:szCs w:val="18"/>
                <w:lang w:eastAsia="en-US"/>
              </w:rPr>
              <w:t>жизнената среда</w:t>
            </w:r>
          </w:p>
        </w:tc>
        <w:tc>
          <w:tcPr>
            <w:tcW w:w="892" w:type="dxa"/>
            <w:tcBorders>
              <w:top w:val="single" w:sz="4" w:space="0" w:color="auto"/>
              <w:left w:val="nil"/>
              <w:bottom w:val="nil"/>
              <w:right w:val="nil"/>
            </w:tcBorders>
            <w:shd w:val="clear" w:color="auto" w:fill="F2F2F2" w:themeFill="background1" w:themeFillShade="F2"/>
            <w:vAlign w:val="center"/>
            <w:hideMark/>
          </w:tcPr>
          <w:p w:rsidR="0027337E" w:rsidRPr="00ED48A7" w:rsidRDefault="0027337E" w:rsidP="002B2ADB">
            <w:pPr>
              <w:rPr>
                <w:rFonts w:cs="Times New Roman"/>
                <w:sz w:val="18"/>
                <w:szCs w:val="18"/>
                <w:lang w:eastAsia="en-US"/>
              </w:rPr>
            </w:pPr>
          </w:p>
        </w:tc>
        <w:tc>
          <w:tcPr>
            <w:tcW w:w="4041" w:type="dxa"/>
            <w:gridSpan w:val="4"/>
            <w:tcBorders>
              <w:top w:val="single" w:sz="4" w:space="0" w:color="auto"/>
              <w:left w:val="nil"/>
              <w:bottom w:val="single" w:sz="4" w:space="0" w:color="auto"/>
              <w:right w:val="nil"/>
            </w:tcBorders>
            <w:vAlign w:val="center"/>
            <w:hideMark/>
          </w:tcPr>
          <w:p w:rsidR="0027337E" w:rsidRPr="00ED48A7" w:rsidRDefault="0027337E" w:rsidP="002B2ADB">
            <w:pPr>
              <w:jc w:val="center"/>
              <w:rPr>
                <w:rFonts w:cs="Times New Roman"/>
                <w:b/>
                <w:bCs/>
                <w:color w:val="000000"/>
                <w:sz w:val="18"/>
                <w:szCs w:val="18"/>
                <w:lang w:eastAsia="en-US"/>
              </w:rPr>
            </w:pPr>
            <w:r w:rsidRPr="00ED48A7">
              <w:rPr>
                <w:rFonts w:cs="Times New Roman"/>
                <w:b/>
                <w:bCs/>
                <w:color w:val="000000"/>
                <w:sz w:val="18"/>
                <w:szCs w:val="18"/>
                <w:lang w:eastAsia="en-US"/>
              </w:rPr>
              <w:t>Целева стойност</w:t>
            </w:r>
          </w:p>
        </w:tc>
      </w:tr>
      <w:tr w:rsidR="0027337E" w:rsidRPr="00ED48A7" w:rsidTr="001C6B75">
        <w:trPr>
          <w:trHeight w:val="74"/>
          <w:tblHeader/>
          <w:jc w:val="center"/>
        </w:trPr>
        <w:tc>
          <w:tcPr>
            <w:tcW w:w="4021" w:type="dxa"/>
            <w:tcBorders>
              <w:top w:val="nil"/>
              <w:left w:val="nil"/>
              <w:bottom w:val="single" w:sz="4" w:space="0" w:color="auto"/>
              <w:right w:val="nil"/>
            </w:tcBorders>
            <w:vAlign w:val="center"/>
            <w:hideMark/>
          </w:tcPr>
          <w:p w:rsidR="0027337E" w:rsidRPr="00ED48A7" w:rsidRDefault="0027337E" w:rsidP="002B2ADB">
            <w:pPr>
              <w:spacing w:after="0"/>
              <w:jc w:val="center"/>
              <w:rPr>
                <w:rFonts w:cs="Times New Roman"/>
                <w:b/>
                <w:bCs/>
                <w:iCs/>
                <w:sz w:val="18"/>
                <w:szCs w:val="18"/>
                <w:lang w:eastAsia="en-US"/>
              </w:rPr>
            </w:pPr>
            <w:r w:rsidRPr="00ED48A7">
              <w:rPr>
                <w:rFonts w:cs="Times New Roman"/>
                <w:b/>
                <w:bCs/>
                <w:iCs/>
                <w:sz w:val="18"/>
                <w:szCs w:val="18"/>
                <w:lang w:eastAsia="en-US"/>
              </w:rPr>
              <w:t>Наименование на индикатора</w:t>
            </w:r>
          </w:p>
        </w:tc>
        <w:tc>
          <w:tcPr>
            <w:tcW w:w="892" w:type="dxa"/>
            <w:tcBorders>
              <w:top w:val="nil"/>
              <w:left w:val="nil"/>
              <w:bottom w:val="single" w:sz="4" w:space="0" w:color="auto"/>
              <w:right w:val="nil"/>
            </w:tcBorders>
            <w:shd w:val="clear" w:color="auto" w:fill="F2F2F2" w:themeFill="background1" w:themeFillShade="F2"/>
            <w:vAlign w:val="center"/>
            <w:hideMark/>
          </w:tcPr>
          <w:p w:rsidR="0027337E" w:rsidRPr="00ED48A7" w:rsidRDefault="0027337E" w:rsidP="002B2ADB">
            <w:pPr>
              <w:jc w:val="center"/>
              <w:rPr>
                <w:rFonts w:cs="Times New Roman"/>
                <w:b/>
                <w:bCs/>
                <w:color w:val="000000"/>
                <w:sz w:val="18"/>
                <w:szCs w:val="18"/>
                <w:lang w:eastAsia="en-US"/>
              </w:rPr>
            </w:pPr>
            <w:r w:rsidRPr="00ED48A7">
              <w:rPr>
                <w:rFonts w:cs="Times New Roman"/>
                <w:b/>
                <w:bCs/>
                <w:color w:val="000000"/>
                <w:sz w:val="18"/>
                <w:szCs w:val="18"/>
                <w:lang w:eastAsia="en-US"/>
              </w:rPr>
              <w:t>Мерна единица</w:t>
            </w:r>
          </w:p>
        </w:tc>
        <w:tc>
          <w:tcPr>
            <w:tcW w:w="1149" w:type="dxa"/>
            <w:tcBorders>
              <w:top w:val="single" w:sz="4" w:space="0" w:color="auto"/>
              <w:left w:val="nil"/>
              <w:bottom w:val="single" w:sz="4" w:space="0" w:color="auto"/>
              <w:right w:val="nil"/>
            </w:tcBorders>
            <w:vAlign w:val="center"/>
            <w:hideMark/>
          </w:tcPr>
          <w:p w:rsidR="0027337E" w:rsidRPr="00ED48A7" w:rsidRDefault="0027337E" w:rsidP="002B2ADB">
            <w:pPr>
              <w:jc w:val="center"/>
              <w:rPr>
                <w:rFonts w:cs="Times New Roman"/>
                <w:b/>
                <w:bCs/>
                <w:i/>
                <w:iCs/>
                <w:color w:val="000000"/>
                <w:sz w:val="18"/>
                <w:szCs w:val="18"/>
                <w:lang w:eastAsia="en-US"/>
              </w:rPr>
            </w:pPr>
            <w:r w:rsidRPr="00ED48A7">
              <w:rPr>
                <w:rFonts w:cs="Times New Roman"/>
                <w:b/>
                <w:bCs/>
                <w:i/>
                <w:iCs/>
                <w:color w:val="000000"/>
                <w:sz w:val="18"/>
                <w:szCs w:val="18"/>
                <w:lang w:eastAsia="en-US"/>
              </w:rPr>
              <w:t>Програма 2019 г.</w:t>
            </w:r>
          </w:p>
        </w:tc>
        <w:tc>
          <w:tcPr>
            <w:tcW w:w="851" w:type="dxa"/>
            <w:tcBorders>
              <w:top w:val="single" w:sz="4" w:space="0" w:color="auto"/>
              <w:left w:val="nil"/>
              <w:bottom w:val="single" w:sz="4" w:space="0" w:color="auto"/>
              <w:right w:val="nil"/>
            </w:tcBorders>
            <w:vAlign w:val="center"/>
            <w:hideMark/>
          </w:tcPr>
          <w:p w:rsidR="0027337E" w:rsidRPr="00ED48A7" w:rsidRDefault="0027337E" w:rsidP="002B2ADB">
            <w:pPr>
              <w:jc w:val="center"/>
              <w:rPr>
                <w:rFonts w:cs="Times New Roman"/>
                <w:b/>
                <w:bCs/>
                <w:i/>
                <w:iCs/>
                <w:color w:val="000000"/>
                <w:sz w:val="18"/>
                <w:szCs w:val="18"/>
                <w:lang w:eastAsia="en-US"/>
              </w:rPr>
            </w:pPr>
            <w:r w:rsidRPr="00ED48A7">
              <w:rPr>
                <w:rFonts w:cs="Times New Roman"/>
                <w:b/>
                <w:bCs/>
                <w:i/>
                <w:iCs/>
                <w:color w:val="000000"/>
                <w:sz w:val="18"/>
                <w:szCs w:val="18"/>
                <w:lang w:eastAsia="en-US"/>
              </w:rPr>
              <w:t>Проект  2020 г.</w:t>
            </w:r>
          </w:p>
        </w:tc>
        <w:tc>
          <w:tcPr>
            <w:tcW w:w="980" w:type="dxa"/>
            <w:tcBorders>
              <w:top w:val="single" w:sz="4" w:space="0" w:color="auto"/>
              <w:left w:val="nil"/>
              <w:bottom w:val="single" w:sz="4" w:space="0" w:color="auto"/>
              <w:right w:val="nil"/>
            </w:tcBorders>
            <w:vAlign w:val="center"/>
            <w:hideMark/>
          </w:tcPr>
          <w:p w:rsidR="0027337E" w:rsidRPr="00ED48A7" w:rsidRDefault="0027337E" w:rsidP="002B2ADB">
            <w:pPr>
              <w:jc w:val="center"/>
              <w:rPr>
                <w:rFonts w:cs="Times New Roman"/>
                <w:b/>
                <w:bCs/>
                <w:i/>
                <w:iCs/>
                <w:color w:val="000000"/>
                <w:sz w:val="18"/>
                <w:szCs w:val="18"/>
                <w:lang w:eastAsia="en-US"/>
              </w:rPr>
            </w:pPr>
            <w:r w:rsidRPr="00ED48A7">
              <w:rPr>
                <w:rFonts w:cs="Times New Roman"/>
                <w:b/>
                <w:bCs/>
                <w:i/>
                <w:iCs/>
                <w:color w:val="000000"/>
                <w:sz w:val="18"/>
                <w:szCs w:val="18"/>
                <w:lang w:eastAsia="en-US"/>
              </w:rPr>
              <w:t>Прогноза 2021 г.</w:t>
            </w:r>
          </w:p>
        </w:tc>
        <w:tc>
          <w:tcPr>
            <w:tcW w:w="1061" w:type="dxa"/>
            <w:tcBorders>
              <w:top w:val="single" w:sz="4" w:space="0" w:color="auto"/>
              <w:left w:val="nil"/>
              <w:bottom w:val="single" w:sz="4" w:space="0" w:color="auto"/>
              <w:right w:val="nil"/>
            </w:tcBorders>
            <w:vAlign w:val="center"/>
            <w:hideMark/>
          </w:tcPr>
          <w:p w:rsidR="0027337E" w:rsidRPr="00ED48A7" w:rsidRDefault="0027337E" w:rsidP="002B2ADB">
            <w:pPr>
              <w:jc w:val="center"/>
              <w:rPr>
                <w:rFonts w:cs="Times New Roman"/>
                <w:i/>
                <w:iCs/>
                <w:color w:val="000000"/>
                <w:sz w:val="18"/>
                <w:szCs w:val="18"/>
                <w:lang w:eastAsia="en-US"/>
              </w:rPr>
            </w:pPr>
            <w:r w:rsidRPr="00ED48A7">
              <w:rPr>
                <w:rFonts w:cs="Times New Roman"/>
                <w:b/>
                <w:bCs/>
                <w:i/>
                <w:iCs/>
                <w:color w:val="000000"/>
                <w:sz w:val="18"/>
                <w:szCs w:val="18"/>
                <w:lang w:eastAsia="en-US"/>
              </w:rPr>
              <w:t>Прогноза 2022 г.</w:t>
            </w:r>
          </w:p>
        </w:tc>
      </w:tr>
      <w:tr w:rsidR="0027337E" w:rsidRPr="00ED48A7" w:rsidTr="00A14763">
        <w:trPr>
          <w:trHeight w:val="960"/>
          <w:jc w:val="center"/>
        </w:trPr>
        <w:tc>
          <w:tcPr>
            <w:tcW w:w="4021" w:type="dxa"/>
            <w:tcBorders>
              <w:top w:val="single" w:sz="4" w:space="0" w:color="auto"/>
              <w:left w:val="nil"/>
              <w:bottom w:val="nil"/>
              <w:right w:val="nil"/>
            </w:tcBorders>
            <w:hideMark/>
          </w:tcPr>
          <w:p w:rsidR="0027337E" w:rsidRPr="00ED48A7" w:rsidRDefault="0027337E" w:rsidP="002B2ADB">
            <w:pPr>
              <w:widowControl w:val="0"/>
              <w:tabs>
                <w:tab w:val="left" w:pos="258"/>
              </w:tabs>
              <w:autoSpaceDE w:val="0"/>
              <w:autoSpaceDN w:val="0"/>
              <w:adjustRightInd w:val="0"/>
              <w:spacing w:after="0"/>
              <w:rPr>
                <w:rFonts w:cs="Times New Roman"/>
                <w:color w:val="000000"/>
                <w:sz w:val="18"/>
                <w:szCs w:val="18"/>
              </w:rPr>
            </w:pPr>
            <w:r w:rsidRPr="00ED48A7">
              <w:rPr>
                <w:rFonts w:cs="Times New Roman"/>
                <w:color w:val="000000"/>
                <w:sz w:val="18"/>
                <w:szCs w:val="18"/>
              </w:rPr>
              <w:t>1. Изпълнение на Пътна карта за нови подходи в регионалната политика с цел създаване на условия за балансирано териториално развитие (с натрупване)</w:t>
            </w:r>
          </w:p>
        </w:tc>
        <w:tc>
          <w:tcPr>
            <w:tcW w:w="892" w:type="dxa"/>
            <w:tcBorders>
              <w:top w:val="single" w:sz="4" w:space="0" w:color="auto"/>
              <w:left w:val="nil"/>
              <w:bottom w:val="nil"/>
              <w:right w:val="nil"/>
            </w:tcBorders>
            <w:shd w:val="clear" w:color="auto" w:fill="F2F2F2" w:themeFill="background1" w:themeFillShade="F2"/>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w:t>
            </w:r>
          </w:p>
        </w:tc>
        <w:tc>
          <w:tcPr>
            <w:tcW w:w="1149" w:type="dxa"/>
            <w:tcBorders>
              <w:top w:val="single" w:sz="4" w:space="0" w:color="auto"/>
              <w:left w:val="nil"/>
              <w:bottom w:val="nil"/>
              <w:right w:val="nil"/>
            </w:tcBorders>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60</w:t>
            </w:r>
          </w:p>
        </w:tc>
        <w:tc>
          <w:tcPr>
            <w:tcW w:w="851" w:type="dxa"/>
            <w:tcBorders>
              <w:top w:val="single" w:sz="4" w:space="0" w:color="auto"/>
              <w:left w:val="nil"/>
              <w:bottom w:val="nil"/>
              <w:right w:val="nil"/>
            </w:tcBorders>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70</w:t>
            </w:r>
          </w:p>
        </w:tc>
        <w:tc>
          <w:tcPr>
            <w:tcW w:w="980" w:type="dxa"/>
            <w:tcBorders>
              <w:top w:val="single" w:sz="4" w:space="0" w:color="auto"/>
              <w:left w:val="nil"/>
              <w:bottom w:val="nil"/>
              <w:right w:val="nil"/>
            </w:tcBorders>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90</w:t>
            </w:r>
          </w:p>
        </w:tc>
        <w:tc>
          <w:tcPr>
            <w:tcW w:w="1061" w:type="dxa"/>
            <w:tcBorders>
              <w:top w:val="single" w:sz="4" w:space="0" w:color="auto"/>
              <w:left w:val="nil"/>
              <w:bottom w:val="nil"/>
              <w:right w:val="nil"/>
            </w:tcBorders>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100</w:t>
            </w:r>
          </w:p>
          <w:p w:rsidR="0027337E" w:rsidRPr="00ED48A7" w:rsidRDefault="0027337E" w:rsidP="002B2ADB">
            <w:pPr>
              <w:rPr>
                <w:rFonts w:cs="Times New Roman"/>
                <w:color w:val="000000"/>
                <w:sz w:val="18"/>
                <w:szCs w:val="18"/>
                <w:lang w:eastAsia="en-US"/>
              </w:rPr>
            </w:pPr>
            <w:r w:rsidRPr="00ED48A7">
              <w:rPr>
                <w:rFonts w:cs="Times New Roman"/>
                <w:color w:val="000000"/>
                <w:sz w:val="18"/>
                <w:szCs w:val="18"/>
                <w:lang w:eastAsia="en-US"/>
              </w:rPr>
              <w:t> </w:t>
            </w:r>
          </w:p>
        </w:tc>
      </w:tr>
      <w:tr w:rsidR="0027337E" w:rsidRPr="00ED48A7" w:rsidTr="002B2ADB">
        <w:trPr>
          <w:trHeight w:val="70"/>
          <w:jc w:val="center"/>
        </w:trPr>
        <w:tc>
          <w:tcPr>
            <w:tcW w:w="4021" w:type="dxa"/>
            <w:tcBorders>
              <w:top w:val="nil"/>
              <w:left w:val="nil"/>
              <w:bottom w:val="single" w:sz="4" w:space="0" w:color="auto"/>
              <w:right w:val="nil"/>
            </w:tcBorders>
            <w:hideMark/>
          </w:tcPr>
          <w:p w:rsidR="0027337E" w:rsidRPr="00ED48A7" w:rsidRDefault="0027337E" w:rsidP="002B2ADB">
            <w:pPr>
              <w:widowControl w:val="0"/>
              <w:tabs>
                <w:tab w:val="left" w:pos="258"/>
              </w:tabs>
              <w:autoSpaceDE w:val="0"/>
              <w:autoSpaceDN w:val="0"/>
              <w:adjustRightInd w:val="0"/>
              <w:spacing w:after="0"/>
              <w:rPr>
                <w:rFonts w:cs="Times New Roman"/>
                <w:color w:val="000000"/>
                <w:sz w:val="18"/>
                <w:szCs w:val="18"/>
              </w:rPr>
            </w:pPr>
            <w:r w:rsidRPr="00ED48A7">
              <w:rPr>
                <w:rFonts w:cs="Times New Roman"/>
                <w:color w:val="000000"/>
                <w:sz w:val="18"/>
                <w:szCs w:val="18"/>
              </w:rPr>
              <w:t>2. Намаляване на дела на мигриралото население (вътрешна миграция)</w:t>
            </w:r>
          </w:p>
        </w:tc>
        <w:tc>
          <w:tcPr>
            <w:tcW w:w="892" w:type="dxa"/>
            <w:tcBorders>
              <w:top w:val="nil"/>
              <w:left w:val="nil"/>
              <w:bottom w:val="single" w:sz="4" w:space="0" w:color="auto"/>
              <w:right w:val="nil"/>
            </w:tcBorders>
            <w:shd w:val="clear" w:color="auto" w:fill="F2F2F2" w:themeFill="background1" w:themeFillShade="F2"/>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w:t>
            </w:r>
          </w:p>
        </w:tc>
        <w:tc>
          <w:tcPr>
            <w:tcW w:w="1149" w:type="dxa"/>
            <w:tcBorders>
              <w:top w:val="nil"/>
              <w:left w:val="nil"/>
              <w:bottom w:val="single" w:sz="4" w:space="0" w:color="auto"/>
              <w:right w:val="nil"/>
            </w:tcBorders>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2,02</w:t>
            </w:r>
          </w:p>
        </w:tc>
        <w:tc>
          <w:tcPr>
            <w:tcW w:w="851" w:type="dxa"/>
            <w:tcBorders>
              <w:top w:val="nil"/>
              <w:left w:val="nil"/>
              <w:bottom w:val="single" w:sz="4" w:space="0" w:color="auto"/>
              <w:right w:val="nil"/>
            </w:tcBorders>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2,02</w:t>
            </w:r>
          </w:p>
        </w:tc>
        <w:tc>
          <w:tcPr>
            <w:tcW w:w="980" w:type="dxa"/>
            <w:tcBorders>
              <w:top w:val="nil"/>
              <w:left w:val="nil"/>
              <w:bottom w:val="single" w:sz="4" w:space="0" w:color="auto"/>
              <w:right w:val="nil"/>
            </w:tcBorders>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1,98</w:t>
            </w:r>
          </w:p>
        </w:tc>
        <w:tc>
          <w:tcPr>
            <w:tcW w:w="1061" w:type="dxa"/>
            <w:tcBorders>
              <w:top w:val="nil"/>
              <w:left w:val="nil"/>
              <w:bottom w:val="single" w:sz="4" w:space="0" w:color="auto"/>
              <w:right w:val="nil"/>
            </w:tcBorders>
            <w:hideMark/>
          </w:tcPr>
          <w:p w:rsidR="0027337E" w:rsidRPr="00ED48A7" w:rsidRDefault="0027337E" w:rsidP="002B2ADB">
            <w:pPr>
              <w:jc w:val="center"/>
              <w:rPr>
                <w:rFonts w:cs="Times New Roman"/>
                <w:color w:val="000000"/>
                <w:sz w:val="18"/>
                <w:szCs w:val="18"/>
                <w:lang w:eastAsia="en-US"/>
              </w:rPr>
            </w:pPr>
            <w:r w:rsidRPr="00ED48A7">
              <w:rPr>
                <w:rFonts w:cs="Times New Roman"/>
                <w:color w:val="000000"/>
                <w:sz w:val="18"/>
                <w:szCs w:val="18"/>
                <w:lang w:eastAsia="en-US"/>
              </w:rPr>
              <w:t>1,95 </w:t>
            </w:r>
          </w:p>
        </w:tc>
      </w:tr>
    </w:tbl>
    <w:p w:rsidR="00CF30A5" w:rsidRDefault="00CF30A5" w:rsidP="00AD1AF9">
      <w:pPr>
        <w:rPr>
          <w:b/>
          <w:sz w:val="20"/>
          <w:szCs w:val="20"/>
          <w:lang w:val="en-US"/>
        </w:rPr>
      </w:pPr>
    </w:p>
    <w:p w:rsidR="0027337E" w:rsidRPr="0027337E" w:rsidRDefault="0027337E" w:rsidP="00AD1AF9">
      <w:pPr>
        <w:rPr>
          <w:b/>
          <w:sz w:val="20"/>
          <w:szCs w:val="20"/>
          <w:lang w:val="en-US"/>
        </w:rPr>
      </w:pPr>
    </w:p>
    <w:p w:rsidR="00CF30A5" w:rsidRDefault="00CF30A5" w:rsidP="00CF30A5">
      <w:pPr>
        <w:pStyle w:val="Heading4"/>
        <w:rPr>
          <w:rFonts w:eastAsia="Times New Roman"/>
        </w:rPr>
      </w:pPr>
      <w:r w:rsidRPr="00CF30A5">
        <w:rPr>
          <w:rFonts w:eastAsia="Times New Roman"/>
        </w:rPr>
        <w:t>Политика за поддържане, модернизация и изграждане на техническата инфраструктура, свързана с подобряване на транспортната достъпност и интегрираното управление на водните ресурси и геозащита</w:t>
      </w:r>
    </w:p>
    <w:p w:rsidR="0027337E" w:rsidRPr="007D6981" w:rsidRDefault="0027337E" w:rsidP="00E20575">
      <w:pPr>
        <w:spacing w:before="120" w:after="0"/>
        <w:rPr>
          <w:lang w:val="ru-RU"/>
        </w:rPr>
      </w:pPr>
    </w:p>
    <w:p w:rsidR="0027337E" w:rsidRPr="0027337E" w:rsidRDefault="0027337E" w:rsidP="0027337E">
      <w:pPr>
        <w:spacing w:before="120" w:after="0"/>
      </w:pPr>
      <w:r w:rsidRPr="0027337E">
        <w:t>Политиката е свързана с дейности за управление, поддържане и изграждане на ВиК инфраструктурата с цел осигуряване на съответствие с директивите на Европейския съюз в областта на водите и устойчивост при предоставяне на ВиК услугите.</w:t>
      </w:r>
    </w:p>
    <w:p w:rsidR="0027337E" w:rsidRPr="0027337E" w:rsidRDefault="0027337E" w:rsidP="0027337E">
      <w:pPr>
        <w:spacing w:before="120" w:after="0"/>
      </w:pPr>
      <w:r w:rsidRPr="0027337E">
        <w:t xml:space="preserve">През 2020 г. </w:t>
      </w:r>
      <w:r w:rsidR="00A30D81" w:rsidRPr="0027337E">
        <w:t xml:space="preserve">е предвидено </w:t>
      </w:r>
      <w:r w:rsidRPr="0027337E">
        <w:t>чрез бюджета на Министерство на регионалното развитие и благоустройството да бъдат финансирани дейности по реконструкция на ВиК мрежи и съоръжения на територията на 28-те области в страната в размер на 13,1 млн.</w:t>
      </w:r>
      <w:r w:rsidRPr="007D6981">
        <w:rPr>
          <w:lang w:val="ru-RU"/>
        </w:rPr>
        <w:t xml:space="preserve"> </w:t>
      </w:r>
      <w:r w:rsidRPr="0027337E">
        <w:t>лв., както и инфраструктурни благоустройствени обекти за подобряване на уличната мрежа в райони в страната, избрани по определени критерии, съгласно одобрена Методика за приоритизиране на благоустройствени проекти предложени от общинските администрации в Република България в размер на 1,8 млн.</w:t>
      </w:r>
      <w:r w:rsidRPr="007D6981">
        <w:rPr>
          <w:lang w:val="ru-RU"/>
        </w:rPr>
        <w:t xml:space="preserve"> </w:t>
      </w:r>
      <w:r w:rsidRPr="0027337E">
        <w:t>лв.</w:t>
      </w:r>
    </w:p>
    <w:p w:rsidR="0027337E" w:rsidRPr="0027337E" w:rsidRDefault="0027337E" w:rsidP="0027337E">
      <w:pPr>
        <w:spacing w:before="120" w:after="0"/>
      </w:pPr>
      <w:r w:rsidRPr="0027337E">
        <w:t>Приоритетите по отношение на устройството на територията са свързани с осигуряване на териториалното развитие, устройството на територията, административно-териториалното устройство, децентрализацията, изграждането и развитието на техническата инфраструктура и благоустрояването на урбанизираните територии (населени места и селищни образувания), в съответствие с националните стратегически документи, приоритети и програми в сферата на пространственото развитие, пътната инфраструктура, ВиК инфраструктурата.</w:t>
      </w:r>
    </w:p>
    <w:p w:rsidR="0027337E" w:rsidRPr="007D6981" w:rsidRDefault="0027337E" w:rsidP="00E20575">
      <w:pPr>
        <w:spacing w:before="120" w:after="0"/>
        <w:rPr>
          <w:lang w:val="ru-RU"/>
        </w:rPr>
      </w:pPr>
      <w:r w:rsidRPr="0027337E">
        <w:t>По отношение на пътната инфраструктура в рамките на тази политика се изпълняват дейности свързани с проектирането, строителството, експлоатацията и поддръжката на републиканските пътища извън градовете и при пътните възли, като част от основната дейност е и придобиването на земи и поддържане на правото на преминаване на пътищата през чужда територия.</w:t>
      </w:r>
    </w:p>
    <w:p w:rsidR="00E20575" w:rsidRDefault="00E20575" w:rsidP="00E20575">
      <w:pPr>
        <w:spacing w:before="120" w:after="0"/>
        <w:rPr>
          <w:highlight w:val="yellow"/>
        </w:rPr>
      </w:pPr>
    </w:p>
    <w:p w:rsidR="00347827" w:rsidRDefault="00347827" w:rsidP="00E20575">
      <w:pPr>
        <w:spacing w:before="120" w:after="0"/>
        <w:rPr>
          <w:highlight w:val="yellow"/>
        </w:rPr>
      </w:pPr>
    </w:p>
    <w:p w:rsidR="00347827" w:rsidRDefault="00347827" w:rsidP="00E20575">
      <w:pPr>
        <w:spacing w:before="120" w:after="0"/>
        <w:rPr>
          <w:highlight w:val="yellow"/>
        </w:rPr>
      </w:pPr>
    </w:p>
    <w:p w:rsidR="00347827" w:rsidRDefault="00347827" w:rsidP="00E20575">
      <w:pPr>
        <w:spacing w:before="120" w:after="0"/>
        <w:rPr>
          <w:highlight w:val="yellow"/>
        </w:rPr>
      </w:pPr>
    </w:p>
    <w:p w:rsidR="002920E5" w:rsidRDefault="002920E5" w:rsidP="00AD1AF9"/>
    <w:p w:rsidR="00C46ED5" w:rsidRDefault="00AD1AF9" w:rsidP="00AD1AF9">
      <w:pPr>
        <w:rPr>
          <w:b/>
          <w:sz w:val="20"/>
          <w:szCs w:val="20"/>
        </w:rPr>
      </w:pPr>
      <w:r w:rsidRPr="006F6A1F">
        <w:rPr>
          <w:b/>
          <w:sz w:val="20"/>
          <w:szCs w:val="20"/>
        </w:rPr>
        <w:t>КЛЮЧОВИ ИНДИКАТОРИ ЗА ИЗПЪЛНЕНИЕ И ЦЕЛЕВИ СТОЙНОСТИ</w:t>
      </w:r>
    </w:p>
    <w:p w:rsidR="00CF30A5" w:rsidRDefault="00CF30A5" w:rsidP="00EF2CE0">
      <w:pPr>
        <w:spacing w:before="120" w:after="0"/>
        <w:rPr>
          <w:rFonts w:eastAsia="Calibri" w:cs="Times New Roman"/>
          <w:sz w:val="16"/>
          <w:szCs w:val="16"/>
          <w:lang w:eastAsia="en-US"/>
        </w:rPr>
      </w:pPr>
    </w:p>
    <w:tbl>
      <w:tblPr>
        <w:tblStyle w:val="TableGrid"/>
        <w:tblW w:w="9923"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3"/>
        <w:gridCol w:w="1029"/>
        <w:gridCol w:w="1163"/>
        <w:gridCol w:w="998"/>
        <w:gridCol w:w="1115"/>
        <w:gridCol w:w="1115"/>
      </w:tblGrid>
      <w:tr w:rsidR="0027337E" w:rsidRPr="007832CC" w:rsidTr="00264ABB">
        <w:trPr>
          <w:trHeight w:val="204"/>
          <w:tblHeader/>
        </w:trPr>
        <w:tc>
          <w:tcPr>
            <w:tcW w:w="4503" w:type="dxa"/>
            <w:tcBorders>
              <w:top w:val="single" w:sz="4" w:space="0" w:color="auto"/>
              <w:left w:val="nil"/>
              <w:bottom w:val="nil"/>
              <w:right w:val="nil"/>
            </w:tcBorders>
            <w:vAlign w:val="center"/>
            <w:hideMark/>
          </w:tcPr>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Политика в областта за поддържане, модернизация и</w:t>
            </w:r>
          </w:p>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изграждане на техническата</w:t>
            </w:r>
          </w:p>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инфраструктура, свързана с подобряване</w:t>
            </w:r>
          </w:p>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на транспортната достъпност и</w:t>
            </w:r>
          </w:p>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интегрираното управление на водните</w:t>
            </w:r>
          </w:p>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ресурси и геозащита</w:t>
            </w:r>
          </w:p>
        </w:tc>
        <w:tc>
          <w:tcPr>
            <w:tcW w:w="1029" w:type="dxa"/>
            <w:vMerge w:val="restart"/>
            <w:tcBorders>
              <w:top w:val="single" w:sz="4" w:space="0" w:color="auto"/>
              <w:left w:val="nil"/>
              <w:bottom w:val="single" w:sz="4" w:space="0" w:color="auto"/>
              <w:right w:val="nil"/>
            </w:tcBorders>
            <w:shd w:val="clear" w:color="auto" w:fill="F2F2F2" w:themeFill="background1" w:themeFillShade="F2"/>
            <w:vAlign w:val="center"/>
            <w:hideMark/>
          </w:tcPr>
          <w:p w:rsidR="0027337E" w:rsidRPr="002C7884" w:rsidRDefault="0027337E" w:rsidP="002B2ADB">
            <w:pPr>
              <w:spacing w:line="0" w:lineRule="atLeast"/>
              <w:ind w:left="80"/>
              <w:jc w:val="center"/>
              <w:rPr>
                <w:rFonts w:cs="Arial"/>
                <w:b/>
                <w:sz w:val="18"/>
                <w:szCs w:val="18"/>
              </w:rPr>
            </w:pPr>
            <w:r w:rsidRPr="002C7884">
              <w:rPr>
                <w:rFonts w:cs="Arial"/>
                <w:b/>
                <w:sz w:val="18"/>
                <w:szCs w:val="18"/>
              </w:rPr>
              <w:t>Мерна единица</w:t>
            </w:r>
          </w:p>
        </w:tc>
        <w:tc>
          <w:tcPr>
            <w:tcW w:w="4391" w:type="dxa"/>
            <w:gridSpan w:val="4"/>
            <w:tcBorders>
              <w:top w:val="single" w:sz="4" w:space="0" w:color="auto"/>
              <w:left w:val="nil"/>
              <w:bottom w:val="single" w:sz="4" w:space="0" w:color="auto"/>
              <w:right w:val="nil"/>
            </w:tcBorders>
            <w:vAlign w:val="center"/>
            <w:hideMark/>
          </w:tcPr>
          <w:p w:rsidR="0027337E" w:rsidRPr="0027337E" w:rsidRDefault="0027337E" w:rsidP="002B2ADB">
            <w:pPr>
              <w:spacing w:line="0" w:lineRule="atLeast"/>
              <w:ind w:left="80"/>
              <w:jc w:val="center"/>
              <w:rPr>
                <w:rFonts w:cs="Arial"/>
                <w:b/>
                <w:sz w:val="18"/>
                <w:szCs w:val="18"/>
              </w:rPr>
            </w:pPr>
            <w:r w:rsidRPr="0027337E">
              <w:rPr>
                <w:rFonts w:cs="Arial"/>
                <w:b/>
                <w:sz w:val="18"/>
                <w:szCs w:val="18"/>
              </w:rPr>
              <w:t>Целева стойност</w:t>
            </w:r>
          </w:p>
        </w:tc>
      </w:tr>
      <w:tr w:rsidR="0027337E" w:rsidRPr="007832CC" w:rsidTr="00264ABB">
        <w:trPr>
          <w:trHeight w:val="60"/>
          <w:tblHeader/>
        </w:trPr>
        <w:tc>
          <w:tcPr>
            <w:tcW w:w="4503" w:type="dxa"/>
            <w:tcBorders>
              <w:top w:val="nil"/>
              <w:left w:val="nil"/>
              <w:bottom w:val="single" w:sz="4" w:space="0" w:color="auto"/>
              <w:right w:val="nil"/>
            </w:tcBorders>
            <w:vAlign w:val="center"/>
            <w:hideMark/>
          </w:tcPr>
          <w:p w:rsidR="0027337E" w:rsidRPr="00F837DF" w:rsidRDefault="0027337E" w:rsidP="002B2ADB">
            <w:pPr>
              <w:spacing w:after="0" w:line="0" w:lineRule="atLeast"/>
              <w:ind w:left="80"/>
              <w:jc w:val="center"/>
              <w:rPr>
                <w:rFonts w:cs="Arial"/>
                <w:b/>
                <w:sz w:val="18"/>
                <w:szCs w:val="18"/>
              </w:rPr>
            </w:pPr>
            <w:r w:rsidRPr="00F837DF">
              <w:rPr>
                <w:rFonts w:cs="Arial"/>
                <w:b/>
                <w:sz w:val="18"/>
                <w:szCs w:val="18"/>
              </w:rPr>
              <w:t>Наименование на индикатора</w:t>
            </w:r>
          </w:p>
        </w:tc>
        <w:tc>
          <w:tcPr>
            <w:tcW w:w="0" w:type="auto"/>
            <w:vMerge/>
            <w:tcBorders>
              <w:top w:val="single" w:sz="4" w:space="0" w:color="auto"/>
              <w:left w:val="nil"/>
              <w:bottom w:val="single" w:sz="4" w:space="0" w:color="auto"/>
              <w:right w:val="nil"/>
            </w:tcBorders>
            <w:shd w:val="clear" w:color="auto" w:fill="F2F2F2" w:themeFill="background1" w:themeFillShade="F2"/>
            <w:vAlign w:val="center"/>
            <w:hideMark/>
          </w:tcPr>
          <w:p w:rsidR="0027337E" w:rsidRPr="007832CC" w:rsidRDefault="0027337E" w:rsidP="002B2ADB">
            <w:pPr>
              <w:spacing w:after="0" w:line="0" w:lineRule="atLeast"/>
              <w:ind w:left="80"/>
              <w:jc w:val="center"/>
              <w:rPr>
                <w:rFonts w:cs="Arial"/>
                <w:b/>
                <w:i/>
                <w:sz w:val="18"/>
                <w:szCs w:val="18"/>
              </w:rPr>
            </w:pPr>
          </w:p>
        </w:tc>
        <w:tc>
          <w:tcPr>
            <w:tcW w:w="1163" w:type="dxa"/>
            <w:tcBorders>
              <w:top w:val="single" w:sz="4" w:space="0" w:color="auto"/>
              <w:left w:val="nil"/>
              <w:bottom w:val="single" w:sz="4" w:space="0" w:color="auto"/>
              <w:right w:val="nil"/>
            </w:tcBorders>
            <w:vAlign w:val="center"/>
            <w:hideMark/>
          </w:tcPr>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Програма 2019 г.</w:t>
            </w:r>
          </w:p>
        </w:tc>
        <w:tc>
          <w:tcPr>
            <w:tcW w:w="998" w:type="dxa"/>
            <w:tcBorders>
              <w:top w:val="single" w:sz="4" w:space="0" w:color="auto"/>
              <w:left w:val="nil"/>
              <w:bottom w:val="single" w:sz="4" w:space="0" w:color="auto"/>
              <w:right w:val="nil"/>
            </w:tcBorders>
            <w:vAlign w:val="center"/>
            <w:hideMark/>
          </w:tcPr>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Проект 2020 г.</w:t>
            </w:r>
          </w:p>
        </w:tc>
        <w:tc>
          <w:tcPr>
            <w:tcW w:w="1115" w:type="dxa"/>
            <w:tcBorders>
              <w:top w:val="single" w:sz="4" w:space="0" w:color="auto"/>
              <w:left w:val="nil"/>
              <w:bottom w:val="single" w:sz="4" w:space="0" w:color="auto"/>
              <w:right w:val="nil"/>
            </w:tcBorders>
            <w:vAlign w:val="center"/>
            <w:hideMark/>
          </w:tcPr>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Прогноза 2021 г.</w:t>
            </w:r>
          </w:p>
        </w:tc>
        <w:tc>
          <w:tcPr>
            <w:tcW w:w="1115" w:type="dxa"/>
            <w:tcBorders>
              <w:top w:val="single" w:sz="4" w:space="0" w:color="auto"/>
              <w:left w:val="nil"/>
              <w:bottom w:val="single" w:sz="4" w:space="0" w:color="auto"/>
              <w:right w:val="nil"/>
            </w:tcBorders>
            <w:vAlign w:val="center"/>
            <w:hideMark/>
          </w:tcPr>
          <w:p w:rsidR="0027337E" w:rsidRPr="007832CC" w:rsidRDefault="0027337E" w:rsidP="002B2ADB">
            <w:pPr>
              <w:spacing w:after="0" w:line="0" w:lineRule="atLeast"/>
              <w:ind w:left="80"/>
              <w:jc w:val="center"/>
              <w:rPr>
                <w:rFonts w:cs="Arial"/>
                <w:b/>
                <w:i/>
                <w:sz w:val="18"/>
                <w:szCs w:val="18"/>
              </w:rPr>
            </w:pPr>
            <w:r w:rsidRPr="007832CC">
              <w:rPr>
                <w:rFonts w:cs="Arial"/>
                <w:b/>
                <w:i/>
                <w:sz w:val="18"/>
                <w:szCs w:val="18"/>
              </w:rPr>
              <w:t>Прогноза 2022 г.</w:t>
            </w:r>
          </w:p>
        </w:tc>
      </w:tr>
      <w:tr w:rsidR="0027337E" w:rsidRPr="007832CC" w:rsidTr="00264ABB">
        <w:trPr>
          <w:trHeight w:val="1452"/>
        </w:trPr>
        <w:tc>
          <w:tcPr>
            <w:tcW w:w="4503" w:type="dxa"/>
            <w:tcBorders>
              <w:top w:val="single" w:sz="4" w:space="0" w:color="auto"/>
              <w:left w:val="nil"/>
              <w:bottom w:val="nil"/>
              <w:right w:val="nil"/>
            </w:tcBorders>
            <w:hideMark/>
          </w:tcPr>
          <w:p w:rsidR="0027337E" w:rsidRPr="007832CC" w:rsidRDefault="0027337E" w:rsidP="002B2ADB">
            <w:pPr>
              <w:rPr>
                <w:rFonts w:cs="Times New Roman"/>
                <w:color w:val="000000"/>
                <w:sz w:val="18"/>
                <w:szCs w:val="18"/>
                <w:lang w:eastAsia="en-US"/>
              </w:rPr>
            </w:pPr>
            <w:r w:rsidRPr="007832CC">
              <w:rPr>
                <w:rFonts w:cs="Times New Roman"/>
                <w:color w:val="000000"/>
                <w:sz w:val="18"/>
                <w:szCs w:val="18"/>
                <w:lang w:eastAsia="en-US"/>
              </w:rPr>
              <w:t>1. Подобряване качеството на предоставяната услуга „Водоснабдяване и канализация“, чрез увеличаване броя на жителите, на които се предоставя питейна вода с подобрени качествени показатели и/или на които се осигурява непрекъснатост на водоснабдяването и/или на които се предоставя услугата отвеждане и пречистване на отпадъчните води.</w:t>
            </w:r>
          </w:p>
        </w:tc>
        <w:tc>
          <w:tcPr>
            <w:tcW w:w="1029" w:type="dxa"/>
            <w:tcBorders>
              <w:top w:val="single" w:sz="4" w:space="0" w:color="auto"/>
              <w:left w:val="nil"/>
              <w:bottom w:val="nil"/>
              <w:right w:val="nil"/>
            </w:tcBorders>
            <w:shd w:val="clear" w:color="auto" w:fill="F2F2F2" w:themeFill="background1" w:themeFillShade="F2"/>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брой жители</w:t>
            </w:r>
          </w:p>
        </w:tc>
        <w:tc>
          <w:tcPr>
            <w:tcW w:w="1163" w:type="dxa"/>
            <w:tcBorders>
              <w:top w:val="single" w:sz="4" w:space="0" w:color="auto"/>
              <w:left w:val="nil"/>
              <w:bottom w:val="nil"/>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540 000</w:t>
            </w:r>
          </w:p>
        </w:tc>
        <w:tc>
          <w:tcPr>
            <w:tcW w:w="998" w:type="dxa"/>
            <w:tcBorders>
              <w:top w:val="single" w:sz="4" w:space="0" w:color="auto"/>
              <w:left w:val="nil"/>
              <w:bottom w:val="nil"/>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540 000</w:t>
            </w:r>
          </w:p>
        </w:tc>
        <w:tc>
          <w:tcPr>
            <w:tcW w:w="1115" w:type="dxa"/>
            <w:tcBorders>
              <w:top w:val="single" w:sz="4" w:space="0" w:color="auto"/>
              <w:left w:val="nil"/>
              <w:bottom w:val="nil"/>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600 000</w:t>
            </w:r>
          </w:p>
        </w:tc>
        <w:tc>
          <w:tcPr>
            <w:tcW w:w="1115" w:type="dxa"/>
            <w:tcBorders>
              <w:top w:val="single" w:sz="4" w:space="0" w:color="auto"/>
              <w:left w:val="nil"/>
              <w:bottom w:val="nil"/>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640 000</w:t>
            </w:r>
          </w:p>
        </w:tc>
      </w:tr>
      <w:tr w:rsidR="0027337E" w:rsidRPr="007832CC" w:rsidTr="00264ABB">
        <w:trPr>
          <w:trHeight w:val="70"/>
        </w:trPr>
        <w:tc>
          <w:tcPr>
            <w:tcW w:w="4503" w:type="dxa"/>
            <w:tcBorders>
              <w:top w:val="nil"/>
              <w:left w:val="nil"/>
              <w:bottom w:val="nil"/>
              <w:right w:val="nil"/>
            </w:tcBorders>
            <w:hideMark/>
          </w:tcPr>
          <w:p w:rsidR="0027337E" w:rsidRPr="007832CC" w:rsidRDefault="0027337E" w:rsidP="002B2ADB">
            <w:pPr>
              <w:rPr>
                <w:rFonts w:cs="Times New Roman"/>
                <w:color w:val="000000"/>
                <w:sz w:val="18"/>
                <w:szCs w:val="18"/>
                <w:lang w:eastAsia="en-US"/>
              </w:rPr>
            </w:pPr>
            <w:r w:rsidRPr="007832CC">
              <w:rPr>
                <w:rFonts w:cs="Times New Roman"/>
                <w:color w:val="000000"/>
                <w:sz w:val="18"/>
                <w:szCs w:val="18"/>
                <w:lang w:eastAsia="en-US"/>
              </w:rPr>
              <w:t>2. Обезпечаване на територията на страната с общи устройствени планове.</w:t>
            </w:r>
            <w:r w:rsidRPr="007832CC">
              <w:rPr>
                <w:rFonts w:cs="Times New Roman"/>
                <w:b/>
                <w:bCs/>
                <w:color w:val="000000"/>
                <w:sz w:val="18"/>
                <w:szCs w:val="18"/>
                <w:lang w:eastAsia="en-US"/>
              </w:rPr>
              <w:t xml:space="preserve"> </w:t>
            </w:r>
            <w:r w:rsidRPr="007832CC">
              <w:rPr>
                <w:rFonts w:cs="Times New Roman"/>
                <w:i/>
                <w:iCs/>
                <w:color w:val="000000"/>
                <w:sz w:val="18"/>
                <w:szCs w:val="18"/>
                <w:lang w:eastAsia="en-US"/>
              </w:rPr>
              <w:t>(нарастване на броя на общините с действащи общи устройствени планове)</w:t>
            </w:r>
          </w:p>
        </w:tc>
        <w:tc>
          <w:tcPr>
            <w:tcW w:w="1029" w:type="dxa"/>
            <w:tcBorders>
              <w:top w:val="nil"/>
              <w:left w:val="nil"/>
              <w:bottom w:val="nil"/>
              <w:right w:val="nil"/>
            </w:tcBorders>
            <w:shd w:val="clear" w:color="auto" w:fill="F2F2F2" w:themeFill="background1" w:themeFillShade="F2"/>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w:t>
            </w:r>
          </w:p>
        </w:tc>
        <w:tc>
          <w:tcPr>
            <w:tcW w:w="1163" w:type="dxa"/>
            <w:tcBorders>
              <w:top w:val="nil"/>
              <w:left w:val="nil"/>
              <w:bottom w:val="nil"/>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20</w:t>
            </w:r>
          </w:p>
        </w:tc>
        <w:tc>
          <w:tcPr>
            <w:tcW w:w="998" w:type="dxa"/>
            <w:tcBorders>
              <w:top w:val="nil"/>
              <w:left w:val="nil"/>
              <w:bottom w:val="nil"/>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25</w:t>
            </w:r>
          </w:p>
        </w:tc>
        <w:tc>
          <w:tcPr>
            <w:tcW w:w="1115" w:type="dxa"/>
            <w:tcBorders>
              <w:top w:val="nil"/>
              <w:left w:val="nil"/>
              <w:bottom w:val="nil"/>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30</w:t>
            </w:r>
          </w:p>
        </w:tc>
        <w:tc>
          <w:tcPr>
            <w:tcW w:w="1115" w:type="dxa"/>
            <w:tcBorders>
              <w:top w:val="nil"/>
              <w:left w:val="nil"/>
              <w:bottom w:val="nil"/>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15</w:t>
            </w:r>
          </w:p>
        </w:tc>
      </w:tr>
      <w:tr w:rsidR="0027337E" w:rsidRPr="007832CC" w:rsidTr="00264ABB">
        <w:trPr>
          <w:trHeight w:val="123"/>
        </w:trPr>
        <w:tc>
          <w:tcPr>
            <w:tcW w:w="4503" w:type="dxa"/>
            <w:tcBorders>
              <w:top w:val="nil"/>
              <w:left w:val="nil"/>
              <w:bottom w:val="single" w:sz="4" w:space="0" w:color="auto"/>
              <w:right w:val="nil"/>
            </w:tcBorders>
            <w:hideMark/>
          </w:tcPr>
          <w:p w:rsidR="0027337E" w:rsidRPr="007832CC" w:rsidRDefault="0027337E" w:rsidP="002B2ADB">
            <w:pPr>
              <w:rPr>
                <w:rFonts w:cs="Times New Roman"/>
                <w:color w:val="000000"/>
                <w:sz w:val="18"/>
                <w:szCs w:val="18"/>
                <w:lang w:eastAsia="en-US"/>
              </w:rPr>
            </w:pPr>
            <w:r w:rsidRPr="007832CC">
              <w:rPr>
                <w:rFonts w:cs="Times New Roman"/>
                <w:color w:val="000000"/>
                <w:sz w:val="18"/>
                <w:szCs w:val="18"/>
                <w:lang w:eastAsia="en-US"/>
              </w:rPr>
              <w:t>3. Нарастване потенциала на АТЕ за ефективно и ефикасно планиране, управление и използване на ресурсите за устойчиво местно развитие (нарастване дела на общините, отчитащи резултати над средните за страната по показатели за финансова самостоятелност и инвестиционна активност)</w:t>
            </w:r>
          </w:p>
        </w:tc>
        <w:tc>
          <w:tcPr>
            <w:tcW w:w="1029" w:type="dxa"/>
            <w:tcBorders>
              <w:top w:val="nil"/>
              <w:left w:val="nil"/>
              <w:bottom w:val="single" w:sz="4" w:space="0" w:color="auto"/>
              <w:right w:val="nil"/>
            </w:tcBorders>
            <w:shd w:val="clear" w:color="auto" w:fill="F2F2F2" w:themeFill="background1" w:themeFillShade="F2"/>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w:t>
            </w:r>
          </w:p>
        </w:tc>
        <w:tc>
          <w:tcPr>
            <w:tcW w:w="1163" w:type="dxa"/>
            <w:tcBorders>
              <w:top w:val="nil"/>
              <w:left w:val="nil"/>
              <w:bottom w:val="single" w:sz="4" w:space="0" w:color="auto"/>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1,5</w:t>
            </w:r>
          </w:p>
        </w:tc>
        <w:tc>
          <w:tcPr>
            <w:tcW w:w="998" w:type="dxa"/>
            <w:tcBorders>
              <w:top w:val="nil"/>
              <w:left w:val="nil"/>
              <w:bottom w:val="single" w:sz="4" w:space="0" w:color="auto"/>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1,5</w:t>
            </w:r>
          </w:p>
        </w:tc>
        <w:tc>
          <w:tcPr>
            <w:tcW w:w="1115" w:type="dxa"/>
            <w:tcBorders>
              <w:top w:val="nil"/>
              <w:left w:val="nil"/>
              <w:bottom w:val="single" w:sz="4" w:space="0" w:color="auto"/>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1,5</w:t>
            </w:r>
          </w:p>
        </w:tc>
        <w:tc>
          <w:tcPr>
            <w:tcW w:w="1115" w:type="dxa"/>
            <w:tcBorders>
              <w:top w:val="nil"/>
              <w:left w:val="nil"/>
              <w:bottom w:val="single" w:sz="4" w:space="0" w:color="auto"/>
              <w:right w:val="nil"/>
            </w:tcBorders>
            <w:hideMark/>
          </w:tcPr>
          <w:p w:rsidR="0027337E" w:rsidRPr="007832CC" w:rsidRDefault="0027337E" w:rsidP="002B2ADB">
            <w:pPr>
              <w:jc w:val="center"/>
              <w:rPr>
                <w:rFonts w:cs="Times New Roman"/>
                <w:color w:val="000000"/>
                <w:sz w:val="18"/>
                <w:szCs w:val="18"/>
                <w:lang w:eastAsia="en-US"/>
              </w:rPr>
            </w:pPr>
            <w:r w:rsidRPr="007832CC">
              <w:rPr>
                <w:rFonts w:cs="Times New Roman"/>
                <w:color w:val="000000"/>
                <w:sz w:val="18"/>
                <w:szCs w:val="18"/>
                <w:lang w:eastAsia="en-US"/>
              </w:rPr>
              <w:t>1,5</w:t>
            </w:r>
          </w:p>
        </w:tc>
      </w:tr>
    </w:tbl>
    <w:p w:rsidR="00CF30A5" w:rsidRDefault="00CF30A5" w:rsidP="00EF2CE0">
      <w:pPr>
        <w:spacing w:before="120" w:after="0"/>
        <w:rPr>
          <w:rFonts w:eastAsia="Calibri" w:cs="Times New Roman"/>
          <w:sz w:val="16"/>
          <w:szCs w:val="16"/>
          <w:lang w:eastAsia="en-US"/>
        </w:rPr>
      </w:pPr>
    </w:p>
    <w:p w:rsidR="00CF30A5" w:rsidRDefault="00CF30A5" w:rsidP="00CF30A5">
      <w:pPr>
        <w:pStyle w:val="Heading4"/>
        <w:rPr>
          <w:rFonts w:eastAsia="Times New Roman"/>
        </w:rPr>
      </w:pPr>
      <w:r w:rsidRPr="00CF30A5">
        <w:rPr>
          <w:rFonts w:eastAsia="Times New Roman"/>
        </w:rPr>
        <w:t>Политика в областта на подобряване на инвестиционния процес чрез усъвършенстване на информационните системи на кадастъра и имотния регистър, подобряване качеството на превантивния и текущ контрол в строителството и на строителните продукти</w:t>
      </w:r>
    </w:p>
    <w:p w:rsidR="002B2ADB" w:rsidRPr="007D6981" w:rsidRDefault="002B2ADB" w:rsidP="00E20575">
      <w:pPr>
        <w:spacing w:before="120" w:after="0"/>
        <w:rPr>
          <w:lang w:val="ru-RU"/>
        </w:rPr>
      </w:pPr>
    </w:p>
    <w:p w:rsidR="002B2ADB" w:rsidRPr="002B2ADB" w:rsidRDefault="002B2ADB" w:rsidP="002B2ADB">
      <w:pPr>
        <w:spacing w:before="120" w:after="0"/>
      </w:pPr>
      <w:r w:rsidRPr="002B2ADB">
        <w:t>В рамките на тази политика се осъществяват дейности по създаване, поддържане и предоставяне на геодезическа, картографска и кадастрална информация в Република България, както и по осигуряване достъп до пространствените данни и предоставянето на услуги, свързани с предоставянето на информация, използвана основно за сделки с недвижими имоти, при ипотеките, за нуждите на планирането, инвестиционното проектиране, изграждането на инфраструктурни обекти, решаването на проблеми при бедствия, опазване на околната среда и други.</w:t>
      </w:r>
    </w:p>
    <w:p w:rsidR="002B2ADB" w:rsidRPr="002B2ADB" w:rsidRDefault="002B2ADB" w:rsidP="002B2ADB">
      <w:pPr>
        <w:spacing w:before="120" w:after="0"/>
      </w:pPr>
      <w:r w:rsidRPr="002B2ADB">
        <w:t>Държавната политика в областта на националния строителен контрол се осъществява с цел ограничаване на последствията от извършеното незаконно строителство и осъществяване на превантивен контрол за недопускане на нарушения на нормативната уредба по устройство на територията. Целта е строежите да се изпълняват по начин, гарантиращ безопасни и здравословни условия в икономически обоснован експлоатационен срок. В рамките на тази политика се извършва контрол по спазването на Закона за устройство на територията и на нормативните актове по прилагането му при проектирането и строителството.</w:t>
      </w:r>
    </w:p>
    <w:p w:rsidR="001E4074" w:rsidRDefault="001E4074" w:rsidP="0051695D">
      <w:pPr>
        <w:spacing w:after="120"/>
        <w:rPr>
          <w:b/>
          <w:sz w:val="20"/>
          <w:szCs w:val="20"/>
        </w:rPr>
      </w:pPr>
    </w:p>
    <w:p w:rsidR="00347827" w:rsidRDefault="00347827" w:rsidP="0051695D">
      <w:pPr>
        <w:spacing w:after="120"/>
        <w:rPr>
          <w:b/>
          <w:sz w:val="20"/>
          <w:szCs w:val="20"/>
        </w:rPr>
      </w:pPr>
    </w:p>
    <w:p w:rsidR="004D5326" w:rsidRDefault="004D5326" w:rsidP="0051695D">
      <w:pPr>
        <w:spacing w:after="120"/>
        <w:rPr>
          <w:b/>
          <w:sz w:val="20"/>
          <w:szCs w:val="20"/>
        </w:rPr>
      </w:pPr>
    </w:p>
    <w:p w:rsidR="00347827" w:rsidRDefault="00347827" w:rsidP="0051695D">
      <w:pPr>
        <w:spacing w:after="120"/>
        <w:rPr>
          <w:b/>
          <w:sz w:val="20"/>
          <w:szCs w:val="20"/>
        </w:rPr>
      </w:pPr>
    </w:p>
    <w:p w:rsidR="00AD1AF9" w:rsidRDefault="00AD1AF9" w:rsidP="0051695D">
      <w:pPr>
        <w:spacing w:after="120"/>
        <w:rPr>
          <w:b/>
          <w:sz w:val="20"/>
          <w:szCs w:val="20"/>
        </w:rPr>
      </w:pPr>
      <w:r w:rsidRPr="006F6A1F">
        <w:rPr>
          <w:b/>
          <w:sz w:val="20"/>
          <w:szCs w:val="20"/>
        </w:rPr>
        <w:t>КЛЮЧОВИ ИНДИКАТОРИ ЗА ИЗПЪЛНЕНИЕ И ЦЕЛЕВИ СТОЙНОСТИ</w:t>
      </w:r>
    </w:p>
    <w:p w:rsidR="00CF30A5" w:rsidRPr="002B2ADB" w:rsidRDefault="00CF30A5" w:rsidP="0051695D">
      <w:pPr>
        <w:spacing w:after="120"/>
        <w:rPr>
          <w:b/>
          <w:sz w:val="20"/>
          <w:szCs w:val="20"/>
        </w:rPr>
      </w:pPr>
    </w:p>
    <w:tbl>
      <w:tblPr>
        <w:tblStyle w:val="TableGrid"/>
        <w:tblW w:w="9378"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18"/>
        <w:gridCol w:w="972"/>
        <w:gridCol w:w="1390"/>
        <w:gridCol w:w="928"/>
        <w:gridCol w:w="1035"/>
        <w:gridCol w:w="1035"/>
      </w:tblGrid>
      <w:tr w:rsidR="002B2ADB" w:rsidRPr="002B2ADB" w:rsidTr="001C6B75">
        <w:trPr>
          <w:trHeight w:val="402"/>
          <w:tblHeader/>
          <w:jc w:val="center"/>
        </w:trPr>
        <w:tc>
          <w:tcPr>
            <w:tcW w:w="4123" w:type="dxa"/>
            <w:tcBorders>
              <w:top w:val="single" w:sz="4" w:space="0" w:color="auto"/>
              <w:left w:val="nil"/>
              <w:bottom w:val="nil"/>
              <w:right w:val="nil"/>
            </w:tcBorders>
            <w:vAlign w:val="center"/>
            <w:hideMark/>
          </w:tcPr>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Политика в областта на подобряване на</w:t>
            </w:r>
          </w:p>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инвестиционния процес чрез</w:t>
            </w:r>
          </w:p>
          <w:p w:rsidR="002B2ADB" w:rsidRPr="002B2ADB" w:rsidRDefault="002B2ADB" w:rsidP="002B2ADB">
            <w:pPr>
              <w:spacing w:after="0" w:line="0" w:lineRule="atLeast"/>
              <w:ind w:left="80" w:right="175"/>
              <w:jc w:val="center"/>
              <w:rPr>
                <w:rFonts w:cs="Arial"/>
                <w:b/>
                <w:i/>
                <w:sz w:val="18"/>
                <w:szCs w:val="18"/>
              </w:rPr>
            </w:pPr>
            <w:r w:rsidRPr="002B2ADB">
              <w:rPr>
                <w:rFonts w:cs="Arial"/>
                <w:b/>
                <w:i/>
                <w:sz w:val="18"/>
                <w:szCs w:val="18"/>
              </w:rPr>
              <w:t>усъвършенстване на информационните</w:t>
            </w:r>
          </w:p>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системи на кадастъра и имотния</w:t>
            </w:r>
          </w:p>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регистър, подобряване качеството на</w:t>
            </w:r>
          </w:p>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превантивния и текущ контрол в</w:t>
            </w:r>
          </w:p>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строителството и на строителните</w:t>
            </w:r>
          </w:p>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продукти</w:t>
            </w:r>
          </w:p>
        </w:tc>
        <w:tc>
          <w:tcPr>
            <w:tcW w:w="851" w:type="dxa"/>
            <w:tcBorders>
              <w:top w:val="single" w:sz="4" w:space="0" w:color="auto"/>
              <w:left w:val="nil"/>
              <w:bottom w:val="nil"/>
              <w:right w:val="nil"/>
            </w:tcBorders>
            <w:shd w:val="clear" w:color="auto" w:fill="F2F2F2" w:themeFill="background1" w:themeFillShade="F2"/>
            <w:vAlign w:val="center"/>
            <w:hideMark/>
          </w:tcPr>
          <w:p w:rsidR="002B2ADB" w:rsidRPr="002B2ADB" w:rsidRDefault="002B2ADB" w:rsidP="002B2ADB">
            <w:pPr>
              <w:spacing w:line="0" w:lineRule="atLeast"/>
              <w:ind w:left="80"/>
              <w:jc w:val="center"/>
              <w:rPr>
                <w:rFonts w:cs="Arial"/>
                <w:b/>
                <w:i/>
                <w:sz w:val="18"/>
                <w:szCs w:val="18"/>
              </w:rPr>
            </w:pPr>
          </w:p>
        </w:tc>
        <w:tc>
          <w:tcPr>
            <w:tcW w:w="4404" w:type="dxa"/>
            <w:gridSpan w:val="4"/>
            <w:tcBorders>
              <w:top w:val="single" w:sz="4" w:space="0" w:color="auto"/>
              <w:left w:val="nil"/>
              <w:bottom w:val="single" w:sz="4" w:space="0" w:color="auto"/>
              <w:right w:val="nil"/>
            </w:tcBorders>
            <w:vAlign w:val="center"/>
            <w:hideMark/>
          </w:tcPr>
          <w:p w:rsidR="002B2ADB" w:rsidRPr="002B2ADB" w:rsidRDefault="002B2ADB" w:rsidP="002B2ADB">
            <w:pPr>
              <w:spacing w:line="0" w:lineRule="atLeast"/>
              <w:ind w:left="80"/>
              <w:jc w:val="center"/>
              <w:rPr>
                <w:rFonts w:cs="Arial"/>
                <w:b/>
                <w:sz w:val="18"/>
                <w:szCs w:val="18"/>
              </w:rPr>
            </w:pPr>
            <w:r w:rsidRPr="002B2ADB">
              <w:rPr>
                <w:rFonts w:cs="Arial"/>
                <w:b/>
                <w:sz w:val="18"/>
                <w:szCs w:val="18"/>
              </w:rPr>
              <w:t>Целева стойност</w:t>
            </w:r>
          </w:p>
        </w:tc>
      </w:tr>
      <w:tr w:rsidR="002B2ADB" w:rsidRPr="002B2ADB" w:rsidTr="001C6B75">
        <w:trPr>
          <w:trHeight w:val="480"/>
          <w:tblHeader/>
          <w:jc w:val="center"/>
        </w:trPr>
        <w:tc>
          <w:tcPr>
            <w:tcW w:w="4123" w:type="dxa"/>
            <w:tcBorders>
              <w:top w:val="nil"/>
              <w:left w:val="nil"/>
              <w:bottom w:val="single" w:sz="4" w:space="0" w:color="auto"/>
              <w:right w:val="nil"/>
            </w:tcBorders>
            <w:vAlign w:val="center"/>
            <w:hideMark/>
          </w:tcPr>
          <w:p w:rsidR="002B2ADB" w:rsidRPr="002B2ADB" w:rsidRDefault="002B2ADB" w:rsidP="002B2ADB">
            <w:pPr>
              <w:spacing w:after="0" w:line="0" w:lineRule="atLeast"/>
              <w:ind w:left="80"/>
              <w:jc w:val="center"/>
              <w:rPr>
                <w:rFonts w:cs="Arial"/>
                <w:b/>
                <w:sz w:val="18"/>
                <w:szCs w:val="18"/>
              </w:rPr>
            </w:pPr>
            <w:r w:rsidRPr="002B2ADB">
              <w:rPr>
                <w:rFonts w:cs="Arial"/>
                <w:b/>
                <w:sz w:val="18"/>
                <w:szCs w:val="18"/>
              </w:rPr>
              <w:t>Наименование на индикатора</w:t>
            </w:r>
          </w:p>
        </w:tc>
        <w:tc>
          <w:tcPr>
            <w:tcW w:w="851" w:type="dxa"/>
            <w:tcBorders>
              <w:top w:val="nil"/>
              <w:left w:val="nil"/>
              <w:bottom w:val="single" w:sz="4" w:space="0" w:color="auto"/>
              <w:right w:val="nil"/>
            </w:tcBorders>
            <w:shd w:val="clear" w:color="auto" w:fill="F2F2F2" w:themeFill="background1" w:themeFillShade="F2"/>
            <w:vAlign w:val="center"/>
            <w:hideMark/>
          </w:tcPr>
          <w:p w:rsidR="002B2ADB" w:rsidRPr="002B2ADB" w:rsidRDefault="002B2ADB" w:rsidP="002B2ADB">
            <w:pPr>
              <w:spacing w:after="0" w:line="0" w:lineRule="atLeast"/>
              <w:ind w:left="80"/>
              <w:jc w:val="center"/>
              <w:rPr>
                <w:rFonts w:cs="Arial"/>
                <w:b/>
                <w:sz w:val="18"/>
                <w:szCs w:val="18"/>
              </w:rPr>
            </w:pPr>
            <w:r w:rsidRPr="002B2ADB">
              <w:rPr>
                <w:rFonts w:cs="Arial"/>
                <w:b/>
                <w:sz w:val="18"/>
                <w:szCs w:val="18"/>
              </w:rPr>
              <w:t>Мерна единица</w:t>
            </w:r>
          </w:p>
        </w:tc>
        <w:tc>
          <w:tcPr>
            <w:tcW w:w="1406" w:type="dxa"/>
            <w:tcBorders>
              <w:top w:val="single" w:sz="4" w:space="0" w:color="auto"/>
              <w:left w:val="nil"/>
              <w:bottom w:val="single" w:sz="4" w:space="0" w:color="auto"/>
              <w:right w:val="nil"/>
            </w:tcBorders>
            <w:vAlign w:val="center"/>
            <w:hideMark/>
          </w:tcPr>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Програма 2019 г.</w:t>
            </w:r>
          </w:p>
        </w:tc>
        <w:tc>
          <w:tcPr>
            <w:tcW w:w="928" w:type="dxa"/>
            <w:tcBorders>
              <w:top w:val="single" w:sz="4" w:space="0" w:color="auto"/>
              <w:left w:val="nil"/>
              <w:bottom w:val="single" w:sz="4" w:space="0" w:color="auto"/>
              <w:right w:val="nil"/>
            </w:tcBorders>
            <w:vAlign w:val="center"/>
            <w:hideMark/>
          </w:tcPr>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Проект 2020 г.</w:t>
            </w:r>
          </w:p>
        </w:tc>
        <w:tc>
          <w:tcPr>
            <w:tcW w:w="1035" w:type="dxa"/>
            <w:tcBorders>
              <w:top w:val="single" w:sz="4" w:space="0" w:color="auto"/>
              <w:left w:val="nil"/>
              <w:bottom w:val="single" w:sz="4" w:space="0" w:color="auto"/>
              <w:right w:val="nil"/>
            </w:tcBorders>
            <w:vAlign w:val="center"/>
            <w:hideMark/>
          </w:tcPr>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Прогноза 2021 г.</w:t>
            </w:r>
          </w:p>
        </w:tc>
        <w:tc>
          <w:tcPr>
            <w:tcW w:w="1035" w:type="dxa"/>
            <w:tcBorders>
              <w:top w:val="single" w:sz="4" w:space="0" w:color="auto"/>
              <w:left w:val="nil"/>
              <w:bottom w:val="single" w:sz="4" w:space="0" w:color="auto"/>
              <w:right w:val="nil"/>
            </w:tcBorders>
            <w:vAlign w:val="center"/>
            <w:hideMark/>
          </w:tcPr>
          <w:p w:rsidR="002B2ADB" w:rsidRPr="002B2ADB" w:rsidRDefault="002B2ADB" w:rsidP="002B2ADB">
            <w:pPr>
              <w:spacing w:after="0" w:line="0" w:lineRule="atLeast"/>
              <w:ind w:left="80"/>
              <w:jc w:val="center"/>
              <w:rPr>
                <w:rFonts w:cs="Arial"/>
                <w:b/>
                <w:i/>
                <w:sz w:val="18"/>
                <w:szCs w:val="18"/>
              </w:rPr>
            </w:pPr>
            <w:r w:rsidRPr="002B2ADB">
              <w:rPr>
                <w:rFonts w:cs="Arial"/>
                <w:b/>
                <w:i/>
                <w:sz w:val="18"/>
                <w:szCs w:val="18"/>
              </w:rPr>
              <w:t>Прогноза 2022 г.</w:t>
            </w:r>
          </w:p>
        </w:tc>
      </w:tr>
      <w:tr w:rsidR="002B2ADB" w:rsidRPr="002B2ADB" w:rsidTr="002B2ADB">
        <w:trPr>
          <w:trHeight w:val="300"/>
          <w:jc w:val="center"/>
        </w:trPr>
        <w:tc>
          <w:tcPr>
            <w:tcW w:w="4123" w:type="dxa"/>
            <w:tcBorders>
              <w:top w:val="single" w:sz="4" w:space="0" w:color="auto"/>
              <w:left w:val="nil"/>
              <w:bottom w:val="nil"/>
              <w:right w:val="nil"/>
            </w:tcBorders>
            <w:vAlign w:val="center"/>
            <w:hideMark/>
          </w:tcPr>
          <w:p w:rsidR="002B2ADB" w:rsidRPr="002B2ADB" w:rsidRDefault="002B2ADB" w:rsidP="002B2ADB">
            <w:pPr>
              <w:widowControl w:val="0"/>
              <w:autoSpaceDE w:val="0"/>
              <w:autoSpaceDN w:val="0"/>
              <w:adjustRightInd w:val="0"/>
              <w:spacing w:after="0"/>
              <w:jc w:val="left"/>
              <w:rPr>
                <w:rFonts w:cs="Times New Roman"/>
                <w:sz w:val="18"/>
                <w:szCs w:val="18"/>
                <w:lang w:eastAsia="en-US"/>
              </w:rPr>
            </w:pPr>
            <w:r w:rsidRPr="002B2ADB">
              <w:rPr>
                <w:rFonts w:cs="Times New Roman"/>
                <w:sz w:val="18"/>
                <w:szCs w:val="18"/>
                <w:lang w:eastAsia="en-US"/>
              </w:rPr>
              <w:t>1. Предоставени услуги от геодезически топографски и кадастрални данни</w:t>
            </w:r>
          </w:p>
        </w:tc>
        <w:tc>
          <w:tcPr>
            <w:tcW w:w="851" w:type="dxa"/>
            <w:tcBorders>
              <w:top w:val="single" w:sz="4" w:space="0" w:color="auto"/>
              <w:left w:val="nil"/>
              <w:bottom w:val="nil"/>
              <w:right w:val="nil"/>
            </w:tcBorders>
            <w:shd w:val="clear" w:color="auto" w:fill="F2F2F2" w:themeFill="background1" w:themeFillShade="F2"/>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млн.бр.</w:t>
            </w:r>
          </w:p>
        </w:tc>
        <w:tc>
          <w:tcPr>
            <w:tcW w:w="1406" w:type="dxa"/>
            <w:tcBorders>
              <w:top w:val="single" w:sz="4" w:space="0" w:color="auto"/>
              <w:left w:val="nil"/>
              <w:bottom w:val="nil"/>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2,9</w:t>
            </w:r>
          </w:p>
        </w:tc>
        <w:tc>
          <w:tcPr>
            <w:tcW w:w="928" w:type="dxa"/>
            <w:tcBorders>
              <w:top w:val="single" w:sz="4" w:space="0" w:color="auto"/>
              <w:left w:val="nil"/>
              <w:bottom w:val="nil"/>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2,95</w:t>
            </w:r>
          </w:p>
        </w:tc>
        <w:tc>
          <w:tcPr>
            <w:tcW w:w="1035" w:type="dxa"/>
            <w:tcBorders>
              <w:top w:val="single" w:sz="4" w:space="0" w:color="auto"/>
              <w:left w:val="nil"/>
              <w:bottom w:val="nil"/>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2,95</w:t>
            </w:r>
          </w:p>
        </w:tc>
        <w:tc>
          <w:tcPr>
            <w:tcW w:w="1035" w:type="dxa"/>
            <w:tcBorders>
              <w:top w:val="single" w:sz="4" w:space="0" w:color="auto"/>
              <w:left w:val="nil"/>
              <w:bottom w:val="nil"/>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2,95</w:t>
            </w:r>
          </w:p>
        </w:tc>
      </w:tr>
      <w:tr w:rsidR="002B2ADB" w:rsidRPr="002B2ADB" w:rsidTr="002B2ADB">
        <w:trPr>
          <w:trHeight w:val="300"/>
          <w:jc w:val="center"/>
        </w:trPr>
        <w:tc>
          <w:tcPr>
            <w:tcW w:w="4123" w:type="dxa"/>
            <w:tcBorders>
              <w:top w:val="nil"/>
              <w:left w:val="nil"/>
              <w:bottom w:val="nil"/>
              <w:right w:val="nil"/>
            </w:tcBorders>
            <w:vAlign w:val="center"/>
            <w:hideMark/>
          </w:tcPr>
          <w:p w:rsidR="002B2ADB" w:rsidRPr="002B2ADB" w:rsidRDefault="002B2ADB" w:rsidP="002B2ADB">
            <w:pPr>
              <w:widowControl w:val="0"/>
              <w:autoSpaceDE w:val="0"/>
              <w:autoSpaceDN w:val="0"/>
              <w:adjustRightInd w:val="0"/>
              <w:spacing w:after="0"/>
              <w:jc w:val="left"/>
              <w:rPr>
                <w:rFonts w:cs="Times New Roman"/>
                <w:sz w:val="18"/>
                <w:szCs w:val="18"/>
                <w:lang w:eastAsia="en-US"/>
              </w:rPr>
            </w:pPr>
            <w:r w:rsidRPr="002B2ADB">
              <w:rPr>
                <w:rFonts w:cs="Times New Roman"/>
                <w:sz w:val="18"/>
                <w:szCs w:val="18"/>
                <w:lang w:eastAsia="en-US"/>
              </w:rPr>
              <w:t>2 . Преизмерване на ДНМ (нивелация I – около 5500 км)</w:t>
            </w:r>
          </w:p>
        </w:tc>
        <w:tc>
          <w:tcPr>
            <w:tcW w:w="851" w:type="dxa"/>
            <w:tcBorders>
              <w:top w:val="nil"/>
              <w:left w:val="nil"/>
              <w:bottom w:val="nil"/>
              <w:right w:val="nil"/>
            </w:tcBorders>
            <w:shd w:val="clear" w:color="auto" w:fill="F2F2F2" w:themeFill="background1" w:themeFillShade="F2"/>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km</w:t>
            </w:r>
          </w:p>
        </w:tc>
        <w:tc>
          <w:tcPr>
            <w:tcW w:w="1406" w:type="dxa"/>
            <w:tcBorders>
              <w:top w:val="nil"/>
              <w:left w:val="nil"/>
              <w:bottom w:val="nil"/>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1</w:t>
            </w:r>
            <w:r w:rsidR="008543D7">
              <w:rPr>
                <w:rFonts w:cs="Times New Roman"/>
                <w:sz w:val="18"/>
                <w:szCs w:val="18"/>
                <w:lang w:eastAsia="en-US"/>
              </w:rPr>
              <w:t xml:space="preserve"> </w:t>
            </w:r>
            <w:r w:rsidRPr="002B2ADB">
              <w:rPr>
                <w:rFonts w:cs="Times New Roman"/>
                <w:sz w:val="18"/>
                <w:szCs w:val="18"/>
                <w:lang w:eastAsia="en-US"/>
              </w:rPr>
              <w:t>285</w:t>
            </w:r>
          </w:p>
        </w:tc>
        <w:tc>
          <w:tcPr>
            <w:tcW w:w="928" w:type="dxa"/>
            <w:tcBorders>
              <w:top w:val="nil"/>
              <w:left w:val="nil"/>
              <w:bottom w:val="nil"/>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1</w:t>
            </w:r>
            <w:r w:rsidR="008543D7">
              <w:rPr>
                <w:rFonts w:cs="Times New Roman"/>
                <w:sz w:val="18"/>
                <w:szCs w:val="18"/>
                <w:lang w:eastAsia="en-US"/>
              </w:rPr>
              <w:t xml:space="preserve"> </w:t>
            </w:r>
            <w:r w:rsidRPr="002B2ADB">
              <w:rPr>
                <w:rFonts w:cs="Times New Roman"/>
                <w:sz w:val="18"/>
                <w:szCs w:val="18"/>
                <w:lang w:eastAsia="en-US"/>
              </w:rPr>
              <w:t>149</w:t>
            </w:r>
          </w:p>
        </w:tc>
        <w:tc>
          <w:tcPr>
            <w:tcW w:w="1035" w:type="dxa"/>
            <w:tcBorders>
              <w:top w:val="nil"/>
              <w:left w:val="nil"/>
              <w:bottom w:val="nil"/>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1</w:t>
            </w:r>
            <w:r w:rsidR="008543D7">
              <w:rPr>
                <w:rFonts w:cs="Times New Roman"/>
                <w:sz w:val="18"/>
                <w:szCs w:val="18"/>
                <w:lang w:eastAsia="en-US"/>
              </w:rPr>
              <w:t xml:space="preserve"> </w:t>
            </w:r>
            <w:r w:rsidRPr="002B2ADB">
              <w:rPr>
                <w:rFonts w:cs="Times New Roman"/>
                <w:sz w:val="18"/>
                <w:szCs w:val="18"/>
                <w:lang w:eastAsia="en-US"/>
              </w:rPr>
              <w:t>748</w:t>
            </w:r>
          </w:p>
        </w:tc>
        <w:tc>
          <w:tcPr>
            <w:tcW w:w="1035" w:type="dxa"/>
            <w:tcBorders>
              <w:top w:val="nil"/>
              <w:left w:val="nil"/>
              <w:bottom w:val="nil"/>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1</w:t>
            </w:r>
            <w:r w:rsidR="008543D7">
              <w:rPr>
                <w:rFonts w:cs="Times New Roman"/>
                <w:sz w:val="18"/>
                <w:szCs w:val="18"/>
                <w:lang w:eastAsia="en-US"/>
              </w:rPr>
              <w:t xml:space="preserve"> </w:t>
            </w:r>
            <w:r w:rsidRPr="002B2ADB">
              <w:rPr>
                <w:rFonts w:cs="Times New Roman"/>
                <w:sz w:val="18"/>
                <w:szCs w:val="18"/>
                <w:lang w:eastAsia="en-US"/>
              </w:rPr>
              <w:t>068</w:t>
            </w:r>
          </w:p>
        </w:tc>
      </w:tr>
      <w:tr w:rsidR="002B2ADB" w:rsidRPr="002B2ADB" w:rsidTr="002B2ADB">
        <w:trPr>
          <w:trHeight w:val="300"/>
          <w:jc w:val="center"/>
        </w:trPr>
        <w:tc>
          <w:tcPr>
            <w:tcW w:w="4123" w:type="dxa"/>
            <w:tcBorders>
              <w:top w:val="nil"/>
              <w:left w:val="nil"/>
              <w:bottom w:val="single" w:sz="4" w:space="0" w:color="auto"/>
              <w:right w:val="nil"/>
            </w:tcBorders>
            <w:vAlign w:val="center"/>
            <w:hideMark/>
          </w:tcPr>
          <w:p w:rsidR="002B2ADB" w:rsidRPr="002B2ADB" w:rsidRDefault="002B2ADB" w:rsidP="002B2ADB">
            <w:pPr>
              <w:widowControl w:val="0"/>
              <w:autoSpaceDE w:val="0"/>
              <w:autoSpaceDN w:val="0"/>
              <w:adjustRightInd w:val="0"/>
              <w:spacing w:after="0"/>
              <w:jc w:val="left"/>
              <w:rPr>
                <w:rFonts w:cs="Times New Roman"/>
                <w:sz w:val="18"/>
                <w:szCs w:val="18"/>
                <w:lang w:eastAsia="en-US"/>
              </w:rPr>
            </w:pPr>
            <w:r w:rsidRPr="002B2ADB">
              <w:rPr>
                <w:rFonts w:cs="Times New Roman"/>
                <w:sz w:val="18"/>
                <w:szCs w:val="18"/>
                <w:lang w:eastAsia="en-US"/>
              </w:rPr>
              <w:t>3. Създаване на единен цифров модел за едромащабна топографска карта на Република България</w:t>
            </w:r>
          </w:p>
        </w:tc>
        <w:tc>
          <w:tcPr>
            <w:tcW w:w="851" w:type="dxa"/>
            <w:tcBorders>
              <w:top w:val="nil"/>
              <w:left w:val="nil"/>
              <w:bottom w:val="single" w:sz="4" w:space="0" w:color="auto"/>
              <w:right w:val="nil"/>
            </w:tcBorders>
            <w:shd w:val="clear" w:color="auto" w:fill="F2F2F2" w:themeFill="background1" w:themeFillShade="F2"/>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km2</w:t>
            </w:r>
          </w:p>
        </w:tc>
        <w:tc>
          <w:tcPr>
            <w:tcW w:w="1406" w:type="dxa"/>
            <w:tcBorders>
              <w:top w:val="nil"/>
              <w:left w:val="nil"/>
              <w:bottom w:val="single" w:sz="4" w:space="0" w:color="auto"/>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w:t>
            </w:r>
          </w:p>
        </w:tc>
        <w:tc>
          <w:tcPr>
            <w:tcW w:w="928" w:type="dxa"/>
            <w:tcBorders>
              <w:top w:val="nil"/>
              <w:left w:val="nil"/>
              <w:bottom w:val="single" w:sz="4" w:space="0" w:color="auto"/>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330</w:t>
            </w:r>
          </w:p>
        </w:tc>
        <w:tc>
          <w:tcPr>
            <w:tcW w:w="1035" w:type="dxa"/>
            <w:tcBorders>
              <w:top w:val="nil"/>
              <w:left w:val="nil"/>
              <w:bottom w:val="single" w:sz="4" w:space="0" w:color="auto"/>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w:t>
            </w:r>
          </w:p>
        </w:tc>
        <w:tc>
          <w:tcPr>
            <w:tcW w:w="1035" w:type="dxa"/>
            <w:tcBorders>
              <w:top w:val="nil"/>
              <w:left w:val="nil"/>
              <w:bottom w:val="single" w:sz="4" w:space="0" w:color="auto"/>
              <w:right w:val="nil"/>
            </w:tcBorders>
            <w:vAlign w:val="center"/>
            <w:hideMark/>
          </w:tcPr>
          <w:p w:rsidR="002B2ADB" w:rsidRPr="002B2ADB" w:rsidRDefault="002B2ADB" w:rsidP="002B2ADB">
            <w:pPr>
              <w:widowControl w:val="0"/>
              <w:autoSpaceDE w:val="0"/>
              <w:autoSpaceDN w:val="0"/>
              <w:adjustRightInd w:val="0"/>
              <w:spacing w:after="0"/>
              <w:jc w:val="center"/>
              <w:rPr>
                <w:rFonts w:cs="Times New Roman"/>
                <w:sz w:val="18"/>
                <w:szCs w:val="18"/>
                <w:lang w:eastAsia="en-US"/>
              </w:rPr>
            </w:pPr>
            <w:r w:rsidRPr="002B2ADB">
              <w:rPr>
                <w:rFonts w:cs="Times New Roman"/>
                <w:sz w:val="18"/>
                <w:szCs w:val="18"/>
                <w:lang w:eastAsia="en-US"/>
              </w:rPr>
              <w:t>1</w:t>
            </w:r>
            <w:r w:rsidR="008543D7">
              <w:rPr>
                <w:rFonts w:cs="Times New Roman"/>
                <w:sz w:val="18"/>
                <w:szCs w:val="18"/>
                <w:lang w:eastAsia="en-US"/>
              </w:rPr>
              <w:t xml:space="preserve"> </w:t>
            </w:r>
            <w:r w:rsidRPr="002B2ADB">
              <w:rPr>
                <w:rFonts w:cs="Times New Roman"/>
                <w:sz w:val="18"/>
                <w:szCs w:val="18"/>
                <w:lang w:eastAsia="en-US"/>
              </w:rPr>
              <w:t>000</w:t>
            </w:r>
          </w:p>
        </w:tc>
      </w:tr>
    </w:tbl>
    <w:p w:rsidR="002B2ADB" w:rsidRPr="002B2ADB" w:rsidRDefault="002B2ADB" w:rsidP="0051695D">
      <w:pPr>
        <w:spacing w:after="120"/>
        <w:rPr>
          <w:b/>
          <w:sz w:val="20"/>
          <w:szCs w:val="20"/>
        </w:rPr>
      </w:pPr>
    </w:p>
    <w:p w:rsidR="00083361" w:rsidRDefault="00083361" w:rsidP="00517D0A">
      <w:pPr>
        <w:pStyle w:val="Heading3"/>
        <w:ind w:left="0"/>
      </w:pPr>
      <w:bookmarkStart w:id="496" w:name="_Toc465070480"/>
      <w:bookmarkStart w:id="497" w:name="_Toc465205530"/>
      <w:r w:rsidRPr="009D2915">
        <w:t>Политика в областта на културата</w:t>
      </w:r>
      <w:bookmarkEnd w:id="496"/>
      <w:bookmarkEnd w:id="497"/>
      <w:r w:rsidRPr="009D2915">
        <w:t xml:space="preserve"> </w:t>
      </w:r>
    </w:p>
    <w:p w:rsidR="002B2ADB" w:rsidRPr="002B2ADB" w:rsidRDefault="002B2ADB" w:rsidP="002B2ADB">
      <w:r w:rsidRPr="002B2ADB">
        <w:t>Политиката в областта на културата е свързана с укрепването, популяризирането и развитието на българската идентичност, култура и духовни ценности. Стратегическите цели на политиката са насочени към създаването на условия за устойчиво културно развитие и духовно консолидиране на нацията, утвърждаването на българската национална идентичност чрез изграждане образа на България като страна със самобитна култура и уникално културно наследство, активирането на международната дейност за популяризиране достиженията на българските творци и повишаване конкурентоспособността на българския културен продукт.</w:t>
      </w:r>
    </w:p>
    <w:p w:rsidR="00AD1AF9" w:rsidRPr="00491FD9" w:rsidRDefault="00AD1AF9" w:rsidP="00AD1AF9">
      <w:pPr>
        <w:pStyle w:val="Heading4"/>
        <w:rPr>
          <w:rFonts w:eastAsia="Times New Roman"/>
        </w:rPr>
      </w:pPr>
      <w:r w:rsidRPr="00491FD9">
        <w:rPr>
          <w:rFonts w:eastAsia="Times New Roman"/>
        </w:rPr>
        <w:t xml:space="preserve">Политика в областта на опазване на движимото и недвижимото културно наследство </w:t>
      </w:r>
    </w:p>
    <w:p w:rsidR="002B2ADB" w:rsidRPr="007D6981" w:rsidRDefault="002B2ADB" w:rsidP="002226EC">
      <w:pPr>
        <w:spacing w:before="120" w:after="0"/>
        <w:rPr>
          <w:lang w:val="ru-RU"/>
        </w:rPr>
      </w:pPr>
    </w:p>
    <w:p w:rsidR="002B2ADB" w:rsidRPr="002B2ADB" w:rsidRDefault="002B2ADB" w:rsidP="002B2ADB">
      <w:pPr>
        <w:spacing w:before="120" w:after="0"/>
      </w:pPr>
      <w:r w:rsidRPr="002B2ADB">
        <w:t xml:space="preserve">Основните приоритети на политиката </w:t>
      </w:r>
      <w:r w:rsidRPr="002B2ADB">
        <w:rPr>
          <w:iCs/>
        </w:rPr>
        <w:t>в областта на опазване на движимото и недвижимото културно наследство</w:t>
      </w:r>
      <w:r w:rsidRPr="002B2ADB">
        <w:t xml:space="preserve"> са опазване и социализиране на културното наследство и стимулиране на обвързването му с туристическите продукти, привличане на проектно финансиране в областта на културата по различни програми и донори, развитие и техническо усъвършенстване на музейната мрежа, привличане на средства от Европейските програми и двустранни спогодби за подкрепа на културата и утвърждаване на България като дестинация за осъществяване на международни културни проекти.</w:t>
      </w:r>
    </w:p>
    <w:p w:rsidR="002B2ADB" w:rsidRPr="007D6981" w:rsidRDefault="002B2ADB" w:rsidP="002B2ADB">
      <w:pPr>
        <w:spacing w:before="120" w:after="0"/>
        <w:rPr>
          <w:lang w:val="ru-RU"/>
        </w:rPr>
      </w:pPr>
      <w:r w:rsidRPr="002B2ADB">
        <w:t xml:space="preserve">В областта на </w:t>
      </w:r>
      <w:r w:rsidRPr="002B2ADB">
        <w:rPr>
          <w:i/>
        </w:rPr>
        <w:t>опазването на недвижимото културно наследство</w:t>
      </w:r>
      <w:r w:rsidRPr="002B2ADB">
        <w:t xml:space="preserve"> ще продължи държавната подкрепа за извършване на археологически проучвания, реставрация и съпътстваща консервация (укрепване, защитни покрития, вертикална планировка и др.) на значими археологически обекти, както и извършването на консервационно-реставрационни работи на недвижими културни ценности.</w:t>
      </w:r>
    </w:p>
    <w:p w:rsidR="002B2ADB" w:rsidRPr="002B2ADB" w:rsidRDefault="002B2ADB" w:rsidP="002B2ADB">
      <w:pPr>
        <w:spacing w:before="120" w:after="0"/>
      </w:pPr>
      <w:r w:rsidRPr="002B2ADB">
        <w:t xml:space="preserve">На основание чл. 14, т. 3 от Закона за Националния дарителски фонд „13 века България“ и чл. 44 от Закона за културното наследство, както предвид необходимостта от въвеждането на единен подход при финансирането със средства от държавния бюджет на юридическите лица с нестопанска цел, както и от създаването и поддържането на информация за измерване на изпълнението на секторните политики по бюджета на Министерството на културата за 2020 г. и следващите години по политика в областта на опазване на движимото и недвижимото културно наследство са предвидени субсидии за Национален дарителски фонд „13 века България“ – 226 000 лева и </w:t>
      </w:r>
      <w:r w:rsidR="00A5349B">
        <w:t xml:space="preserve">за </w:t>
      </w:r>
      <w:r w:rsidRPr="002B2ADB">
        <w:t>Регионален център за опазване на нематериалното културно наследство в Югоизточна Европа – 412 000 лева.</w:t>
      </w:r>
    </w:p>
    <w:p w:rsidR="002B2ADB" w:rsidRPr="002B2ADB" w:rsidRDefault="002B2ADB" w:rsidP="002B2ADB">
      <w:pPr>
        <w:spacing w:before="120" w:after="0"/>
      </w:pPr>
      <w:r w:rsidRPr="002B2ADB">
        <w:t xml:space="preserve">В областта на </w:t>
      </w:r>
      <w:r w:rsidRPr="002B2ADB">
        <w:rPr>
          <w:i/>
        </w:rPr>
        <w:t>опазването и представянето на движимото културно и аудио-визуално наследство</w:t>
      </w:r>
      <w:r w:rsidRPr="002B2ADB">
        <w:t xml:space="preserve"> (държавните музеи, художествените галерии и Българската национална филмотека) ще продължи финансирането на дейностите им по стандарти в подкрепа на възможностите за по-голяма самостоятелност и мотивация на работещите в музейното дело за популяризирането на националното културно богатство.</w:t>
      </w:r>
    </w:p>
    <w:p w:rsidR="002B2ADB" w:rsidRDefault="002B2ADB" w:rsidP="002B2ADB">
      <w:pPr>
        <w:spacing w:before="120" w:after="0"/>
      </w:pPr>
      <w:r w:rsidRPr="002B2ADB">
        <w:t>Отговорни за провеждането на политиката са Националният институт за недвижимо културно наследство, държавните музеи и художествени галерии в системата на Министерството на културата, Центърът за подводна археология, Културен център „Двореца“ и Българската национална филмотека.</w:t>
      </w:r>
    </w:p>
    <w:p w:rsidR="00734DE5" w:rsidRPr="002B2ADB" w:rsidRDefault="00734DE5" w:rsidP="002B2ADB">
      <w:pPr>
        <w:spacing w:before="120" w:after="0"/>
      </w:pPr>
      <w:r w:rsidRPr="00734DE5">
        <w:t>За реализирането на тази политика са разчетени средства по</w:t>
      </w:r>
      <w:r>
        <w:t xml:space="preserve"> държавния бюджет в размер на </w:t>
      </w:r>
      <w:r w:rsidR="001E4074">
        <w:t>5,0</w:t>
      </w:r>
      <w:r>
        <w:t xml:space="preserve"> млн. лв.</w:t>
      </w:r>
      <w:r w:rsidRPr="00734DE5">
        <w:t xml:space="preserve"> за вс</w:t>
      </w:r>
      <w:r>
        <w:t>яка от трите години, от които 2,</w:t>
      </w:r>
      <w:r w:rsidRPr="00734DE5">
        <w:t>0 млн. лв. за теренни археологически проучвания и теренна консервация на недвижими архе</w:t>
      </w:r>
      <w:r>
        <w:t xml:space="preserve">ологически културни ценности, </w:t>
      </w:r>
      <w:r w:rsidR="001E4074">
        <w:t>2,0</w:t>
      </w:r>
      <w:r w:rsidRPr="00734DE5">
        <w:t xml:space="preserve"> млн. лв. за консервационно-реставрационни работи за създаване и опаз</w:t>
      </w:r>
      <w:r>
        <w:t>ване на културните ценности и 1,</w:t>
      </w:r>
      <w:r w:rsidRPr="00734DE5">
        <w:t>0 млн. лв. за субсидии за творчески проекти и други разходи в областта на движимото културно наследство и визуалните изкуства.</w:t>
      </w:r>
    </w:p>
    <w:p w:rsidR="002226EC" w:rsidRPr="007D6981" w:rsidRDefault="002226EC" w:rsidP="002226EC">
      <w:pPr>
        <w:spacing w:before="120" w:after="0"/>
        <w:rPr>
          <w:lang w:val="ru-RU"/>
        </w:rPr>
      </w:pPr>
    </w:p>
    <w:p w:rsidR="002D3E25" w:rsidRPr="00E71A58" w:rsidRDefault="002D3E25" w:rsidP="002D3E25">
      <w:pPr>
        <w:jc w:val="left"/>
        <w:rPr>
          <w:rFonts w:cs="Times New Roman"/>
          <w:b/>
          <w:sz w:val="20"/>
          <w:szCs w:val="20"/>
        </w:rPr>
      </w:pPr>
      <w:r w:rsidRPr="00E71A58">
        <w:rPr>
          <w:rFonts w:cs="Times New Roman"/>
          <w:b/>
          <w:sz w:val="20"/>
          <w:szCs w:val="20"/>
        </w:rPr>
        <w:t>КЛЮЧОВИ ИНДИКАТОРИ ЗА ИЗПЪЛНЕНИЕ И ЦЕЛЕВИ СТОЙНОСТИ</w:t>
      </w:r>
    </w:p>
    <w:p w:rsidR="002038AB" w:rsidRPr="007D6981" w:rsidRDefault="002038AB" w:rsidP="002226EC">
      <w:pPr>
        <w:spacing w:before="120" w:after="0"/>
        <w:rPr>
          <w:highlight w:val="yellow"/>
          <w:lang w:val="ru-RU"/>
        </w:rPr>
      </w:pPr>
    </w:p>
    <w:tbl>
      <w:tblPr>
        <w:tblW w:w="4948" w:type="pct"/>
        <w:tblLayout w:type="fixed"/>
        <w:tblCellMar>
          <w:left w:w="70" w:type="dxa"/>
          <w:right w:w="70" w:type="dxa"/>
        </w:tblCellMar>
        <w:tblLook w:val="04A0" w:firstRow="1" w:lastRow="0" w:firstColumn="1" w:lastColumn="0" w:noHBand="0" w:noVBand="1"/>
      </w:tblPr>
      <w:tblGrid>
        <w:gridCol w:w="3279"/>
        <w:gridCol w:w="837"/>
        <w:gridCol w:w="1257"/>
        <w:gridCol w:w="1258"/>
        <w:gridCol w:w="1088"/>
        <w:gridCol w:w="1257"/>
      </w:tblGrid>
      <w:tr w:rsidR="0015442C" w:rsidRPr="005A1241" w:rsidTr="000C2EEF">
        <w:trPr>
          <w:trHeight w:val="50"/>
          <w:tblHeader/>
        </w:trPr>
        <w:tc>
          <w:tcPr>
            <w:tcW w:w="1827" w:type="pct"/>
            <w:tcBorders>
              <w:top w:val="single" w:sz="8" w:space="0" w:color="auto"/>
              <w:left w:val="nil"/>
              <w:bottom w:val="nil"/>
              <w:right w:val="nil"/>
            </w:tcBorders>
            <w:shd w:val="clear" w:color="auto" w:fill="auto"/>
            <w:vAlign w:val="center"/>
            <w:hideMark/>
          </w:tcPr>
          <w:p w:rsidR="0015442C" w:rsidRPr="005A1241" w:rsidRDefault="0015442C" w:rsidP="000C2EEF">
            <w:pPr>
              <w:spacing w:after="0"/>
              <w:jc w:val="center"/>
              <w:rPr>
                <w:rFonts w:eastAsia="Times New Roman"/>
                <w:b/>
                <w:bCs/>
                <w:i/>
                <w:iCs/>
                <w:color w:val="000000"/>
                <w:sz w:val="18"/>
                <w:szCs w:val="18"/>
              </w:rPr>
            </w:pPr>
            <w:r w:rsidRPr="005A1241">
              <w:rPr>
                <w:rFonts w:eastAsia="Times New Roman"/>
                <w:b/>
                <w:bCs/>
                <w:i/>
                <w:iCs/>
                <w:color w:val="000000"/>
                <w:sz w:val="18"/>
                <w:szCs w:val="18"/>
              </w:rPr>
              <w:t>Политика в областта на опазване на движимото и недвижимото културно наследство</w:t>
            </w:r>
          </w:p>
        </w:tc>
        <w:tc>
          <w:tcPr>
            <w:tcW w:w="466" w:type="pct"/>
            <w:vMerge w:val="restart"/>
            <w:tcBorders>
              <w:top w:val="single" w:sz="8" w:space="0" w:color="auto"/>
              <w:left w:val="nil"/>
              <w:bottom w:val="single" w:sz="8" w:space="0" w:color="963634"/>
              <w:right w:val="nil"/>
            </w:tcBorders>
            <w:shd w:val="clear" w:color="auto" w:fill="F2F2F2"/>
            <w:vAlign w:val="center"/>
            <w:hideMark/>
          </w:tcPr>
          <w:p w:rsidR="0015442C" w:rsidRPr="005A1241" w:rsidRDefault="0015442C" w:rsidP="000C2EEF">
            <w:pPr>
              <w:spacing w:after="0"/>
              <w:jc w:val="center"/>
              <w:rPr>
                <w:rFonts w:eastAsia="Times New Roman"/>
                <w:b/>
                <w:bCs/>
                <w:color w:val="000000"/>
                <w:sz w:val="18"/>
                <w:szCs w:val="18"/>
              </w:rPr>
            </w:pPr>
            <w:r w:rsidRPr="005A1241">
              <w:rPr>
                <w:rFonts w:eastAsia="Times New Roman"/>
                <w:b/>
                <w:bCs/>
                <w:color w:val="000000"/>
                <w:sz w:val="18"/>
                <w:szCs w:val="18"/>
              </w:rPr>
              <w:t>Мерна единица</w:t>
            </w:r>
          </w:p>
        </w:tc>
        <w:tc>
          <w:tcPr>
            <w:tcW w:w="2007" w:type="pct"/>
            <w:gridSpan w:val="3"/>
            <w:tcBorders>
              <w:top w:val="single" w:sz="8" w:space="0" w:color="auto"/>
              <w:left w:val="nil"/>
              <w:bottom w:val="single" w:sz="4" w:space="0" w:color="auto"/>
              <w:right w:val="nil"/>
            </w:tcBorders>
            <w:shd w:val="clear" w:color="auto" w:fill="auto"/>
            <w:vAlign w:val="center"/>
            <w:hideMark/>
          </w:tcPr>
          <w:p w:rsidR="0015442C" w:rsidRPr="005A1241" w:rsidRDefault="0015442C" w:rsidP="000C2EEF">
            <w:pPr>
              <w:spacing w:after="0"/>
              <w:jc w:val="center"/>
              <w:rPr>
                <w:rFonts w:eastAsia="Times New Roman"/>
                <w:b/>
                <w:bCs/>
                <w:color w:val="000000"/>
                <w:sz w:val="18"/>
                <w:szCs w:val="18"/>
              </w:rPr>
            </w:pPr>
            <w:r w:rsidRPr="005A1241">
              <w:rPr>
                <w:rFonts w:eastAsia="Times New Roman"/>
                <w:b/>
                <w:bCs/>
                <w:color w:val="000000"/>
                <w:sz w:val="18"/>
                <w:szCs w:val="18"/>
              </w:rPr>
              <w:t>Целева стойност</w:t>
            </w:r>
          </w:p>
        </w:tc>
        <w:tc>
          <w:tcPr>
            <w:tcW w:w="700" w:type="pct"/>
            <w:tcBorders>
              <w:top w:val="single" w:sz="8" w:space="0" w:color="auto"/>
              <w:left w:val="nil"/>
              <w:bottom w:val="single" w:sz="4" w:space="0" w:color="auto"/>
              <w:right w:val="nil"/>
            </w:tcBorders>
          </w:tcPr>
          <w:p w:rsidR="0015442C" w:rsidRPr="005A1241" w:rsidRDefault="0015442C" w:rsidP="000C2EEF">
            <w:pPr>
              <w:spacing w:after="0"/>
              <w:jc w:val="center"/>
              <w:rPr>
                <w:rFonts w:eastAsia="Times New Roman"/>
                <w:b/>
                <w:bCs/>
                <w:color w:val="000000"/>
                <w:sz w:val="18"/>
                <w:szCs w:val="18"/>
              </w:rPr>
            </w:pPr>
          </w:p>
        </w:tc>
      </w:tr>
      <w:tr w:rsidR="0015442C" w:rsidRPr="005A1241" w:rsidTr="00A14763">
        <w:trPr>
          <w:trHeight w:val="50"/>
          <w:tblHeader/>
        </w:trPr>
        <w:tc>
          <w:tcPr>
            <w:tcW w:w="1827" w:type="pct"/>
            <w:tcBorders>
              <w:top w:val="nil"/>
              <w:left w:val="nil"/>
              <w:bottom w:val="single" w:sz="4" w:space="0" w:color="auto"/>
              <w:right w:val="nil"/>
            </w:tcBorders>
            <w:shd w:val="clear" w:color="auto" w:fill="auto"/>
            <w:vAlign w:val="center"/>
            <w:hideMark/>
          </w:tcPr>
          <w:p w:rsidR="0015442C" w:rsidRPr="005A1241" w:rsidRDefault="0015442C" w:rsidP="000C2EEF">
            <w:pPr>
              <w:spacing w:after="0"/>
              <w:jc w:val="center"/>
              <w:rPr>
                <w:rFonts w:eastAsia="Times New Roman"/>
                <w:b/>
                <w:bCs/>
                <w:color w:val="000000"/>
                <w:sz w:val="18"/>
                <w:szCs w:val="18"/>
              </w:rPr>
            </w:pPr>
            <w:r w:rsidRPr="005A1241">
              <w:rPr>
                <w:rFonts w:eastAsia="Times New Roman"/>
                <w:b/>
                <w:bCs/>
                <w:color w:val="000000"/>
                <w:sz w:val="18"/>
                <w:szCs w:val="18"/>
              </w:rPr>
              <w:t>Наименование на индикатора</w:t>
            </w:r>
          </w:p>
        </w:tc>
        <w:tc>
          <w:tcPr>
            <w:tcW w:w="466" w:type="pct"/>
            <w:vMerge/>
            <w:tcBorders>
              <w:top w:val="single" w:sz="8" w:space="0" w:color="auto"/>
              <w:left w:val="nil"/>
              <w:bottom w:val="single" w:sz="4" w:space="0" w:color="auto"/>
              <w:right w:val="nil"/>
            </w:tcBorders>
            <w:shd w:val="clear" w:color="auto" w:fill="F2F2F2"/>
            <w:vAlign w:val="center"/>
            <w:hideMark/>
          </w:tcPr>
          <w:p w:rsidR="0015442C" w:rsidRPr="005A1241" w:rsidRDefault="0015442C" w:rsidP="000C2EEF">
            <w:pPr>
              <w:spacing w:after="0"/>
              <w:jc w:val="left"/>
              <w:rPr>
                <w:rFonts w:eastAsia="Times New Roman"/>
                <w:b/>
                <w:bCs/>
                <w:color w:val="000000"/>
                <w:sz w:val="18"/>
                <w:szCs w:val="18"/>
              </w:rPr>
            </w:pPr>
          </w:p>
        </w:tc>
        <w:tc>
          <w:tcPr>
            <w:tcW w:w="700" w:type="pct"/>
            <w:tcBorders>
              <w:top w:val="nil"/>
              <w:left w:val="nil"/>
              <w:bottom w:val="single" w:sz="4" w:space="0" w:color="auto"/>
              <w:right w:val="nil"/>
            </w:tcBorders>
            <w:shd w:val="clear" w:color="auto" w:fill="auto"/>
            <w:vAlign w:val="center"/>
            <w:hideMark/>
          </w:tcPr>
          <w:p w:rsidR="0015442C" w:rsidRPr="005A1241" w:rsidRDefault="0015442C" w:rsidP="000C2EEF">
            <w:pPr>
              <w:spacing w:after="0"/>
              <w:jc w:val="center"/>
              <w:rPr>
                <w:rFonts w:eastAsia="Times New Roman"/>
                <w:b/>
                <w:bCs/>
                <w:i/>
                <w:iCs/>
                <w:color w:val="000000"/>
                <w:sz w:val="18"/>
                <w:szCs w:val="18"/>
              </w:rPr>
            </w:pPr>
            <w:r w:rsidRPr="005A1241">
              <w:rPr>
                <w:rFonts w:eastAsia="Times New Roman"/>
                <w:b/>
                <w:bCs/>
                <w:i/>
                <w:iCs/>
                <w:color w:val="000000"/>
                <w:sz w:val="18"/>
                <w:szCs w:val="18"/>
              </w:rPr>
              <w:t>Програма 2019 г.</w:t>
            </w:r>
          </w:p>
        </w:tc>
        <w:tc>
          <w:tcPr>
            <w:tcW w:w="701" w:type="pct"/>
            <w:tcBorders>
              <w:top w:val="nil"/>
              <w:left w:val="nil"/>
              <w:bottom w:val="single" w:sz="4" w:space="0" w:color="auto"/>
              <w:right w:val="nil"/>
            </w:tcBorders>
            <w:shd w:val="clear" w:color="auto" w:fill="auto"/>
            <w:vAlign w:val="center"/>
            <w:hideMark/>
          </w:tcPr>
          <w:p w:rsidR="0015442C" w:rsidRPr="005A1241" w:rsidRDefault="0015442C" w:rsidP="000C2EEF">
            <w:pPr>
              <w:spacing w:after="0"/>
              <w:jc w:val="center"/>
              <w:rPr>
                <w:rFonts w:eastAsia="Times New Roman"/>
                <w:b/>
                <w:bCs/>
                <w:i/>
                <w:iCs/>
                <w:color w:val="000000"/>
                <w:sz w:val="18"/>
                <w:szCs w:val="18"/>
              </w:rPr>
            </w:pPr>
            <w:r w:rsidRPr="005A1241">
              <w:rPr>
                <w:rFonts w:eastAsia="Times New Roman"/>
                <w:b/>
                <w:bCs/>
                <w:i/>
                <w:iCs/>
                <w:color w:val="000000"/>
                <w:sz w:val="18"/>
                <w:szCs w:val="18"/>
              </w:rPr>
              <w:t>Про</w:t>
            </w:r>
            <w:r w:rsidR="00F1198E">
              <w:rPr>
                <w:rFonts w:eastAsia="Times New Roman"/>
                <w:b/>
                <w:bCs/>
                <w:i/>
                <w:iCs/>
                <w:color w:val="000000"/>
                <w:sz w:val="18"/>
                <w:szCs w:val="18"/>
              </w:rPr>
              <w:t>ект</w:t>
            </w:r>
            <w:r w:rsidRPr="005A1241">
              <w:rPr>
                <w:rFonts w:eastAsia="Times New Roman"/>
                <w:b/>
                <w:bCs/>
                <w:i/>
                <w:iCs/>
                <w:color w:val="000000"/>
                <w:sz w:val="18"/>
                <w:szCs w:val="18"/>
              </w:rPr>
              <w:t xml:space="preserve"> </w:t>
            </w:r>
            <w:r w:rsidR="00F837DF">
              <w:rPr>
                <w:rFonts w:eastAsia="Times New Roman"/>
                <w:b/>
                <w:bCs/>
                <w:i/>
                <w:iCs/>
                <w:color w:val="000000"/>
                <w:sz w:val="18"/>
                <w:szCs w:val="18"/>
              </w:rPr>
              <w:t xml:space="preserve">             </w:t>
            </w:r>
            <w:r w:rsidRPr="005A1241">
              <w:rPr>
                <w:rFonts w:eastAsia="Times New Roman"/>
                <w:b/>
                <w:bCs/>
                <w:i/>
                <w:iCs/>
                <w:color w:val="000000"/>
                <w:sz w:val="18"/>
                <w:szCs w:val="18"/>
              </w:rPr>
              <w:t>2020 г.</w:t>
            </w:r>
          </w:p>
        </w:tc>
        <w:tc>
          <w:tcPr>
            <w:tcW w:w="606" w:type="pct"/>
            <w:tcBorders>
              <w:top w:val="nil"/>
              <w:left w:val="nil"/>
              <w:bottom w:val="single" w:sz="4" w:space="0" w:color="auto"/>
              <w:right w:val="nil"/>
            </w:tcBorders>
            <w:shd w:val="clear" w:color="auto" w:fill="auto"/>
            <w:vAlign w:val="center"/>
            <w:hideMark/>
          </w:tcPr>
          <w:p w:rsidR="0015442C" w:rsidRPr="005A1241" w:rsidRDefault="0015442C" w:rsidP="000C2EEF">
            <w:pPr>
              <w:spacing w:after="0"/>
              <w:jc w:val="center"/>
              <w:rPr>
                <w:rFonts w:eastAsia="Times New Roman"/>
                <w:b/>
                <w:bCs/>
                <w:i/>
                <w:iCs/>
                <w:color w:val="000000"/>
                <w:sz w:val="18"/>
                <w:szCs w:val="18"/>
              </w:rPr>
            </w:pPr>
            <w:r w:rsidRPr="005A1241">
              <w:rPr>
                <w:rFonts w:eastAsia="Times New Roman"/>
                <w:b/>
                <w:bCs/>
                <w:i/>
                <w:iCs/>
                <w:color w:val="000000"/>
                <w:sz w:val="18"/>
                <w:szCs w:val="18"/>
              </w:rPr>
              <w:t>Прогноза 2021 г.</w:t>
            </w:r>
          </w:p>
        </w:tc>
        <w:tc>
          <w:tcPr>
            <w:tcW w:w="700" w:type="pct"/>
            <w:tcBorders>
              <w:top w:val="nil"/>
              <w:left w:val="nil"/>
              <w:bottom w:val="single" w:sz="4" w:space="0" w:color="auto"/>
              <w:right w:val="nil"/>
            </w:tcBorders>
            <w:vAlign w:val="center"/>
          </w:tcPr>
          <w:p w:rsidR="0015442C" w:rsidRPr="005A1241" w:rsidRDefault="0015442C" w:rsidP="000C2EEF">
            <w:pPr>
              <w:spacing w:after="0"/>
              <w:jc w:val="center"/>
              <w:rPr>
                <w:rFonts w:eastAsia="Times New Roman"/>
                <w:b/>
                <w:bCs/>
                <w:i/>
                <w:iCs/>
                <w:color w:val="000000"/>
                <w:sz w:val="18"/>
                <w:szCs w:val="18"/>
              </w:rPr>
            </w:pPr>
            <w:r w:rsidRPr="005A1241">
              <w:rPr>
                <w:rFonts w:eastAsia="Times New Roman"/>
                <w:b/>
                <w:bCs/>
                <w:i/>
                <w:iCs/>
                <w:color w:val="000000"/>
                <w:sz w:val="18"/>
                <w:szCs w:val="18"/>
              </w:rPr>
              <w:t>Прогноза 2022 г.</w:t>
            </w:r>
          </w:p>
        </w:tc>
      </w:tr>
      <w:tr w:rsidR="0015442C" w:rsidRPr="005A1241" w:rsidTr="00A14763">
        <w:trPr>
          <w:trHeight w:val="765"/>
        </w:trPr>
        <w:tc>
          <w:tcPr>
            <w:tcW w:w="1827" w:type="pct"/>
            <w:tcBorders>
              <w:top w:val="single" w:sz="4" w:space="0" w:color="auto"/>
              <w:left w:val="nil"/>
              <w:bottom w:val="nil"/>
              <w:right w:val="nil"/>
            </w:tcBorders>
            <w:shd w:val="clear" w:color="000000" w:fill="FFFFFF"/>
            <w:hideMark/>
          </w:tcPr>
          <w:p w:rsidR="0015442C" w:rsidRPr="005A1241" w:rsidRDefault="0015442C" w:rsidP="000C2EEF">
            <w:pPr>
              <w:spacing w:before="120" w:after="0"/>
              <w:rPr>
                <w:rFonts w:eastAsia="Times New Roman"/>
                <w:color w:val="000000"/>
                <w:sz w:val="18"/>
                <w:szCs w:val="18"/>
              </w:rPr>
            </w:pPr>
            <w:r w:rsidRPr="005A1241">
              <w:rPr>
                <w:rFonts w:eastAsia="Times New Roman"/>
                <w:color w:val="000000"/>
                <w:sz w:val="18"/>
                <w:szCs w:val="18"/>
              </w:rPr>
              <w:t>1. Проучване, реставриране и консервация на (обекти от местно, национално и световно значение) недвижимото културно наследство</w:t>
            </w:r>
          </w:p>
        </w:tc>
        <w:tc>
          <w:tcPr>
            <w:tcW w:w="466" w:type="pct"/>
            <w:tcBorders>
              <w:top w:val="single" w:sz="4" w:space="0" w:color="auto"/>
              <w:left w:val="nil"/>
              <w:bottom w:val="nil"/>
              <w:right w:val="nil"/>
            </w:tcBorders>
            <w:shd w:val="clear" w:color="auto" w:fill="F2F2F2"/>
            <w:noWrap/>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Брой</w:t>
            </w:r>
          </w:p>
        </w:tc>
        <w:tc>
          <w:tcPr>
            <w:tcW w:w="700" w:type="pct"/>
            <w:tcBorders>
              <w:top w:val="single" w:sz="4" w:space="0" w:color="auto"/>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123</w:t>
            </w:r>
          </w:p>
        </w:tc>
        <w:tc>
          <w:tcPr>
            <w:tcW w:w="701" w:type="pct"/>
            <w:tcBorders>
              <w:top w:val="single" w:sz="4" w:space="0" w:color="auto"/>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150</w:t>
            </w:r>
          </w:p>
        </w:tc>
        <w:tc>
          <w:tcPr>
            <w:tcW w:w="606" w:type="pct"/>
            <w:tcBorders>
              <w:top w:val="single" w:sz="4" w:space="0" w:color="auto"/>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150</w:t>
            </w:r>
          </w:p>
        </w:tc>
        <w:tc>
          <w:tcPr>
            <w:tcW w:w="700" w:type="pct"/>
            <w:tcBorders>
              <w:top w:val="single" w:sz="4" w:space="0" w:color="auto"/>
              <w:left w:val="nil"/>
              <w:bottom w:val="nil"/>
              <w:right w:val="nil"/>
            </w:tcBorders>
            <w:shd w:val="clear" w:color="000000" w:fill="FFFFFF"/>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150</w:t>
            </w:r>
          </w:p>
        </w:tc>
      </w:tr>
      <w:tr w:rsidR="0015442C" w:rsidRPr="005A1241" w:rsidTr="000C2EEF">
        <w:trPr>
          <w:trHeight w:val="720"/>
        </w:trPr>
        <w:tc>
          <w:tcPr>
            <w:tcW w:w="1827" w:type="pct"/>
            <w:tcBorders>
              <w:top w:val="nil"/>
              <w:left w:val="nil"/>
              <w:bottom w:val="nil"/>
              <w:right w:val="nil"/>
            </w:tcBorders>
            <w:shd w:val="clear" w:color="000000" w:fill="FFFFFF"/>
            <w:hideMark/>
          </w:tcPr>
          <w:p w:rsidR="0015442C" w:rsidRPr="005A1241" w:rsidRDefault="0015442C" w:rsidP="000C2EEF">
            <w:pPr>
              <w:spacing w:before="120" w:after="0"/>
              <w:rPr>
                <w:rFonts w:eastAsia="Times New Roman"/>
                <w:color w:val="000000"/>
                <w:sz w:val="18"/>
                <w:szCs w:val="18"/>
              </w:rPr>
            </w:pPr>
            <w:r w:rsidRPr="005A1241">
              <w:rPr>
                <w:rFonts w:eastAsia="Times New Roman"/>
                <w:color w:val="000000"/>
                <w:sz w:val="18"/>
                <w:szCs w:val="18"/>
              </w:rPr>
              <w:t>2. Създаване на образователни програми в музеи и галерии</w:t>
            </w:r>
          </w:p>
        </w:tc>
        <w:tc>
          <w:tcPr>
            <w:tcW w:w="466" w:type="pct"/>
            <w:tcBorders>
              <w:top w:val="nil"/>
              <w:left w:val="nil"/>
              <w:bottom w:val="nil"/>
              <w:right w:val="nil"/>
            </w:tcBorders>
            <w:shd w:val="clear" w:color="auto" w:fill="F2F2F2"/>
            <w:noWrap/>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Брой</w:t>
            </w:r>
          </w:p>
        </w:tc>
        <w:tc>
          <w:tcPr>
            <w:tcW w:w="700" w:type="pct"/>
            <w:tcBorders>
              <w:top w:val="nil"/>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15</w:t>
            </w:r>
          </w:p>
        </w:tc>
        <w:tc>
          <w:tcPr>
            <w:tcW w:w="701" w:type="pct"/>
            <w:tcBorders>
              <w:top w:val="nil"/>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15</w:t>
            </w:r>
          </w:p>
        </w:tc>
        <w:tc>
          <w:tcPr>
            <w:tcW w:w="606" w:type="pct"/>
            <w:tcBorders>
              <w:top w:val="nil"/>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16</w:t>
            </w:r>
          </w:p>
        </w:tc>
        <w:tc>
          <w:tcPr>
            <w:tcW w:w="700" w:type="pct"/>
            <w:tcBorders>
              <w:top w:val="nil"/>
              <w:left w:val="nil"/>
              <w:bottom w:val="nil"/>
              <w:right w:val="nil"/>
            </w:tcBorders>
            <w:shd w:val="clear" w:color="000000" w:fill="FFFFFF"/>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17</w:t>
            </w:r>
          </w:p>
        </w:tc>
      </w:tr>
      <w:tr w:rsidR="0015442C" w:rsidRPr="005A1241" w:rsidTr="000C2EEF">
        <w:trPr>
          <w:trHeight w:val="1631"/>
        </w:trPr>
        <w:tc>
          <w:tcPr>
            <w:tcW w:w="1827" w:type="pct"/>
            <w:tcBorders>
              <w:top w:val="nil"/>
              <w:left w:val="nil"/>
              <w:bottom w:val="nil"/>
              <w:right w:val="nil"/>
            </w:tcBorders>
            <w:shd w:val="clear" w:color="000000" w:fill="FFFFFF"/>
            <w:hideMark/>
          </w:tcPr>
          <w:p w:rsidR="0015442C" w:rsidRPr="005A1241" w:rsidRDefault="0015442C" w:rsidP="000C2EEF">
            <w:pPr>
              <w:spacing w:before="120" w:after="0"/>
              <w:rPr>
                <w:rFonts w:eastAsia="Times New Roman"/>
                <w:color w:val="000000"/>
                <w:sz w:val="18"/>
                <w:szCs w:val="18"/>
              </w:rPr>
            </w:pPr>
            <w:r w:rsidRPr="005A1241">
              <w:rPr>
                <w:rFonts w:eastAsia="Times New Roman"/>
                <w:color w:val="000000"/>
                <w:sz w:val="18"/>
                <w:szCs w:val="18"/>
              </w:rPr>
              <w:t>3. Дигитализация на недвижими културни ценности (НКЦ) и документални архиви, създаване на регистри и бази данни -</w:t>
            </w:r>
            <w:r w:rsidRPr="005A1241">
              <w:rPr>
                <w:rFonts w:eastAsia="Times New Roman"/>
                <w:b/>
                <w:bCs/>
                <w:color w:val="000000"/>
                <w:sz w:val="18"/>
                <w:szCs w:val="18"/>
              </w:rPr>
              <w:t xml:space="preserve"> </w:t>
            </w:r>
            <w:r w:rsidRPr="005A1241">
              <w:rPr>
                <w:rFonts w:eastAsia="Times New Roman"/>
                <w:color w:val="000000"/>
                <w:sz w:val="18"/>
                <w:szCs w:val="18"/>
              </w:rPr>
              <w:t>Национален регистър на недвижими културни ценности</w:t>
            </w:r>
          </w:p>
        </w:tc>
        <w:tc>
          <w:tcPr>
            <w:tcW w:w="466" w:type="pct"/>
            <w:tcBorders>
              <w:top w:val="nil"/>
              <w:left w:val="nil"/>
              <w:bottom w:val="nil"/>
              <w:right w:val="nil"/>
            </w:tcBorders>
            <w:shd w:val="clear" w:color="auto" w:fill="F2F2F2"/>
            <w:noWrap/>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Брой</w:t>
            </w:r>
          </w:p>
        </w:tc>
        <w:tc>
          <w:tcPr>
            <w:tcW w:w="700" w:type="pct"/>
            <w:tcBorders>
              <w:top w:val="nil"/>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350 Фотограма-тични плаки</w:t>
            </w:r>
          </w:p>
        </w:tc>
        <w:tc>
          <w:tcPr>
            <w:tcW w:w="701" w:type="pct"/>
            <w:tcBorders>
              <w:top w:val="nil"/>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Дигитали -зация на архива на 1 490 НКЦ от национал - но и световно значение и фотограматични плаки за 350 НКЦ</w:t>
            </w:r>
          </w:p>
        </w:tc>
        <w:tc>
          <w:tcPr>
            <w:tcW w:w="606" w:type="pct"/>
            <w:tcBorders>
              <w:top w:val="nil"/>
              <w:left w:val="nil"/>
              <w:bottom w:val="nil"/>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Дигитализация на 50% от архива за НКЦ от местно ансамблово значение</w:t>
            </w:r>
          </w:p>
        </w:tc>
        <w:tc>
          <w:tcPr>
            <w:tcW w:w="700" w:type="pct"/>
            <w:tcBorders>
              <w:top w:val="nil"/>
              <w:left w:val="nil"/>
              <w:bottom w:val="nil"/>
              <w:right w:val="nil"/>
            </w:tcBorders>
            <w:shd w:val="clear" w:color="000000" w:fill="FFFFFF"/>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Цялостна дигитализация на архивния фонд на НКЦ</w:t>
            </w:r>
          </w:p>
        </w:tc>
      </w:tr>
      <w:tr w:rsidR="0015442C" w:rsidRPr="005A1241" w:rsidTr="000C2EEF">
        <w:trPr>
          <w:trHeight w:val="525"/>
        </w:trPr>
        <w:tc>
          <w:tcPr>
            <w:tcW w:w="1827" w:type="pct"/>
            <w:tcBorders>
              <w:top w:val="nil"/>
              <w:left w:val="nil"/>
              <w:bottom w:val="single" w:sz="8" w:space="0" w:color="auto"/>
              <w:right w:val="nil"/>
            </w:tcBorders>
            <w:shd w:val="clear" w:color="000000" w:fill="FFFFFF"/>
            <w:hideMark/>
          </w:tcPr>
          <w:p w:rsidR="0015442C" w:rsidRPr="005A1241" w:rsidRDefault="0015442C" w:rsidP="000C2EEF">
            <w:pPr>
              <w:spacing w:before="120" w:after="0"/>
              <w:rPr>
                <w:rFonts w:eastAsia="Times New Roman"/>
                <w:color w:val="000000"/>
                <w:sz w:val="18"/>
                <w:szCs w:val="18"/>
              </w:rPr>
            </w:pPr>
            <w:r w:rsidRPr="005A1241">
              <w:rPr>
                <w:rFonts w:eastAsia="Times New Roman"/>
                <w:color w:val="000000"/>
                <w:sz w:val="18"/>
                <w:szCs w:val="18"/>
              </w:rPr>
              <w:t>4. Подкрепени проекти в областта на музейното дело и визуалните изкуства</w:t>
            </w:r>
          </w:p>
        </w:tc>
        <w:tc>
          <w:tcPr>
            <w:tcW w:w="466" w:type="pct"/>
            <w:tcBorders>
              <w:top w:val="nil"/>
              <w:left w:val="nil"/>
              <w:bottom w:val="single" w:sz="8" w:space="0" w:color="auto"/>
              <w:right w:val="nil"/>
            </w:tcBorders>
            <w:shd w:val="clear" w:color="auto" w:fill="F2F2F2"/>
            <w:noWrap/>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Брой</w:t>
            </w:r>
          </w:p>
        </w:tc>
        <w:tc>
          <w:tcPr>
            <w:tcW w:w="700" w:type="pct"/>
            <w:tcBorders>
              <w:top w:val="nil"/>
              <w:left w:val="nil"/>
              <w:bottom w:val="single" w:sz="8" w:space="0" w:color="auto"/>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19</w:t>
            </w:r>
          </w:p>
        </w:tc>
        <w:tc>
          <w:tcPr>
            <w:tcW w:w="701" w:type="pct"/>
            <w:tcBorders>
              <w:top w:val="nil"/>
              <w:left w:val="nil"/>
              <w:bottom w:val="single" w:sz="8" w:space="0" w:color="auto"/>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20</w:t>
            </w:r>
          </w:p>
        </w:tc>
        <w:tc>
          <w:tcPr>
            <w:tcW w:w="606" w:type="pct"/>
            <w:tcBorders>
              <w:top w:val="nil"/>
              <w:left w:val="nil"/>
              <w:bottom w:val="single" w:sz="8" w:space="0" w:color="auto"/>
              <w:right w:val="nil"/>
            </w:tcBorders>
            <w:shd w:val="clear" w:color="000000" w:fill="FFFFFF"/>
            <w:hideMark/>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25</w:t>
            </w:r>
          </w:p>
        </w:tc>
        <w:tc>
          <w:tcPr>
            <w:tcW w:w="700" w:type="pct"/>
            <w:tcBorders>
              <w:top w:val="nil"/>
              <w:left w:val="nil"/>
              <w:bottom w:val="single" w:sz="8" w:space="0" w:color="auto"/>
              <w:right w:val="nil"/>
            </w:tcBorders>
            <w:shd w:val="clear" w:color="000000" w:fill="FFFFFF"/>
          </w:tcPr>
          <w:p w:rsidR="0015442C" w:rsidRPr="005A1241" w:rsidRDefault="0015442C" w:rsidP="000C2EEF">
            <w:pPr>
              <w:spacing w:before="120" w:after="0"/>
              <w:jc w:val="center"/>
              <w:rPr>
                <w:rFonts w:eastAsia="Times New Roman"/>
                <w:color w:val="000000"/>
                <w:sz w:val="18"/>
                <w:szCs w:val="18"/>
              </w:rPr>
            </w:pPr>
            <w:r w:rsidRPr="005A1241">
              <w:rPr>
                <w:rFonts w:eastAsia="Times New Roman"/>
                <w:color w:val="000000"/>
                <w:sz w:val="18"/>
                <w:szCs w:val="18"/>
              </w:rPr>
              <w:t>35</w:t>
            </w:r>
          </w:p>
        </w:tc>
      </w:tr>
    </w:tbl>
    <w:p w:rsidR="007D46C7" w:rsidRDefault="007D46C7" w:rsidP="004D5326">
      <w:pPr>
        <w:pStyle w:val="Heading4"/>
        <w:spacing w:before="360"/>
      </w:pPr>
      <w:r w:rsidRPr="007D46C7">
        <w:t xml:space="preserve">Политика в областта на създаване и популяризиране на съвременно изкуство в страната и </w:t>
      </w:r>
      <w:r w:rsidR="00A561E9">
        <w:t xml:space="preserve">в </w:t>
      </w:r>
      <w:r w:rsidRPr="007D46C7">
        <w:t>чужбина и достъп до качествено художествено образование</w:t>
      </w:r>
    </w:p>
    <w:p w:rsidR="0015442C" w:rsidRPr="007D6981" w:rsidRDefault="0015442C" w:rsidP="002226EC">
      <w:pPr>
        <w:spacing w:before="120" w:after="0"/>
        <w:rPr>
          <w:lang w:val="ru-RU"/>
        </w:rPr>
      </w:pPr>
    </w:p>
    <w:p w:rsidR="0015442C" w:rsidRPr="0015442C" w:rsidRDefault="0015442C" w:rsidP="0015442C">
      <w:pPr>
        <w:spacing w:before="120" w:after="0"/>
      </w:pPr>
      <w:r w:rsidRPr="0015442C">
        <w:t>Основните приоритети на политиката в тази област са оптимизиране на действащата система на финансиране в мрежата на сценичните изкуства и повишаване на ефективността на маркетинга и атрактивността на предлаганите културни продукти, разширяване на равнопоставения достъп до култура и културно наследство, опазване и социализиране на културното наследство и стимулиране на обвързването му с туристическите продукти, привличане на проектно финансиране в областта на културата по различни програми и донори, привличане на средства от европейските програми и двустранни спогодби за подкрепа на културата,  разширяване на гамата на предлаганите културни продукти и услуги в чужбина и утвърждаване на България като дестинация за осъществяване на международни културни проекти.</w:t>
      </w:r>
    </w:p>
    <w:p w:rsidR="0015442C" w:rsidRPr="0015442C" w:rsidRDefault="0015442C" w:rsidP="0015442C">
      <w:pPr>
        <w:spacing w:before="120" w:after="0"/>
      </w:pPr>
      <w:r w:rsidRPr="0015442C">
        <w:t xml:space="preserve">В областта на </w:t>
      </w:r>
      <w:r w:rsidRPr="0015442C">
        <w:rPr>
          <w:i/>
        </w:rPr>
        <w:t>филмовото изкуство</w:t>
      </w:r>
      <w:r w:rsidRPr="0015442C">
        <w:t xml:space="preserve"> ще продължи подкрепата за създаването на нови български филми. Националното финансиране предвижда увеличаване на българските филми – копродукция с европейски страни. Разширяването на интеграцията с европейските кинематографии ще допринесе за издигане на художественото и техническо качество на филмите и ще разшири възможностите за разпространение на българското кино на международния пазар.</w:t>
      </w:r>
    </w:p>
    <w:p w:rsidR="0015442C" w:rsidRPr="0015442C" w:rsidRDefault="0015442C" w:rsidP="0015442C">
      <w:pPr>
        <w:spacing w:before="120" w:after="0"/>
      </w:pPr>
      <w:r w:rsidRPr="0015442C">
        <w:t xml:space="preserve">В областта на </w:t>
      </w:r>
      <w:r w:rsidRPr="0015442C">
        <w:rPr>
          <w:i/>
        </w:rPr>
        <w:t>сценичните изкуства</w:t>
      </w:r>
      <w:r w:rsidRPr="0015442C">
        <w:t xml:space="preserve"> (театри, опери, оперно-филхармонични дружества, оркестри и ансамбли) ще продължи подобряване на управлението, осигуряване на по-голямо разнообразие от представления и на по-широк достъп на зрителите до художествения продукт, както и създаване на трайна уредба на единните разходни стандарти за финансиране на държавните културни институти, осъществяващи дейности в областта на сценичните изкуства.</w:t>
      </w:r>
    </w:p>
    <w:p w:rsidR="0015442C" w:rsidRPr="0015442C" w:rsidRDefault="0015442C" w:rsidP="0015442C">
      <w:pPr>
        <w:spacing w:before="120" w:after="0"/>
      </w:pPr>
      <w:r w:rsidRPr="0015442C">
        <w:t xml:space="preserve">В областта на </w:t>
      </w:r>
      <w:r w:rsidRPr="0015442C">
        <w:rPr>
          <w:i/>
        </w:rPr>
        <w:t>литературното наследство</w:t>
      </w:r>
      <w:r w:rsidRPr="0015442C">
        <w:t xml:space="preserve"> основните приоритети ще се насочат към подкрепа на книгоиздаването чрез подпомагане на издателската дейност и популяризиране на българската книга по света и създаване на условия за развитието и утвърждаването на библиотеките като съвременни центрове, осигуряващи ефективно библиотечно информационно обслужване на широк кръг потребители. Националната библиотека „Св. св. Кирил и Методий“ ще продължи финансирането на дейностите си по стандарти, прилагайки системата на делегиран бюджет.</w:t>
      </w:r>
    </w:p>
    <w:p w:rsidR="0015442C" w:rsidRPr="0015442C" w:rsidRDefault="0015442C" w:rsidP="0015442C">
      <w:pPr>
        <w:spacing w:before="120" w:after="0"/>
      </w:pPr>
      <w:r w:rsidRPr="0015442C">
        <w:t>Утвърждаването на положителния образ на България в чужбина посредством постиженията на националните изкуства и култура се постига чрез дейността на българските културни институти в чужбина. Акцент в тяхната дейност са страните от Европейския съюз.</w:t>
      </w:r>
    </w:p>
    <w:p w:rsidR="0015442C" w:rsidRPr="0015442C" w:rsidRDefault="0015442C" w:rsidP="0015442C">
      <w:pPr>
        <w:spacing w:before="120" w:after="0"/>
      </w:pPr>
      <w:r w:rsidRPr="0015442C">
        <w:t>Продължава утвърдената практика за финансиране на творчески проекти в областта на изкуствата и културата на проектен принцип, след провеждане на конкурси.</w:t>
      </w:r>
    </w:p>
    <w:p w:rsidR="00AC4950" w:rsidRDefault="0015442C" w:rsidP="00AC4950">
      <w:pPr>
        <w:spacing w:before="120" w:after="0"/>
      </w:pPr>
      <w:r w:rsidRPr="0015442C">
        <w:t>Отговорни за провеждане на политиката са държавните културни институти в областта на сценичните изкуства театри, опери, оперно-филхармонични дружества, оркестри и ансамбли, Изпълнителна агенция „Национален филмов център“, българските културни институти в чужбина, Национален фонд „Култура“ и Националната библиотека „Св. св. Кирил и Методий“.</w:t>
      </w:r>
    </w:p>
    <w:p w:rsidR="007D46C7" w:rsidRPr="003A1BE2" w:rsidRDefault="00AC4950" w:rsidP="002226EC">
      <w:pPr>
        <w:spacing w:before="120" w:after="0"/>
      </w:pPr>
      <w:r w:rsidRPr="007B17C9">
        <w:rPr>
          <w:rFonts w:eastAsia="Times New Roman"/>
        </w:rPr>
        <w:t xml:space="preserve">За реализирането на тази политика са разчетени средства по държавния бюджет в размер на </w:t>
      </w:r>
      <w:r>
        <w:rPr>
          <w:rFonts w:eastAsia="Times New Roman"/>
        </w:rPr>
        <w:t>22,</w:t>
      </w:r>
      <w:r w:rsidR="005E4619">
        <w:rPr>
          <w:rFonts w:eastAsia="Times New Roman"/>
        </w:rPr>
        <w:t>6</w:t>
      </w:r>
      <w:r w:rsidRPr="007B17C9">
        <w:rPr>
          <w:rFonts w:eastAsia="Times New Roman"/>
        </w:rPr>
        <w:t xml:space="preserve"> млн. лв., за всяка от трите години, от които</w:t>
      </w:r>
      <w:r w:rsidRPr="007D6981">
        <w:rPr>
          <w:rFonts w:eastAsia="Times New Roman"/>
          <w:lang w:val="ru-RU"/>
        </w:rPr>
        <w:t xml:space="preserve"> </w:t>
      </w:r>
      <w:r>
        <w:rPr>
          <w:rFonts w:eastAsia="Times New Roman"/>
        </w:rPr>
        <w:t>14,</w:t>
      </w:r>
      <w:r w:rsidRPr="007B17C9">
        <w:rPr>
          <w:rFonts w:eastAsia="Times New Roman"/>
        </w:rPr>
        <w:t>7 млн. лв. за създаване и разпространение на български филми и кино продукции с българско участие,</w:t>
      </w:r>
      <w:r w:rsidRPr="007D6981">
        <w:rPr>
          <w:rFonts w:eastAsia="Times New Roman"/>
          <w:lang w:val="ru-RU"/>
        </w:rPr>
        <w:t xml:space="preserve"> </w:t>
      </w:r>
      <w:r>
        <w:rPr>
          <w:rFonts w:eastAsia="Times New Roman"/>
        </w:rPr>
        <w:t>0,</w:t>
      </w:r>
      <w:r w:rsidRPr="007B17C9">
        <w:rPr>
          <w:rFonts w:eastAsia="Times New Roman"/>
        </w:rPr>
        <w:t xml:space="preserve">7 млн. лв. субсидии и други разходи за фестивали, конкурси, събития и чествания, </w:t>
      </w:r>
      <w:r w:rsidRPr="007D6981">
        <w:rPr>
          <w:rFonts w:eastAsia="Times New Roman"/>
          <w:lang w:val="ru-RU"/>
        </w:rPr>
        <w:t>4</w:t>
      </w:r>
      <w:r>
        <w:rPr>
          <w:rFonts w:eastAsia="Times New Roman"/>
        </w:rPr>
        <w:t>,</w:t>
      </w:r>
      <w:r w:rsidR="005E4619">
        <w:rPr>
          <w:rFonts w:eastAsia="Times New Roman"/>
          <w:lang w:val="ru-RU"/>
        </w:rPr>
        <w:t>6</w:t>
      </w:r>
      <w:r w:rsidRPr="007B17C9">
        <w:rPr>
          <w:rFonts w:eastAsia="Times New Roman"/>
        </w:rPr>
        <w:t xml:space="preserve"> млн. лв. субсидии за творчески проекти и други разходи за създаване, съхраняване и разпространение на произведения на изкуството и културата, за опазване и популяризиране на културно-историческото, литературното и нематериалното културно наследство и финансово подпомагане създаването и разпространени</w:t>
      </w:r>
      <w:r>
        <w:rPr>
          <w:rFonts w:eastAsia="Times New Roman"/>
        </w:rPr>
        <w:t>ето на сценични произведения, 0,</w:t>
      </w:r>
      <w:r w:rsidRPr="007B17C9">
        <w:rPr>
          <w:rFonts w:eastAsia="Times New Roman"/>
        </w:rPr>
        <w:t>2 млн. лв. за награди за особени заслуги към българската държава и нацията,</w:t>
      </w:r>
      <w:r w:rsidRPr="007D6981">
        <w:rPr>
          <w:rFonts w:eastAsia="Times New Roman"/>
          <w:lang w:val="ru-RU"/>
        </w:rPr>
        <w:t xml:space="preserve"> </w:t>
      </w:r>
      <w:r>
        <w:rPr>
          <w:rFonts w:eastAsia="Times New Roman"/>
        </w:rPr>
        <w:t>2,</w:t>
      </w:r>
      <w:r w:rsidRPr="007B17C9">
        <w:rPr>
          <w:rFonts w:eastAsia="Times New Roman"/>
        </w:rPr>
        <w:t>0 млн. лв. за програма „Българските библиотеки - съвременни центрове</w:t>
      </w:r>
      <w:r>
        <w:rPr>
          <w:rFonts w:eastAsia="Times New Roman"/>
        </w:rPr>
        <w:t xml:space="preserve"> за четене и информираност“ и 0,</w:t>
      </w:r>
      <w:r w:rsidRPr="007B17C9">
        <w:rPr>
          <w:rFonts w:eastAsia="Times New Roman"/>
        </w:rPr>
        <w:t>4 млн. лв. за членски внос и участие в нетърговски организации и дейности в областта на културното сътрудничество.</w:t>
      </w:r>
    </w:p>
    <w:p w:rsidR="00A216D3" w:rsidRDefault="00A216D3" w:rsidP="00E12283">
      <w:pPr>
        <w:jc w:val="left"/>
        <w:rPr>
          <w:rFonts w:cs="Times New Roman"/>
          <w:b/>
          <w:sz w:val="20"/>
          <w:szCs w:val="20"/>
        </w:rPr>
      </w:pPr>
    </w:p>
    <w:p w:rsidR="00E12283" w:rsidRDefault="00E12283" w:rsidP="00E12283">
      <w:pPr>
        <w:jc w:val="left"/>
        <w:rPr>
          <w:rFonts w:cs="Times New Roman"/>
          <w:b/>
          <w:sz w:val="20"/>
          <w:szCs w:val="20"/>
        </w:rPr>
      </w:pPr>
      <w:r w:rsidRPr="00E71A58">
        <w:rPr>
          <w:rFonts w:cs="Times New Roman"/>
          <w:b/>
          <w:sz w:val="20"/>
          <w:szCs w:val="20"/>
        </w:rPr>
        <w:t>КЛЮЧОВИ ИНДИКАТОРИ ЗА ИЗПЪЛНЕНИЕ И ЦЕЛЕВИ СТОЙНОСТИ</w:t>
      </w:r>
    </w:p>
    <w:tbl>
      <w:tblPr>
        <w:tblW w:w="5040" w:type="pct"/>
        <w:tblCellMar>
          <w:left w:w="70" w:type="dxa"/>
          <w:right w:w="70" w:type="dxa"/>
        </w:tblCellMar>
        <w:tblLook w:val="04A0" w:firstRow="1" w:lastRow="0" w:firstColumn="1" w:lastColumn="0" w:noHBand="0" w:noVBand="1"/>
      </w:tblPr>
      <w:tblGrid>
        <w:gridCol w:w="3838"/>
        <w:gridCol w:w="976"/>
        <w:gridCol w:w="1115"/>
        <w:gridCol w:w="373"/>
        <w:gridCol w:w="549"/>
        <w:gridCol w:w="373"/>
        <w:gridCol w:w="803"/>
        <w:gridCol w:w="123"/>
        <w:gridCol w:w="993"/>
      </w:tblGrid>
      <w:tr w:rsidR="0015442C" w:rsidRPr="005A1241" w:rsidTr="004100C6">
        <w:trPr>
          <w:trHeight w:val="50"/>
          <w:tblHeader/>
        </w:trPr>
        <w:tc>
          <w:tcPr>
            <w:tcW w:w="2099" w:type="pct"/>
            <w:tcBorders>
              <w:top w:val="single" w:sz="8" w:space="0" w:color="auto"/>
              <w:left w:val="nil"/>
              <w:bottom w:val="nil"/>
              <w:right w:val="nil"/>
            </w:tcBorders>
            <w:shd w:val="clear" w:color="auto" w:fill="auto"/>
            <w:vAlign w:val="center"/>
            <w:hideMark/>
          </w:tcPr>
          <w:p w:rsidR="0015442C" w:rsidRPr="005A1241" w:rsidRDefault="0015442C" w:rsidP="000C2EEF">
            <w:pPr>
              <w:spacing w:after="0"/>
              <w:jc w:val="center"/>
              <w:rPr>
                <w:rFonts w:asciiTheme="majorHAnsi" w:eastAsia="Times New Roman" w:hAnsiTheme="majorHAnsi" w:cstheme="majorHAnsi"/>
                <w:b/>
                <w:bCs/>
                <w:i/>
                <w:iCs/>
                <w:color w:val="000000"/>
                <w:sz w:val="18"/>
                <w:szCs w:val="18"/>
              </w:rPr>
            </w:pPr>
            <w:r w:rsidRPr="005A1241">
              <w:rPr>
                <w:rFonts w:asciiTheme="majorHAnsi" w:eastAsia="Times New Roman" w:hAnsiTheme="majorHAnsi" w:cstheme="majorHAnsi"/>
                <w:b/>
                <w:bCs/>
                <w:i/>
                <w:iCs/>
                <w:color w:val="000000"/>
                <w:sz w:val="18"/>
                <w:szCs w:val="18"/>
              </w:rPr>
              <w:t xml:space="preserve">Политика в областта на създаване и популяризиране на съвременно изкуство в страната и </w:t>
            </w:r>
            <w:r w:rsidR="00A561E9">
              <w:rPr>
                <w:rFonts w:asciiTheme="majorHAnsi" w:eastAsia="Times New Roman" w:hAnsiTheme="majorHAnsi" w:cstheme="majorHAnsi"/>
                <w:b/>
                <w:bCs/>
                <w:i/>
                <w:iCs/>
                <w:color w:val="000000"/>
                <w:sz w:val="18"/>
                <w:szCs w:val="18"/>
              </w:rPr>
              <w:t xml:space="preserve">в </w:t>
            </w:r>
            <w:r w:rsidRPr="005A1241">
              <w:rPr>
                <w:rFonts w:asciiTheme="majorHAnsi" w:eastAsia="Times New Roman" w:hAnsiTheme="majorHAnsi" w:cstheme="majorHAnsi"/>
                <w:b/>
                <w:bCs/>
                <w:i/>
                <w:iCs/>
                <w:color w:val="000000"/>
                <w:sz w:val="18"/>
                <w:szCs w:val="18"/>
              </w:rPr>
              <w:t>чужбина и достъп до качествено художествено образование</w:t>
            </w:r>
          </w:p>
        </w:tc>
        <w:tc>
          <w:tcPr>
            <w:tcW w:w="534" w:type="pct"/>
            <w:vMerge w:val="restart"/>
            <w:tcBorders>
              <w:top w:val="single" w:sz="8" w:space="0" w:color="auto"/>
              <w:left w:val="nil"/>
              <w:bottom w:val="single" w:sz="8" w:space="0" w:color="963634"/>
              <w:right w:val="nil"/>
            </w:tcBorders>
            <w:shd w:val="clear" w:color="auto" w:fill="F2F2F2"/>
            <w:vAlign w:val="center"/>
            <w:hideMark/>
          </w:tcPr>
          <w:p w:rsidR="0015442C" w:rsidRPr="005A1241" w:rsidRDefault="0015442C" w:rsidP="000C2EEF">
            <w:pPr>
              <w:spacing w:after="0"/>
              <w:jc w:val="center"/>
              <w:rPr>
                <w:rFonts w:asciiTheme="majorHAnsi" w:eastAsia="Times New Roman" w:hAnsiTheme="majorHAnsi" w:cstheme="majorHAnsi"/>
                <w:b/>
                <w:bCs/>
                <w:color w:val="000000"/>
                <w:sz w:val="18"/>
                <w:szCs w:val="18"/>
              </w:rPr>
            </w:pPr>
            <w:r w:rsidRPr="005A1241">
              <w:rPr>
                <w:rFonts w:asciiTheme="majorHAnsi" w:eastAsia="Times New Roman" w:hAnsiTheme="majorHAnsi" w:cstheme="majorHAnsi"/>
                <w:b/>
                <w:bCs/>
                <w:color w:val="000000"/>
                <w:sz w:val="18"/>
                <w:szCs w:val="18"/>
              </w:rPr>
              <w:t>Мерна единица</w:t>
            </w:r>
          </w:p>
        </w:tc>
        <w:tc>
          <w:tcPr>
            <w:tcW w:w="1757" w:type="pct"/>
            <w:gridSpan w:val="5"/>
            <w:tcBorders>
              <w:top w:val="single" w:sz="8" w:space="0" w:color="auto"/>
              <w:left w:val="nil"/>
              <w:bottom w:val="single" w:sz="4" w:space="0" w:color="auto"/>
              <w:right w:val="nil"/>
            </w:tcBorders>
            <w:shd w:val="clear" w:color="auto" w:fill="auto"/>
            <w:vAlign w:val="center"/>
            <w:hideMark/>
          </w:tcPr>
          <w:p w:rsidR="0015442C" w:rsidRPr="005A1241" w:rsidRDefault="0015442C" w:rsidP="000C2EEF">
            <w:pPr>
              <w:spacing w:after="0"/>
              <w:jc w:val="center"/>
              <w:rPr>
                <w:rFonts w:asciiTheme="majorHAnsi" w:eastAsia="Times New Roman" w:hAnsiTheme="majorHAnsi" w:cstheme="majorHAnsi"/>
                <w:b/>
                <w:bCs/>
                <w:color w:val="000000"/>
                <w:sz w:val="18"/>
                <w:szCs w:val="18"/>
              </w:rPr>
            </w:pPr>
            <w:r w:rsidRPr="005A1241">
              <w:rPr>
                <w:rFonts w:asciiTheme="majorHAnsi" w:eastAsia="Times New Roman" w:hAnsiTheme="majorHAnsi" w:cstheme="majorHAnsi"/>
                <w:b/>
                <w:bCs/>
                <w:color w:val="000000"/>
                <w:sz w:val="18"/>
                <w:szCs w:val="18"/>
              </w:rPr>
              <w:t>Целева стойност</w:t>
            </w:r>
          </w:p>
        </w:tc>
        <w:tc>
          <w:tcPr>
            <w:tcW w:w="610" w:type="pct"/>
            <w:gridSpan w:val="2"/>
            <w:tcBorders>
              <w:top w:val="single" w:sz="8" w:space="0" w:color="auto"/>
              <w:left w:val="nil"/>
              <w:bottom w:val="single" w:sz="4" w:space="0" w:color="auto"/>
              <w:right w:val="nil"/>
            </w:tcBorders>
          </w:tcPr>
          <w:p w:rsidR="0015442C" w:rsidRPr="005A1241" w:rsidRDefault="0015442C" w:rsidP="000C2EEF">
            <w:pPr>
              <w:spacing w:after="0"/>
              <w:jc w:val="center"/>
              <w:rPr>
                <w:rFonts w:asciiTheme="majorHAnsi" w:eastAsia="Times New Roman" w:hAnsiTheme="majorHAnsi" w:cstheme="majorHAnsi"/>
                <w:b/>
                <w:bCs/>
                <w:color w:val="000000"/>
                <w:sz w:val="18"/>
                <w:szCs w:val="18"/>
              </w:rPr>
            </w:pPr>
          </w:p>
        </w:tc>
      </w:tr>
      <w:tr w:rsidR="0015442C" w:rsidRPr="005A1241" w:rsidTr="004100C6">
        <w:trPr>
          <w:trHeight w:val="50"/>
          <w:tblHeader/>
        </w:trPr>
        <w:tc>
          <w:tcPr>
            <w:tcW w:w="2099" w:type="pct"/>
            <w:tcBorders>
              <w:top w:val="nil"/>
              <w:left w:val="nil"/>
              <w:bottom w:val="single" w:sz="4" w:space="0" w:color="auto"/>
              <w:right w:val="nil"/>
            </w:tcBorders>
            <w:shd w:val="clear" w:color="auto" w:fill="auto"/>
            <w:vAlign w:val="center"/>
            <w:hideMark/>
          </w:tcPr>
          <w:p w:rsidR="0015442C" w:rsidRPr="005A1241" w:rsidRDefault="0015442C" w:rsidP="000C2EEF">
            <w:pPr>
              <w:spacing w:after="0"/>
              <w:jc w:val="center"/>
              <w:rPr>
                <w:rFonts w:asciiTheme="majorHAnsi" w:eastAsia="Times New Roman" w:hAnsiTheme="majorHAnsi" w:cstheme="majorHAnsi"/>
                <w:b/>
                <w:bCs/>
                <w:color w:val="000000"/>
                <w:sz w:val="18"/>
                <w:szCs w:val="18"/>
              </w:rPr>
            </w:pPr>
            <w:r w:rsidRPr="005A1241">
              <w:rPr>
                <w:rFonts w:asciiTheme="majorHAnsi" w:eastAsia="Times New Roman" w:hAnsiTheme="majorHAnsi" w:cstheme="majorHAnsi"/>
                <w:b/>
                <w:bCs/>
                <w:color w:val="000000"/>
                <w:sz w:val="18"/>
                <w:szCs w:val="18"/>
              </w:rPr>
              <w:t>Наименование на индикатора</w:t>
            </w:r>
          </w:p>
        </w:tc>
        <w:tc>
          <w:tcPr>
            <w:tcW w:w="534" w:type="pct"/>
            <w:vMerge/>
            <w:tcBorders>
              <w:top w:val="single" w:sz="8" w:space="0" w:color="auto"/>
              <w:left w:val="nil"/>
              <w:bottom w:val="single" w:sz="4" w:space="0" w:color="auto"/>
              <w:right w:val="nil"/>
            </w:tcBorders>
            <w:shd w:val="clear" w:color="auto" w:fill="F2F2F2"/>
            <w:vAlign w:val="center"/>
            <w:hideMark/>
          </w:tcPr>
          <w:p w:rsidR="0015442C" w:rsidRPr="005A1241" w:rsidRDefault="0015442C" w:rsidP="000C2EEF">
            <w:pPr>
              <w:spacing w:after="0"/>
              <w:jc w:val="left"/>
              <w:rPr>
                <w:rFonts w:asciiTheme="majorHAnsi" w:eastAsia="Times New Roman" w:hAnsiTheme="majorHAnsi" w:cstheme="majorHAnsi"/>
                <w:b/>
                <w:bCs/>
                <w:color w:val="000000"/>
                <w:sz w:val="18"/>
                <w:szCs w:val="18"/>
              </w:rPr>
            </w:pPr>
          </w:p>
        </w:tc>
        <w:tc>
          <w:tcPr>
            <w:tcW w:w="610" w:type="pct"/>
            <w:tcBorders>
              <w:top w:val="nil"/>
              <w:left w:val="nil"/>
              <w:bottom w:val="single" w:sz="4" w:space="0" w:color="auto"/>
              <w:right w:val="nil"/>
            </w:tcBorders>
            <w:shd w:val="clear" w:color="auto" w:fill="auto"/>
            <w:vAlign w:val="center"/>
            <w:hideMark/>
          </w:tcPr>
          <w:p w:rsidR="0015442C" w:rsidRPr="005A1241" w:rsidRDefault="0015442C" w:rsidP="000C2EEF">
            <w:pPr>
              <w:spacing w:after="0"/>
              <w:jc w:val="center"/>
              <w:rPr>
                <w:rFonts w:asciiTheme="majorHAnsi" w:eastAsia="Times New Roman" w:hAnsiTheme="majorHAnsi" w:cstheme="majorHAnsi"/>
                <w:b/>
                <w:bCs/>
                <w:i/>
                <w:iCs/>
                <w:color w:val="000000"/>
                <w:sz w:val="18"/>
                <w:szCs w:val="18"/>
              </w:rPr>
            </w:pPr>
            <w:r w:rsidRPr="005A1241">
              <w:rPr>
                <w:rFonts w:asciiTheme="majorHAnsi" w:eastAsia="Times New Roman" w:hAnsiTheme="majorHAnsi" w:cstheme="majorHAnsi"/>
                <w:b/>
                <w:bCs/>
                <w:i/>
                <w:iCs/>
                <w:color w:val="000000"/>
                <w:sz w:val="18"/>
                <w:szCs w:val="18"/>
              </w:rPr>
              <w:t>Програма 2019 г.</w:t>
            </w:r>
          </w:p>
        </w:tc>
        <w:tc>
          <w:tcPr>
            <w:tcW w:w="504" w:type="pct"/>
            <w:gridSpan w:val="2"/>
            <w:tcBorders>
              <w:top w:val="nil"/>
              <w:left w:val="nil"/>
              <w:bottom w:val="single" w:sz="4" w:space="0" w:color="auto"/>
              <w:right w:val="nil"/>
            </w:tcBorders>
            <w:shd w:val="clear" w:color="auto" w:fill="auto"/>
            <w:vAlign w:val="center"/>
            <w:hideMark/>
          </w:tcPr>
          <w:p w:rsidR="0015442C" w:rsidRPr="005A1241" w:rsidRDefault="0015442C" w:rsidP="000C2EEF">
            <w:pPr>
              <w:spacing w:after="0"/>
              <w:jc w:val="center"/>
              <w:rPr>
                <w:rFonts w:asciiTheme="majorHAnsi" w:eastAsia="Times New Roman" w:hAnsiTheme="majorHAnsi" w:cstheme="majorHAnsi"/>
                <w:b/>
                <w:bCs/>
                <w:i/>
                <w:iCs/>
                <w:color w:val="000000"/>
                <w:sz w:val="18"/>
                <w:szCs w:val="18"/>
              </w:rPr>
            </w:pPr>
            <w:r w:rsidRPr="005A1241">
              <w:rPr>
                <w:rFonts w:asciiTheme="majorHAnsi" w:eastAsia="Times New Roman" w:hAnsiTheme="majorHAnsi" w:cstheme="majorHAnsi"/>
                <w:b/>
                <w:bCs/>
                <w:i/>
                <w:iCs/>
                <w:color w:val="000000"/>
                <w:sz w:val="18"/>
                <w:szCs w:val="18"/>
              </w:rPr>
              <w:t>Про</w:t>
            </w:r>
            <w:r w:rsidR="00F1198E">
              <w:rPr>
                <w:rFonts w:asciiTheme="majorHAnsi" w:eastAsia="Times New Roman" w:hAnsiTheme="majorHAnsi" w:cstheme="majorHAnsi"/>
                <w:b/>
                <w:bCs/>
                <w:i/>
                <w:iCs/>
                <w:color w:val="000000"/>
                <w:sz w:val="18"/>
                <w:szCs w:val="18"/>
              </w:rPr>
              <w:t>ект</w:t>
            </w:r>
            <w:r w:rsidRPr="005A1241">
              <w:rPr>
                <w:rFonts w:asciiTheme="majorHAnsi" w:eastAsia="Times New Roman" w:hAnsiTheme="majorHAnsi" w:cstheme="majorHAnsi"/>
                <w:b/>
                <w:bCs/>
                <w:i/>
                <w:iCs/>
                <w:color w:val="000000"/>
                <w:sz w:val="18"/>
                <w:szCs w:val="18"/>
              </w:rPr>
              <w:t xml:space="preserve"> 2020 г.</w:t>
            </w:r>
          </w:p>
        </w:tc>
        <w:tc>
          <w:tcPr>
            <w:tcW w:w="643" w:type="pct"/>
            <w:gridSpan w:val="2"/>
            <w:tcBorders>
              <w:top w:val="nil"/>
              <w:left w:val="nil"/>
              <w:bottom w:val="single" w:sz="4" w:space="0" w:color="auto"/>
              <w:right w:val="nil"/>
            </w:tcBorders>
            <w:shd w:val="clear" w:color="auto" w:fill="auto"/>
            <w:vAlign w:val="center"/>
            <w:hideMark/>
          </w:tcPr>
          <w:p w:rsidR="0015442C" w:rsidRPr="005A1241" w:rsidRDefault="0015442C" w:rsidP="000C2EEF">
            <w:pPr>
              <w:spacing w:after="0"/>
              <w:jc w:val="center"/>
              <w:rPr>
                <w:rFonts w:asciiTheme="majorHAnsi" w:eastAsia="Times New Roman" w:hAnsiTheme="majorHAnsi" w:cstheme="majorHAnsi"/>
                <w:b/>
                <w:bCs/>
                <w:i/>
                <w:iCs/>
                <w:color w:val="000000"/>
                <w:sz w:val="18"/>
                <w:szCs w:val="18"/>
              </w:rPr>
            </w:pPr>
            <w:r w:rsidRPr="005A1241">
              <w:rPr>
                <w:rFonts w:asciiTheme="majorHAnsi" w:eastAsia="Times New Roman" w:hAnsiTheme="majorHAnsi" w:cstheme="majorHAnsi"/>
                <w:b/>
                <w:bCs/>
                <w:i/>
                <w:iCs/>
                <w:color w:val="000000"/>
                <w:sz w:val="18"/>
                <w:szCs w:val="18"/>
              </w:rPr>
              <w:t>Прогноза 2021 г.</w:t>
            </w:r>
          </w:p>
        </w:tc>
        <w:tc>
          <w:tcPr>
            <w:tcW w:w="610" w:type="pct"/>
            <w:gridSpan w:val="2"/>
            <w:tcBorders>
              <w:top w:val="nil"/>
              <w:left w:val="nil"/>
              <w:bottom w:val="single" w:sz="4" w:space="0" w:color="auto"/>
              <w:right w:val="nil"/>
            </w:tcBorders>
            <w:vAlign w:val="center"/>
          </w:tcPr>
          <w:p w:rsidR="0015442C" w:rsidRPr="005A1241" w:rsidRDefault="0015442C" w:rsidP="000C2EEF">
            <w:pPr>
              <w:spacing w:after="0"/>
              <w:jc w:val="center"/>
              <w:rPr>
                <w:rFonts w:asciiTheme="majorHAnsi" w:eastAsia="Times New Roman" w:hAnsiTheme="majorHAnsi" w:cstheme="majorHAnsi"/>
                <w:b/>
                <w:bCs/>
                <w:i/>
                <w:iCs/>
                <w:color w:val="000000"/>
                <w:sz w:val="18"/>
                <w:szCs w:val="18"/>
              </w:rPr>
            </w:pPr>
            <w:r w:rsidRPr="005A1241">
              <w:rPr>
                <w:rFonts w:asciiTheme="majorHAnsi" w:eastAsia="Times New Roman" w:hAnsiTheme="majorHAnsi" w:cstheme="majorHAnsi"/>
                <w:b/>
                <w:bCs/>
                <w:i/>
                <w:iCs/>
                <w:color w:val="000000"/>
                <w:sz w:val="18"/>
                <w:szCs w:val="18"/>
              </w:rPr>
              <w:t>Прогноза 2022 г.</w:t>
            </w:r>
          </w:p>
        </w:tc>
      </w:tr>
      <w:tr w:rsidR="0015442C" w:rsidRPr="005A1241" w:rsidTr="004100C6">
        <w:trPr>
          <w:trHeight w:val="357"/>
        </w:trPr>
        <w:tc>
          <w:tcPr>
            <w:tcW w:w="2099" w:type="pct"/>
            <w:tcBorders>
              <w:top w:val="single" w:sz="4" w:space="0" w:color="auto"/>
              <w:left w:val="nil"/>
              <w:bottom w:val="nil"/>
              <w:right w:val="nil"/>
            </w:tcBorders>
            <w:shd w:val="clear" w:color="000000" w:fill="FFFFFF"/>
            <w:hideMark/>
          </w:tcPr>
          <w:p w:rsidR="0015442C" w:rsidRPr="005A1241" w:rsidRDefault="0015442C" w:rsidP="000C2EEF">
            <w:pPr>
              <w:spacing w:before="120" w:after="0"/>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 Подкрепа на производството на български филми</w:t>
            </w:r>
          </w:p>
        </w:tc>
        <w:tc>
          <w:tcPr>
            <w:tcW w:w="534" w:type="pct"/>
            <w:tcBorders>
              <w:top w:val="single" w:sz="4" w:space="0" w:color="auto"/>
              <w:left w:val="nil"/>
              <w:bottom w:val="nil"/>
              <w:right w:val="nil"/>
            </w:tcBorders>
            <w:shd w:val="clear" w:color="auto" w:fill="F2F2F2"/>
            <w:noWrap/>
            <w:hideMark/>
          </w:tcPr>
          <w:p w:rsidR="0015442C" w:rsidRPr="005A1241" w:rsidRDefault="0015442C" w:rsidP="000C2EEF">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брой</w:t>
            </w:r>
          </w:p>
        </w:tc>
        <w:tc>
          <w:tcPr>
            <w:tcW w:w="610" w:type="pct"/>
            <w:tcBorders>
              <w:top w:val="single" w:sz="4" w:space="0" w:color="auto"/>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38</w:t>
            </w:r>
          </w:p>
        </w:tc>
        <w:tc>
          <w:tcPr>
            <w:tcW w:w="504" w:type="pct"/>
            <w:gridSpan w:val="2"/>
            <w:tcBorders>
              <w:top w:val="single" w:sz="4" w:space="0" w:color="auto"/>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36</w:t>
            </w:r>
          </w:p>
        </w:tc>
        <w:tc>
          <w:tcPr>
            <w:tcW w:w="643" w:type="pct"/>
            <w:gridSpan w:val="2"/>
            <w:tcBorders>
              <w:top w:val="single" w:sz="4" w:space="0" w:color="auto"/>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44</w:t>
            </w:r>
          </w:p>
        </w:tc>
        <w:tc>
          <w:tcPr>
            <w:tcW w:w="610" w:type="pct"/>
            <w:gridSpan w:val="2"/>
            <w:tcBorders>
              <w:top w:val="single" w:sz="4" w:space="0" w:color="auto"/>
              <w:left w:val="nil"/>
              <w:bottom w:val="nil"/>
              <w:right w:val="nil"/>
            </w:tcBorders>
            <w:shd w:val="clear" w:color="000000" w:fill="FFFFFF"/>
            <w:vAlign w:val="center"/>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50</w:t>
            </w:r>
          </w:p>
        </w:tc>
      </w:tr>
      <w:tr w:rsidR="0015442C" w:rsidRPr="005A1241" w:rsidTr="004100C6">
        <w:trPr>
          <w:trHeight w:val="510"/>
        </w:trPr>
        <w:tc>
          <w:tcPr>
            <w:tcW w:w="2099" w:type="pct"/>
            <w:tcBorders>
              <w:top w:val="nil"/>
              <w:left w:val="nil"/>
              <w:bottom w:val="nil"/>
              <w:right w:val="nil"/>
            </w:tcBorders>
            <w:shd w:val="clear" w:color="000000" w:fill="FFFFFF"/>
            <w:hideMark/>
          </w:tcPr>
          <w:p w:rsidR="0015442C" w:rsidRPr="005A1241" w:rsidRDefault="0015442C" w:rsidP="000C2EEF">
            <w:pPr>
              <w:spacing w:before="120" w:after="0"/>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2. Популяризиране на българското кино чрез участия в международни фестивали</w:t>
            </w:r>
          </w:p>
        </w:tc>
        <w:tc>
          <w:tcPr>
            <w:tcW w:w="534" w:type="pct"/>
            <w:tcBorders>
              <w:top w:val="nil"/>
              <w:left w:val="nil"/>
              <w:bottom w:val="nil"/>
              <w:right w:val="nil"/>
            </w:tcBorders>
            <w:shd w:val="clear" w:color="auto" w:fill="F2F2F2"/>
            <w:noWrap/>
            <w:hideMark/>
          </w:tcPr>
          <w:p w:rsidR="0015442C" w:rsidRPr="005A1241" w:rsidRDefault="0015442C" w:rsidP="000C2EEF">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брой</w:t>
            </w:r>
          </w:p>
        </w:tc>
        <w:tc>
          <w:tcPr>
            <w:tcW w:w="610" w:type="pct"/>
            <w:tcBorders>
              <w:top w:val="nil"/>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60</w:t>
            </w:r>
          </w:p>
        </w:tc>
        <w:tc>
          <w:tcPr>
            <w:tcW w:w="504" w:type="pct"/>
            <w:gridSpan w:val="2"/>
            <w:tcBorders>
              <w:top w:val="nil"/>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60</w:t>
            </w:r>
          </w:p>
        </w:tc>
        <w:tc>
          <w:tcPr>
            <w:tcW w:w="643" w:type="pct"/>
            <w:gridSpan w:val="2"/>
            <w:tcBorders>
              <w:top w:val="nil"/>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60</w:t>
            </w:r>
          </w:p>
        </w:tc>
        <w:tc>
          <w:tcPr>
            <w:tcW w:w="610" w:type="pct"/>
            <w:gridSpan w:val="2"/>
            <w:tcBorders>
              <w:top w:val="nil"/>
              <w:left w:val="nil"/>
              <w:bottom w:val="nil"/>
              <w:right w:val="nil"/>
            </w:tcBorders>
            <w:shd w:val="clear" w:color="000000" w:fill="FFFFFF"/>
            <w:vAlign w:val="center"/>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60</w:t>
            </w:r>
          </w:p>
        </w:tc>
      </w:tr>
      <w:tr w:rsidR="0015442C" w:rsidRPr="005A1241" w:rsidTr="004100C6">
        <w:trPr>
          <w:trHeight w:val="510"/>
        </w:trPr>
        <w:tc>
          <w:tcPr>
            <w:tcW w:w="2099" w:type="pct"/>
            <w:tcBorders>
              <w:top w:val="nil"/>
              <w:left w:val="nil"/>
              <w:bottom w:val="nil"/>
              <w:right w:val="nil"/>
            </w:tcBorders>
            <w:shd w:val="clear" w:color="000000" w:fill="FFFFFF"/>
            <w:hideMark/>
          </w:tcPr>
          <w:p w:rsidR="0015442C" w:rsidRPr="005A1241" w:rsidRDefault="0015442C" w:rsidP="000C2EEF">
            <w:pPr>
              <w:spacing w:before="120" w:after="0"/>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3. Подкрепени проекти в областта на сценичните изкуства, литературата, любителско творчество</w:t>
            </w:r>
          </w:p>
        </w:tc>
        <w:tc>
          <w:tcPr>
            <w:tcW w:w="534" w:type="pct"/>
            <w:tcBorders>
              <w:top w:val="nil"/>
              <w:left w:val="nil"/>
              <w:bottom w:val="nil"/>
              <w:right w:val="nil"/>
            </w:tcBorders>
            <w:shd w:val="clear" w:color="auto" w:fill="F2F2F2"/>
            <w:noWrap/>
            <w:hideMark/>
          </w:tcPr>
          <w:p w:rsidR="0015442C" w:rsidRPr="005A1241" w:rsidRDefault="0015442C" w:rsidP="000C2EEF">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брой</w:t>
            </w:r>
          </w:p>
        </w:tc>
        <w:tc>
          <w:tcPr>
            <w:tcW w:w="610" w:type="pct"/>
            <w:tcBorders>
              <w:top w:val="nil"/>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150</w:t>
            </w:r>
          </w:p>
        </w:tc>
        <w:tc>
          <w:tcPr>
            <w:tcW w:w="504" w:type="pct"/>
            <w:gridSpan w:val="2"/>
            <w:tcBorders>
              <w:top w:val="nil"/>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150</w:t>
            </w:r>
          </w:p>
        </w:tc>
        <w:tc>
          <w:tcPr>
            <w:tcW w:w="643" w:type="pct"/>
            <w:gridSpan w:val="2"/>
            <w:tcBorders>
              <w:top w:val="nil"/>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150</w:t>
            </w:r>
          </w:p>
        </w:tc>
        <w:tc>
          <w:tcPr>
            <w:tcW w:w="610" w:type="pct"/>
            <w:gridSpan w:val="2"/>
            <w:tcBorders>
              <w:top w:val="nil"/>
              <w:left w:val="nil"/>
              <w:bottom w:val="nil"/>
              <w:right w:val="nil"/>
            </w:tcBorders>
            <w:shd w:val="clear" w:color="000000" w:fill="FFFFFF"/>
            <w:vAlign w:val="center"/>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150</w:t>
            </w:r>
          </w:p>
        </w:tc>
      </w:tr>
      <w:tr w:rsidR="001C6B75" w:rsidRPr="005A1241" w:rsidTr="004100C6">
        <w:trPr>
          <w:trHeight w:val="510"/>
        </w:trPr>
        <w:tc>
          <w:tcPr>
            <w:tcW w:w="2099" w:type="pct"/>
            <w:tcBorders>
              <w:top w:val="nil"/>
              <w:left w:val="nil"/>
              <w:right w:val="nil"/>
            </w:tcBorders>
            <w:shd w:val="clear" w:color="000000" w:fill="FFFFFF"/>
          </w:tcPr>
          <w:p w:rsidR="001C6B75" w:rsidRPr="005A1241" w:rsidRDefault="001C6B75" w:rsidP="00B063BA">
            <w:pPr>
              <w:spacing w:before="120" w:after="0"/>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4. Организирани изяви на български творци на международна сцена</w:t>
            </w:r>
          </w:p>
        </w:tc>
        <w:tc>
          <w:tcPr>
            <w:tcW w:w="534" w:type="pct"/>
            <w:tcBorders>
              <w:top w:val="nil"/>
              <w:left w:val="nil"/>
              <w:right w:val="nil"/>
            </w:tcBorders>
            <w:shd w:val="clear" w:color="auto" w:fill="F2F2F2"/>
            <w:noWrap/>
          </w:tcPr>
          <w:p w:rsidR="001C6B75" w:rsidRPr="005A1241" w:rsidRDefault="001C6B75" w:rsidP="00B063BA">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брой</w:t>
            </w:r>
          </w:p>
        </w:tc>
        <w:tc>
          <w:tcPr>
            <w:tcW w:w="610" w:type="pct"/>
            <w:tcBorders>
              <w:top w:val="nil"/>
              <w:left w:val="nil"/>
              <w:right w:val="nil"/>
            </w:tcBorders>
            <w:shd w:val="clear" w:color="000000" w:fill="FFFFFF"/>
            <w:vAlign w:val="center"/>
          </w:tcPr>
          <w:p w:rsidR="001C6B75" w:rsidRPr="005A1241" w:rsidRDefault="001C6B75"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28</w:t>
            </w:r>
          </w:p>
        </w:tc>
        <w:tc>
          <w:tcPr>
            <w:tcW w:w="504" w:type="pct"/>
            <w:gridSpan w:val="2"/>
            <w:tcBorders>
              <w:top w:val="nil"/>
              <w:left w:val="nil"/>
              <w:right w:val="nil"/>
            </w:tcBorders>
            <w:shd w:val="clear" w:color="000000" w:fill="FFFFFF"/>
            <w:vAlign w:val="center"/>
          </w:tcPr>
          <w:p w:rsidR="001C6B75" w:rsidRPr="005A1241" w:rsidRDefault="001C6B75"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28</w:t>
            </w:r>
          </w:p>
        </w:tc>
        <w:tc>
          <w:tcPr>
            <w:tcW w:w="643" w:type="pct"/>
            <w:gridSpan w:val="2"/>
            <w:tcBorders>
              <w:top w:val="nil"/>
              <w:left w:val="nil"/>
              <w:right w:val="nil"/>
            </w:tcBorders>
            <w:shd w:val="clear" w:color="000000" w:fill="FFFFFF"/>
            <w:vAlign w:val="center"/>
          </w:tcPr>
          <w:p w:rsidR="001C6B75" w:rsidRPr="005A1241" w:rsidRDefault="001C6B75"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30</w:t>
            </w:r>
          </w:p>
        </w:tc>
        <w:tc>
          <w:tcPr>
            <w:tcW w:w="610" w:type="pct"/>
            <w:gridSpan w:val="2"/>
            <w:tcBorders>
              <w:top w:val="nil"/>
              <w:left w:val="nil"/>
              <w:right w:val="nil"/>
            </w:tcBorders>
            <w:shd w:val="clear" w:color="000000" w:fill="FFFFFF"/>
            <w:vAlign w:val="center"/>
          </w:tcPr>
          <w:p w:rsidR="001C6B75" w:rsidRPr="005A1241" w:rsidRDefault="001C6B75"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36</w:t>
            </w:r>
          </w:p>
        </w:tc>
      </w:tr>
      <w:tr w:rsidR="0015442C" w:rsidRPr="005A1241" w:rsidTr="004100C6">
        <w:trPr>
          <w:trHeight w:val="510"/>
        </w:trPr>
        <w:tc>
          <w:tcPr>
            <w:tcW w:w="2099" w:type="pct"/>
            <w:tcBorders>
              <w:left w:val="nil"/>
              <w:bottom w:val="nil"/>
              <w:right w:val="nil"/>
            </w:tcBorders>
            <w:shd w:val="clear" w:color="000000" w:fill="FFFFFF"/>
            <w:hideMark/>
          </w:tcPr>
          <w:p w:rsidR="0015442C" w:rsidRPr="005A1241" w:rsidRDefault="0015442C" w:rsidP="000C2EEF">
            <w:pPr>
              <w:spacing w:before="120" w:after="0"/>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5. Подкрепени фестивали, събития и чествания с национално и международно значение</w:t>
            </w:r>
          </w:p>
        </w:tc>
        <w:tc>
          <w:tcPr>
            <w:tcW w:w="534" w:type="pct"/>
            <w:tcBorders>
              <w:left w:val="nil"/>
              <w:bottom w:val="nil"/>
              <w:right w:val="nil"/>
            </w:tcBorders>
            <w:shd w:val="clear" w:color="auto" w:fill="F2F2F2"/>
            <w:noWrap/>
            <w:hideMark/>
          </w:tcPr>
          <w:p w:rsidR="0015442C" w:rsidRPr="005A1241" w:rsidRDefault="0015442C" w:rsidP="000C2EEF">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брой</w:t>
            </w:r>
          </w:p>
        </w:tc>
        <w:tc>
          <w:tcPr>
            <w:tcW w:w="610" w:type="pct"/>
            <w:tcBorders>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22</w:t>
            </w:r>
          </w:p>
        </w:tc>
        <w:tc>
          <w:tcPr>
            <w:tcW w:w="504" w:type="pct"/>
            <w:gridSpan w:val="2"/>
            <w:tcBorders>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22</w:t>
            </w:r>
          </w:p>
        </w:tc>
        <w:tc>
          <w:tcPr>
            <w:tcW w:w="643" w:type="pct"/>
            <w:gridSpan w:val="2"/>
            <w:tcBorders>
              <w:left w:val="nil"/>
              <w:bottom w:val="nil"/>
              <w:right w:val="nil"/>
            </w:tcBorders>
            <w:shd w:val="clear" w:color="000000" w:fill="FFFFFF"/>
            <w:vAlign w:val="center"/>
            <w:hideMark/>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25</w:t>
            </w:r>
          </w:p>
        </w:tc>
        <w:tc>
          <w:tcPr>
            <w:tcW w:w="610" w:type="pct"/>
            <w:gridSpan w:val="2"/>
            <w:tcBorders>
              <w:left w:val="nil"/>
              <w:bottom w:val="nil"/>
              <w:right w:val="nil"/>
            </w:tcBorders>
            <w:shd w:val="clear" w:color="000000" w:fill="FFFFFF"/>
            <w:vAlign w:val="center"/>
          </w:tcPr>
          <w:p w:rsidR="0015442C" w:rsidRPr="005A1241" w:rsidRDefault="0015442C"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25</w:t>
            </w:r>
          </w:p>
        </w:tc>
      </w:tr>
      <w:tr w:rsidR="004100C6" w:rsidRPr="005A1241" w:rsidTr="004100C6">
        <w:trPr>
          <w:trHeight w:val="765"/>
        </w:trPr>
        <w:tc>
          <w:tcPr>
            <w:tcW w:w="2099" w:type="pct"/>
            <w:tcBorders>
              <w:top w:val="nil"/>
              <w:left w:val="nil"/>
              <w:right w:val="nil"/>
            </w:tcBorders>
            <w:shd w:val="clear" w:color="000000" w:fill="FFFFFF"/>
          </w:tcPr>
          <w:p w:rsidR="004100C6" w:rsidRPr="005A1241" w:rsidRDefault="004100C6" w:rsidP="00B063BA">
            <w:pPr>
              <w:spacing w:before="120" w:after="0"/>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6. Представления на държавните културни институти, осъществяващи дейност в областта на сценичните изкуства</w:t>
            </w:r>
          </w:p>
        </w:tc>
        <w:tc>
          <w:tcPr>
            <w:tcW w:w="534" w:type="pct"/>
            <w:tcBorders>
              <w:top w:val="nil"/>
              <w:left w:val="nil"/>
              <w:right w:val="nil"/>
            </w:tcBorders>
            <w:shd w:val="clear" w:color="auto" w:fill="F2F2F2"/>
            <w:noWrap/>
          </w:tcPr>
          <w:p w:rsidR="004100C6" w:rsidRPr="005A1241" w:rsidRDefault="004100C6" w:rsidP="00B063BA">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брой</w:t>
            </w:r>
          </w:p>
        </w:tc>
        <w:tc>
          <w:tcPr>
            <w:tcW w:w="814" w:type="pct"/>
            <w:gridSpan w:val="2"/>
            <w:tcBorders>
              <w:top w:val="nil"/>
              <w:left w:val="nil"/>
              <w:right w:val="nil"/>
            </w:tcBorders>
            <w:shd w:val="clear" w:color="000000" w:fill="FFFFFF"/>
            <w:vAlign w:val="center"/>
          </w:tcPr>
          <w:p w:rsidR="004100C6" w:rsidRPr="005A1241" w:rsidRDefault="004100C6"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11 880</w:t>
            </w:r>
          </w:p>
        </w:tc>
        <w:tc>
          <w:tcPr>
            <w:tcW w:w="504" w:type="pct"/>
            <w:gridSpan w:val="2"/>
            <w:tcBorders>
              <w:top w:val="nil"/>
              <w:left w:val="nil"/>
              <w:right w:val="nil"/>
            </w:tcBorders>
            <w:shd w:val="clear" w:color="000000" w:fill="FFFFFF"/>
            <w:vAlign w:val="center"/>
          </w:tcPr>
          <w:p w:rsidR="004100C6" w:rsidRPr="005A1241" w:rsidRDefault="004100C6"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11 440</w:t>
            </w:r>
          </w:p>
        </w:tc>
        <w:tc>
          <w:tcPr>
            <w:tcW w:w="506" w:type="pct"/>
            <w:gridSpan w:val="2"/>
            <w:tcBorders>
              <w:top w:val="nil"/>
              <w:left w:val="nil"/>
              <w:right w:val="nil"/>
            </w:tcBorders>
            <w:shd w:val="clear" w:color="000000" w:fill="FFFFFF"/>
            <w:vAlign w:val="center"/>
          </w:tcPr>
          <w:p w:rsidR="004100C6" w:rsidRPr="005A1241" w:rsidRDefault="004100C6"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14 550</w:t>
            </w:r>
          </w:p>
        </w:tc>
        <w:tc>
          <w:tcPr>
            <w:tcW w:w="543" w:type="pct"/>
            <w:tcBorders>
              <w:top w:val="nil"/>
              <w:left w:val="nil"/>
              <w:right w:val="nil"/>
            </w:tcBorders>
            <w:shd w:val="clear" w:color="000000" w:fill="FFFFFF"/>
            <w:vAlign w:val="center"/>
          </w:tcPr>
          <w:p w:rsidR="004100C6" w:rsidRPr="005A1241" w:rsidRDefault="004100C6" w:rsidP="004100C6">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14 700</w:t>
            </w:r>
          </w:p>
        </w:tc>
      </w:tr>
      <w:tr w:rsidR="004100C6" w:rsidRPr="005A1241" w:rsidTr="004100C6">
        <w:trPr>
          <w:trHeight w:val="765"/>
        </w:trPr>
        <w:tc>
          <w:tcPr>
            <w:tcW w:w="2099" w:type="pct"/>
            <w:tcBorders>
              <w:top w:val="nil"/>
              <w:left w:val="nil"/>
              <w:bottom w:val="single" w:sz="4" w:space="0" w:color="auto"/>
              <w:right w:val="nil"/>
            </w:tcBorders>
            <w:shd w:val="clear" w:color="000000" w:fill="FFFFFF"/>
          </w:tcPr>
          <w:p w:rsidR="004100C6" w:rsidRPr="005A1241" w:rsidRDefault="004100C6" w:rsidP="00B063BA">
            <w:pPr>
              <w:spacing w:before="120" w:after="0"/>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7. Посетители на представления на държавните културни институти, осъществяващи дейност в областта на сценичните изкуства</w:t>
            </w:r>
          </w:p>
        </w:tc>
        <w:tc>
          <w:tcPr>
            <w:tcW w:w="534" w:type="pct"/>
            <w:tcBorders>
              <w:top w:val="nil"/>
              <w:left w:val="nil"/>
              <w:bottom w:val="single" w:sz="4" w:space="0" w:color="auto"/>
              <w:right w:val="nil"/>
            </w:tcBorders>
            <w:shd w:val="clear" w:color="auto" w:fill="F2F2F2"/>
            <w:noWrap/>
          </w:tcPr>
          <w:p w:rsidR="004100C6" w:rsidRPr="005A1241" w:rsidRDefault="004100C6" w:rsidP="00B063BA">
            <w:pPr>
              <w:spacing w:before="120" w:after="0"/>
              <w:jc w:val="center"/>
              <w:rPr>
                <w:rFonts w:asciiTheme="majorHAnsi" w:eastAsia="Times New Roman" w:hAnsiTheme="majorHAnsi" w:cstheme="majorHAnsi"/>
                <w:color w:val="000000"/>
                <w:sz w:val="18"/>
                <w:szCs w:val="18"/>
              </w:rPr>
            </w:pPr>
            <w:r w:rsidRPr="005A1241">
              <w:rPr>
                <w:rFonts w:asciiTheme="majorHAnsi" w:eastAsia="Times New Roman" w:hAnsiTheme="majorHAnsi" w:cstheme="majorHAnsi"/>
                <w:color w:val="000000"/>
                <w:sz w:val="18"/>
                <w:szCs w:val="18"/>
              </w:rPr>
              <w:t>брой</w:t>
            </w:r>
          </w:p>
        </w:tc>
        <w:tc>
          <w:tcPr>
            <w:tcW w:w="814" w:type="pct"/>
            <w:gridSpan w:val="2"/>
            <w:tcBorders>
              <w:top w:val="nil"/>
              <w:left w:val="nil"/>
              <w:bottom w:val="single" w:sz="4" w:space="0" w:color="auto"/>
              <w:right w:val="nil"/>
            </w:tcBorders>
            <w:shd w:val="clear" w:color="000000" w:fill="FFFFFF"/>
            <w:vAlign w:val="center"/>
          </w:tcPr>
          <w:p w:rsidR="004100C6" w:rsidRPr="005A1241" w:rsidRDefault="004100C6" w:rsidP="004100C6">
            <w:pPr>
              <w:spacing w:before="120" w:after="0"/>
              <w:jc w:val="center"/>
              <w:rPr>
                <w:rFonts w:asciiTheme="majorHAnsi" w:eastAsia="Times New Roman" w:hAnsiTheme="majorHAnsi" w:cstheme="majorHAnsi"/>
                <w:color w:val="000000"/>
                <w:sz w:val="18"/>
                <w:szCs w:val="18"/>
              </w:rPr>
            </w:pPr>
            <w:r w:rsidRPr="004100C6">
              <w:rPr>
                <w:rFonts w:asciiTheme="majorHAnsi" w:eastAsia="Times New Roman" w:hAnsiTheme="majorHAnsi" w:cstheme="majorHAnsi"/>
                <w:color w:val="000000"/>
                <w:sz w:val="18"/>
                <w:szCs w:val="18"/>
              </w:rPr>
              <w:t>1 830 000</w:t>
            </w:r>
          </w:p>
        </w:tc>
        <w:tc>
          <w:tcPr>
            <w:tcW w:w="504" w:type="pct"/>
            <w:gridSpan w:val="2"/>
            <w:tcBorders>
              <w:top w:val="nil"/>
              <w:left w:val="nil"/>
              <w:bottom w:val="single" w:sz="4" w:space="0" w:color="auto"/>
              <w:right w:val="nil"/>
            </w:tcBorders>
            <w:shd w:val="clear" w:color="000000" w:fill="FFFFFF"/>
            <w:vAlign w:val="center"/>
          </w:tcPr>
          <w:p w:rsidR="004100C6" w:rsidRPr="005A1241" w:rsidRDefault="004100C6" w:rsidP="004100C6">
            <w:pPr>
              <w:spacing w:before="120" w:after="0"/>
              <w:jc w:val="center"/>
              <w:rPr>
                <w:rFonts w:asciiTheme="majorHAnsi" w:eastAsia="Times New Roman" w:hAnsiTheme="majorHAnsi" w:cstheme="majorHAnsi"/>
                <w:color w:val="000000"/>
                <w:sz w:val="18"/>
                <w:szCs w:val="18"/>
              </w:rPr>
            </w:pPr>
            <w:r w:rsidRPr="004100C6">
              <w:rPr>
                <w:rFonts w:asciiTheme="majorHAnsi" w:eastAsia="Times New Roman" w:hAnsiTheme="majorHAnsi" w:cstheme="majorHAnsi"/>
                <w:color w:val="000000"/>
                <w:sz w:val="18"/>
                <w:szCs w:val="18"/>
              </w:rPr>
              <w:t>2 250 000</w:t>
            </w:r>
          </w:p>
        </w:tc>
        <w:tc>
          <w:tcPr>
            <w:tcW w:w="506" w:type="pct"/>
            <w:gridSpan w:val="2"/>
            <w:tcBorders>
              <w:top w:val="nil"/>
              <w:left w:val="nil"/>
              <w:bottom w:val="single" w:sz="4" w:space="0" w:color="auto"/>
              <w:right w:val="nil"/>
            </w:tcBorders>
            <w:shd w:val="clear" w:color="000000" w:fill="FFFFFF"/>
            <w:vAlign w:val="center"/>
          </w:tcPr>
          <w:p w:rsidR="004100C6" w:rsidRPr="005A1241" w:rsidRDefault="004100C6" w:rsidP="004100C6">
            <w:pPr>
              <w:spacing w:before="120" w:after="0"/>
              <w:jc w:val="center"/>
              <w:rPr>
                <w:rFonts w:asciiTheme="majorHAnsi" w:eastAsia="Times New Roman" w:hAnsiTheme="majorHAnsi" w:cstheme="majorHAnsi"/>
                <w:color w:val="000000"/>
                <w:sz w:val="18"/>
                <w:szCs w:val="18"/>
              </w:rPr>
            </w:pPr>
            <w:r w:rsidRPr="004100C6">
              <w:rPr>
                <w:rFonts w:asciiTheme="majorHAnsi" w:eastAsia="Times New Roman" w:hAnsiTheme="majorHAnsi" w:cstheme="majorHAnsi"/>
                <w:color w:val="000000"/>
                <w:sz w:val="18"/>
                <w:szCs w:val="18"/>
              </w:rPr>
              <w:t>2 315 000</w:t>
            </w:r>
          </w:p>
        </w:tc>
        <w:tc>
          <w:tcPr>
            <w:tcW w:w="543" w:type="pct"/>
            <w:tcBorders>
              <w:top w:val="nil"/>
              <w:left w:val="nil"/>
              <w:bottom w:val="single" w:sz="4" w:space="0" w:color="auto"/>
              <w:right w:val="nil"/>
            </w:tcBorders>
            <w:shd w:val="clear" w:color="000000" w:fill="FFFFFF"/>
            <w:vAlign w:val="center"/>
          </w:tcPr>
          <w:p w:rsidR="004100C6" w:rsidRPr="005A1241" w:rsidRDefault="004100C6" w:rsidP="004100C6">
            <w:pPr>
              <w:spacing w:before="120" w:after="0"/>
              <w:jc w:val="center"/>
              <w:rPr>
                <w:rFonts w:asciiTheme="majorHAnsi" w:eastAsia="Times New Roman" w:hAnsiTheme="majorHAnsi" w:cstheme="majorHAnsi"/>
                <w:color w:val="000000"/>
                <w:sz w:val="18"/>
                <w:szCs w:val="18"/>
              </w:rPr>
            </w:pPr>
            <w:r w:rsidRPr="004100C6">
              <w:rPr>
                <w:rFonts w:asciiTheme="majorHAnsi" w:eastAsia="Times New Roman" w:hAnsiTheme="majorHAnsi" w:cstheme="majorHAnsi"/>
                <w:color w:val="000000"/>
                <w:sz w:val="18"/>
                <w:szCs w:val="18"/>
              </w:rPr>
              <w:t>2 235 000</w:t>
            </w:r>
          </w:p>
        </w:tc>
      </w:tr>
    </w:tbl>
    <w:p w:rsidR="0015442C" w:rsidRDefault="0015442C" w:rsidP="00E12283">
      <w:pPr>
        <w:jc w:val="left"/>
        <w:rPr>
          <w:rFonts w:cs="Times New Roman"/>
          <w:b/>
          <w:sz w:val="20"/>
          <w:szCs w:val="20"/>
        </w:rPr>
      </w:pPr>
    </w:p>
    <w:p w:rsidR="00AC4950" w:rsidRPr="00264ABB" w:rsidRDefault="00AC4950" w:rsidP="00AC4950">
      <w:pPr>
        <w:spacing w:before="120" w:after="0"/>
      </w:pPr>
      <w:r w:rsidRPr="00B32082">
        <w:t xml:space="preserve">В проектобюджета за 2020 г. за </w:t>
      </w:r>
      <w:r w:rsidRPr="00B32082">
        <w:rPr>
          <w:b/>
          <w:i/>
        </w:rPr>
        <w:t>делегираните от държавата дейности в областта на културата за общините</w:t>
      </w:r>
      <w:r w:rsidRPr="00B32082">
        <w:rPr>
          <w:b/>
        </w:rPr>
        <w:t xml:space="preserve"> </w:t>
      </w:r>
      <w:r w:rsidRPr="00B32082">
        <w:t xml:space="preserve">са предвидени средства за текущи разходи в размер </w:t>
      </w:r>
      <w:r w:rsidRPr="00264ABB">
        <w:t>на</w:t>
      </w:r>
      <w:r w:rsidRPr="00264ABB">
        <w:rPr>
          <w:b/>
        </w:rPr>
        <w:t xml:space="preserve"> </w:t>
      </w:r>
      <w:r w:rsidRPr="00264ABB">
        <w:t xml:space="preserve">136,0 млн. лв., което е с 13,2 млн. лв. повече спрямо ЗДБРБ за 2019 г.  </w:t>
      </w:r>
    </w:p>
    <w:p w:rsidR="00AC4950" w:rsidRPr="00B32082" w:rsidRDefault="00AC4950" w:rsidP="00AC4950">
      <w:pPr>
        <w:spacing w:before="120" w:after="0"/>
      </w:pPr>
      <w:r w:rsidRPr="00B32082">
        <w:t>Във връзка с увеличението на разходите за персонал с 10 на сто стандартите за музеите,  художествените галерии и библиотеките с</w:t>
      </w:r>
      <w:r w:rsidR="00E0379B">
        <w:t xml:space="preserve"> регионален характер са увеличени</w:t>
      </w:r>
      <w:r w:rsidR="00A216D3">
        <w:t xml:space="preserve"> с 8,6</w:t>
      </w:r>
      <w:r w:rsidRPr="00B32082">
        <w:t>%, а стандартът н</w:t>
      </w:r>
      <w:r w:rsidR="00E0379B">
        <w:t>а читалищата е увеличен</w:t>
      </w:r>
      <w:r w:rsidRPr="00B32082">
        <w:t xml:space="preserve"> с 10%.</w:t>
      </w:r>
    </w:p>
    <w:p w:rsidR="00AC4950" w:rsidRPr="00B32082" w:rsidRDefault="00AC4950" w:rsidP="00AC4950">
      <w:pPr>
        <w:spacing w:before="120" w:after="0"/>
      </w:pPr>
      <w:r w:rsidRPr="00B32082">
        <w:t>Субсидираните бройки на читалищата са увеличени със 72 броя за новорегистрирани читалища и за разширяване на дейността на някои от тях. Субсидираните бройки на рег</w:t>
      </w:r>
      <w:r w:rsidR="00E0379B">
        <w:t>ионалните библиотеки са увеличени</w:t>
      </w:r>
      <w:r w:rsidRPr="00B32082">
        <w:t xml:space="preserve"> с 27 броя, а на музеите и художествените галерии с регионален характер - с 34 броя.</w:t>
      </w:r>
    </w:p>
    <w:p w:rsidR="00AC4950" w:rsidRPr="00264ABB" w:rsidRDefault="00AC4950" w:rsidP="00AC4950">
      <w:pPr>
        <w:spacing w:before="120" w:after="0"/>
      </w:pPr>
      <w:r w:rsidRPr="00B32082">
        <w:t xml:space="preserve">В </w:t>
      </w:r>
      <w:r w:rsidRPr="00264ABB">
        <w:t>прогнозата за 2021 г. за текущи разходи за делегираните от държавата дейности в сферата на културата са предвидени средства по бюджетите на общините в общ размер на 144,9 млн. лв., като е планирано увеличение с 8,9 млн. лв. спрямо проектобюджета за 2020 г. Предвижда се запазване на размера на средствата за 2022 г. на нивото от  2021 г.</w:t>
      </w:r>
    </w:p>
    <w:p w:rsidR="00AC4950" w:rsidRDefault="00AC4950" w:rsidP="00E12283">
      <w:pPr>
        <w:jc w:val="left"/>
        <w:rPr>
          <w:rFonts w:cs="Times New Roman"/>
          <w:b/>
          <w:sz w:val="20"/>
          <w:szCs w:val="20"/>
        </w:rPr>
      </w:pPr>
    </w:p>
    <w:p w:rsidR="00083361" w:rsidRPr="009D2915" w:rsidRDefault="00083361" w:rsidP="00517D0A">
      <w:pPr>
        <w:pStyle w:val="Heading3"/>
        <w:ind w:left="0"/>
      </w:pPr>
      <w:bookmarkStart w:id="498" w:name="_Toc465070481"/>
      <w:bookmarkStart w:id="499" w:name="_Toc465205531"/>
      <w:r w:rsidRPr="009D2915">
        <w:t>Политика в областта на младежта и спорта</w:t>
      </w:r>
      <w:bookmarkEnd w:id="498"/>
      <w:bookmarkEnd w:id="499"/>
      <w:r w:rsidRPr="009D2915">
        <w:t xml:space="preserve"> </w:t>
      </w:r>
    </w:p>
    <w:p w:rsidR="003A6A87" w:rsidRPr="003A6A87" w:rsidRDefault="003A6A87" w:rsidP="002226EC">
      <w:pPr>
        <w:spacing w:before="120" w:after="0"/>
      </w:pPr>
    </w:p>
    <w:p w:rsidR="003A6A87" w:rsidRPr="003A6A87" w:rsidRDefault="003A6A87" w:rsidP="003A6A87">
      <w:pPr>
        <w:spacing w:before="120" w:after="0"/>
      </w:pPr>
      <w:r w:rsidRPr="003A6A87">
        <w:t>Политиките в областта на спорта и младежта са насочени към развитие на спорта за учащи и спорта в свободното време, развитие и утвърждаване на спорта за високи постижения и насърчаване на икономическата активност и развитие на младите хора.</w:t>
      </w:r>
    </w:p>
    <w:p w:rsidR="003A6A87" w:rsidRPr="003A6A87" w:rsidRDefault="003A6A87" w:rsidP="003A6A87">
      <w:pPr>
        <w:spacing w:before="120" w:after="0"/>
      </w:pPr>
      <w:r w:rsidRPr="003A6A87">
        <w:t>Основните приоритети в</w:t>
      </w:r>
      <w:r w:rsidRPr="003A6A87">
        <w:rPr>
          <w:i/>
        </w:rPr>
        <w:t xml:space="preserve"> </w:t>
      </w:r>
      <w:r w:rsidRPr="003A6A87">
        <w:rPr>
          <w:b/>
          <w:i/>
        </w:rPr>
        <w:t>областта на спорта</w:t>
      </w:r>
      <w:r w:rsidRPr="003A6A87">
        <w:t xml:space="preserve"> са укрепването на здравето и физическата активност, практикуването на спорт от всички и развитие на спорта за високи постижения.</w:t>
      </w:r>
    </w:p>
    <w:p w:rsidR="003A6A87" w:rsidRPr="00AC4950" w:rsidRDefault="003A6A87" w:rsidP="002226EC">
      <w:pPr>
        <w:spacing w:before="120" w:after="0"/>
      </w:pPr>
      <w:r w:rsidRPr="003A6A87">
        <w:t>За периода 2020-2022 г. са осигурени условия за изпълнение на целите и дейностите във връзка с реализирането на приоритетите на провежданите</w:t>
      </w:r>
      <w:r w:rsidR="003A1BE2">
        <w:t xml:space="preserve"> политики в областта на спорта.</w:t>
      </w:r>
    </w:p>
    <w:p w:rsidR="00AD1AF9" w:rsidRPr="00753413" w:rsidRDefault="00AD1AF9" w:rsidP="00AD1AF9">
      <w:pPr>
        <w:pStyle w:val="Heading4"/>
      </w:pPr>
      <w:r w:rsidRPr="00753413">
        <w:t>Политика в областта на спорта за учащи и спорта в свободното време</w:t>
      </w:r>
    </w:p>
    <w:p w:rsidR="003A6A87" w:rsidRPr="007D6981" w:rsidRDefault="003A6A87" w:rsidP="002226EC">
      <w:pPr>
        <w:tabs>
          <w:tab w:val="left" w:pos="0"/>
        </w:tabs>
        <w:spacing w:before="120" w:after="0"/>
        <w:rPr>
          <w:szCs w:val="24"/>
          <w:lang w:val="ru-RU"/>
        </w:rPr>
      </w:pPr>
    </w:p>
    <w:p w:rsidR="003A6A87" w:rsidRPr="003A6A87" w:rsidRDefault="003A6A87" w:rsidP="003A6A87">
      <w:pPr>
        <w:tabs>
          <w:tab w:val="left" w:pos="0"/>
        </w:tabs>
        <w:spacing w:before="120" w:after="0"/>
        <w:rPr>
          <w:szCs w:val="24"/>
        </w:rPr>
      </w:pPr>
      <w:r w:rsidRPr="003A6A87">
        <w:rPr>
          <w:szCs w:val="24"/>
        </w:rPr>
        <w:t>Политиката е насочена към постепенно приобщаване на различни социални, отраслови и възрастови групи от населението към активен двигателен режим и здравословен начин на живот, с приоритет децата и младите хора, в т.ч. и хората с увреждания и децата в риск, постигане на високо ниво на спортна подготовка и устойчиво развитие на спорта в спортните училища и реализиране от учениците спортисти на призови класирания на държавни първенства и международни състезания.</w:t>
      </w:r>
    </w:p>
    <w:p w:rsidR="003A6A87" w:rsidRPr="003A6A87" w:rsidRDefault="003A6A87" w:rsidP="003A6A87">
      <w:pPr>
        <w:tabs>
          <w:tab w:val="left" w:pos="0"/>
        </w:tabs>
        <w:spacing w:before="120" w:after="0"/>
        <w:rPr>
          <w:szCs w:val="24"/>
        </w:rPr>
      </w:pPr>
      <w:r w:rsidRPr="003A6A87">
        <w:rPr>
          <w:szCs w:val="24"/>
        </w:rPr>
        <w:t xml:space="preserve">Основните цели за развитието на спорта за учащи и спорта в свободното време се постигат чрез: </w:t>
      </w:r>
    </w:p>
    <w:p w:rsidR="003A6A87" w:rsidRPr="003A6A87" w:rsidRDefault="003A6A87" w:rsidP="003403BF">
      <w:pPr>
        <w:numPr>
          <w:ilvl w:val="0"/>
          <w:numId w:val="10"/>
        </w:numPr>
        <w:tabs>
          <w:tab w:val="left" w:pos="0"/>
        </w:tabs>
        <w:spacing w:before="120" w:after="0"/>
        <w:rPr>
          <w:szCs w:val="24"/>
        </w:rPr>
      </w:pPr>
      <w:r w:rsidRPr="003A6A87">
        <w:rPr>
          <w:szCs w:val="24"/>
        </w:rPr>
        <w:t xml:space="preserve">Насърчаване на учащите към двигателна активност и системно практикуване на физически упражнения и спорт; </w:t>
      </w:r>
    </w:p>
    <w:p w:rsidR="003A6A87" w:rsidRPr="003A6A87" w:rsidRDefault="003A6A87" w:rsidP="003403BF">
      <w:pPr>
        <w:numPr>
          <w:ilvl w:val="0"/>
          <w:numId w:val="10"/>
        </w:numPr>
        <w:tabs>
          <w:tab w:val="left" w:pos="0"/>
        </w:tabs>
        <w:spacing w:before="120" w:after="0"/>
        <w:rPr>
          <w:szCs w:val="24"/>
        </w:rPr>
      </w:pPr>
      <w:r w:rsidRPr="003A6A87">
        <w:rPr>
          <w:szCs w:val="24"/>
        </w:rPr>
        <w:t xml:space="preserve">Осигуряване на подкрепа за реализация на младите спортисти и деца с изявени дарби; </w:t>
      </w:r>
    </w:p>
    <w:p w:rsidR="003A6A87" w:rsidRPr="003A6A87" w:rsidRDefault="003A6A87" w:rsidP="003403BF">
      <w:pPr>
        <w:numPr>
          <w:ilvl w:val="0"/>
          <w:numId w:val="10"/>
        </w:numPr>
        <w:tabs>
          <w:tab w:val="left" w:pos="0"/>
        </w:tabs>
        <w:spacing w:before="120" w:after="0"/>
        <w:rPr>
          <w:szCs w:val="24"/>
        </w:rPr>
      </w:pPr>
      <w:r w:rsidRPr="003A6A87">
        <w:rPr>
          <w:szCs w:val="24"/>
        </w:rPr>
        <w:t xml:space="preserve">Осигуряване на условия и възможности за физическа активност и спорт за хора с увреждания и деца в риск; </w:t>
      </w:r>
    </w:p>
    <w:p w:rsidR="003A6A87" w:rsidRPr="003A6A87" w:rsidRDefault="003A6A87" w:rsidP="003403BF">
      <w:pPr>
        <w:numPr>
          <w:ilvl w:val="0"/>
          <w:numId w:val="10"/>
        </w:numPr>
        <w:tabs>
          <w:tab w:val="left" w:pos="0"/>
        </w:tabs>
        <w:spacing w:before="120" w:after="0"/>
        <w:rPr>
          <w:szCs w:val="24"/>
        </w:rPr>
      </w:pPr>
      <w:r w:rsidRPr="003A6A87">
        <w:rPr>
          <w:szCs w:val="24"/>
        </w:rPr>
        <w:t>Създаване на възможности за двигателна активност и практикуване на спорт за всички и социален туризъм от населението чрез оптимизиране на управлението на спорта, подходяща инфраструктура, подобряване информираността и реализиране на програми.</w:t>
      </w:r>
    </w:p>
    <w:p w:rsidR="00AD1AF9" w:rsidRPr="003A6A87" w:rsidRDefault="00AD1AF9" w:rsidP="0051695D">
      <w:pPr>
        <w:pStyle w:val="ListParagraph"/>
        <w:numPr>
          <w:ilvl w:val="0"/>
          <w:numId w:val="0"/>
        </w:numPr>
        <w:tabs>
          <w:tab w:val="left" w:pos="426"/>
        </w:tabs>
        <w:spacing w:before="240"/>
        <w:rPr>
          <w:b/>
          <w:sz w:val="20"/>
          <w:szCs w:val="20"/>
        </w:rPr>
      </w:pPr>
      <w:r w:rsidRPr="003A6A87">
        <w:rPr>
          <w:b/>
          <w:sz w:val="20"/>
          <w:szCs w:val="20"/>
        </w:rPr>
        <w:t>КЛЮЧОВИ ИНДИКАТОРИ ЗА ИЗПЪЛНЕНИЕ И ЦЕЛЕВИ СТОЙНОСТИ</w:t>
      </w:r>
    </w:p>
    <w:p w:rsidR="003A6A87" w:rsidRPr="003A6A87" w:rsidRDefault="003A6A87" w:rsidP="002226EC">
      <w:pPr>
        <w:spacing w:before="120" w:after="0"/>
      </w:pPr>
    </w:p>
    <w:tbl>
      <w:tblPr>
        <w:tblW w:w="500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4354"/>
        <w:gridCol w:w="896"/>
        <w:gridCol w:w="1000"/>
        <w:gridCol w:w="906"/>
        <w:gridCol w:w="957"/>
        <w:gridCol w:w="957"/>
      </w:tblGrid>
      <w:tr w:rsidR="003A6A87" w:rsidRPr="003A6A87" w:rsidTr="000C2EEF">
        <w:trPr>
          <w:trHeight w:val="60"/>
          <w:tblHeader/>
          <w:jc w:val="center"/>
        </w:trPr>
        <w:tc>
          <w:tcPr>
            <w:tcW w:w="2421" w:type="pct"/>
            <w:tcBorders>
              <w:bottom w:val="nil"/>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Политика в областта на спорта за учащи и спорта в свободното време</w:t>
            </w:r>
          </w:p>
        </w:tc>
        <w:tc>
          <w:tcPr>
            <w:tcW w:w="478" w:type="pct"/>
            <w:vMerge w:val="restart"/>
            <w:tcBorders>
              <w:bottom w:val="nil"/>
            </w:tcBorders>
            <w:shd w:val="clear" w:color="auto" w:fill="F2F2F2"/>
            <w:vAlign w:val="center"/>
            <w:hideMark/>
          </w:tcPr>
          <w:p w:rsidR="003A6A87" w:rsidRPr="003A6A87" w:rsidRDefault="003A6A87" w:rsidP="000C2EEF">
            <w:pPr>
              <w:spacing w:after="0" w:line="0" w:lineRule="atLeast"/>
              <w:ind w:left="80"/>
              <w:jc w:val="center"/>
              <w:rPr>
                <w:rFonts w:eastAsia="Times New Roman" w:cs="Arial"/>
                <w:b/>
                <w:sz w:val="18"/>
                <w:szCs w:val="18"/>
              </w:rPr>
            </w:pPr>
            <w:r w:rsidRPr="003A6A87">
              <w:rPr>
                <w:rFonts w:eastAsia="Times New Roman" w:cs="Arial"/>
                <w:b/>
                <w:sz w:val="18"/>
                <w:szCs w:val="18"/>
              </w:rPr>
              <w:t>Мерна единица</w:t>
            </w:r>
          </w:p>
        </w:tc>
        <w:tc>
          <w:tcPr>
            <w:tcW w:w="2102" w:type="pct"/>
            <w:gridSpan w:val="4"/>
            <w:tcBorders>
              <w:bottom w:val="single" w:sz="4" w:space="0" w:color="auto"/>
            </w:tcBorders>
            <w:vAlign w:val="center"/>
          </w:tcPr>
          <w:p w:rsidR="003A6A87" w:rsidRPr="003A6A87" w:rsidRDefault="003A6A87" w:rsidP="000C2EEF">
            <w:pPr>
              <w:spacing w:after="0" w:line="0" w:lineRule="atLeast"/>
              <w:ind w:left="80"/>
              <w:jc w:val="center"/>
              <w:rPr>
                <w:rFonts w:eastAsia="Times New Roman" w:cs="Arial"/>
                <w:b/>
                <w:sz w:val="18"/>
                <w:szCs w:val="18"/>
              </w:rPr>
            </w:pPr>
            <w:r w:rsidRPr="003A6A87">
              <w:rPr>
                <w:rFonts w:eastAsia="Times New Roman" w:cs="Arial"/>
                <w:b/>
                <w:sz w:val="18"/>
                <w:szCs w:val="18"/>
              </w:rPr>
              <w:t>Целева стойност</w:t>
            </w:r>
          </w:p>
        </w:tc>
      </w:tr>
      <w:tr w:rsidR="003A6A87" w:rsidRPr="003A6A87" w:rsidTr="00A14763">
        <w:trPr>
          <w:trHeight w:val="555"/>
          <w:tblHeader/>
          <w:jc w:val="center"/>
        </w:trPr>
        <w:tc>
          <w:tcPr>
            <w:tcW w:w="2421" w:type="pct"/>
            <w:tcBorders>
              <w:top w:val="nil"/>
              <w:bottom w:val="single" w:sz="4" w:space="0" w:color="auto"/>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sz w:val="18"/>
                <w:szCs w:val="18"/>
              </w:rPr>
            </w:pPr>
            <w:r w:rsidRPr="003A6A87">
              <w:rPr>
                <w:rFonts w:eastAsia="Times New Roman" w:cs="Arial"/>
                <w:b/>
                <w:sz w:val="18"/>
                <w:szCs w:val="18"/>
              </w:rPr>
              <w:t>Наименование на индикатора</w:t>
            </w:r>
          </w:p>
        </w:tc>
        <w:tc>
          <w:tcPr>
            <w:tcW w:w="478" w:type="pct"/>
            <w:vMerge/>
            <w:tcBorders>
              <w:top w:val="nil"/>
              <w:bottom w:val="single" w:sz="4" w:space="0" w:color="auto"/>
            </w:tcBorders>
            <w:shd w:val="clear" w:color="auto" w:fill="F2F2F2"/>
            <w:vAlign w:val="center"/>
            <w:hideMark/>
          </w:tcPr>
          <w:p w:rsidR="003A6A87" w:rsidRPr="003A6A87" w:rsidRDefault="003A6A87" w:rsidP="000C2EEF">
            <w:pPr>
              <w:spacing w:after="0" w:line="0" w:lineRule="atLeast"/>
              <w:ind w:left="80"/>
              <w:jc w:val="center"/>
              <w:rPr>
                <w:rFonts w:eastAsia="Times New Roman" w:cs="Arial"/>
                <w:b/>
                <w:i/>
                <w:sz w:val="18"/>
                <w:szCs w:val="18"/>
              </w:rPr>
            </w:pPr>
          </w:p>
        </w:tc>
        <w:tc>
          <w:tcPr>
            <w:tcW w:w="543" w:type="pct"/>
            <w:tcBorders>
              <w:top w:val="single" w:sz="4" w:space="0" w:color="auto"/>
              <w:bottom w:val="single" w:sz="4" w:space="0" w:color="auto"/>
            </w:tcBorders>
            <w:vAlign w:val="center"/>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Програма 2019 г.</w:t>
            </w:r>
          </w:p>
        </w:tc>
        <w:tc>
          <w:tcPr>
            <w:tcW w:w="520" w:type="pct"/>
            <w:tcBorders>
              <w:top w:val="single" w:sz="4" w:space="0" w:color="auto"/>
              <w:bottom w:val="single" w:sz="4" w:space="0" w:color="auto"/>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Про</w:t>
            </w:r>
            <w:r w:rsidR="00F1198E">
              <w:rPr>
                <w:rFonts w:eastAsia="Times New Roman" w:cs="Arial"/>
                <w:b/>
                <w:i/>
                <w:sz w:val="18"/>
                <w:szCs w:val="18"/>
              </w:rPr>
              <w:t>ект</w:t>
            </w:r>
            <w:r w:rsidRPr="003A6A87">
              <w:rPr>
                <w:rFonts w:eastAsia="Times New Roman" w:cs="Arial"/>
                <w:b/>
                <w:i/>
                <w:sz w:val="18"/>
                <w:szCs w:val="18"/>
              </w:rPr>
              <w:t xml:space="preserve"> 2020 г.</w:t>
            </w:r>
          </w:p>
        </w:tc>
        <w:tc>
          <w:tcPr>
            <w:tcW w:w="520" w:type="pct"/>
            <w:tcBorders>
              <w:top w:val="single" w:sz="4" w:space="0" w:color="auto"/>
              <w:bottom w:val="single" w:sz="4" w:space="0" w:color="auto"/>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Прогноза 2021 г.</w:t>
            </w:r>
          </w:p>
        </w:tc>
        <w:tc>
          <w:tcPr>
            <w:tcW w:w="520" w:type="pct"/>
            <w:tcBorders>
              <w:top w:val="single" w:sz="4" w:space="0" w:color="auto"/>
              <w:bottom w:val="single" w:sz="4" w:space="0" w:color="auto"/>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Прогноза 2022 г.</w:t>
            </w:r>
          </w:p>
        </w:tc>
      </w:tr>
      <w:tr w:rsidR="003A6A87" w:rsidRPr="003A6A87" w:rsidTr="00A14763">
        <w:trPr>
          <w:trHeight w:val="584"/>
          <w:jc w:val="center"/>
        </w:trPr>
        <w:tc>
          <w:tcPr>
            <w:tcW w:w="2421" w:type="pct"/>
            <w:tcBorders>
              <w:top w:val="single" w:sz="4" w:space="0" w:color="auto"/>
              <w:bottom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 Относителен дял  на обхванатите в спортни дейности, подпомагани от ММС ученици към общия брой на учениците</w:t>
            </w:r>
          </w:p>
        </w:tc>
        <w:tc>
          <w:tcPr>
            <w:tcW w:w="478" w:type="pct"/>
            <w:tcBorders>
              <w:top w:val="single" w:sz="4" w:space="0" w:color="auto"/>
              <w:bottom w:val="nil"/>
            </w:tcBorders>
            <w:shd w:val="clear" w:color="auto" w:fill="F2F2F2"/>
            <w:noWrap/>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w:t>
            </w:r>
          </w:p>
        </w:tc>
        <w:tc>
          <w:tcPr>
            <w:tcW w:w="543" w:type="pct"/>
            <w:tcBorders>
              <w:top w:val="single" w:sz="4" w:space="0" w:color="auto"/>
              <w:bottom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12,79</w:t>
            </w:r>
          </w:p>
        </w:tc>
        <w:tc>
          <w:tcPr>
            <w:tcW w:w="520" w:type="pct"/>
            <w:tcBorders>
              <w:top w:val="single" w:sz="4" w:space="0" w:color="auto"/>
              <w:bottom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12,80</w:t>
            </w:r>
          </w:p>
        </w:tc>
        <w:tc>
          <w:tcPr>
            <w:tcW w:w="520" w:type="pct"/>
            <w:tcBorders>
              <w:top w:val="single" w:sz="4" w:space="0" w:color="auto"/>
              <w:bottom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12,81</w:t>
            </w:r>
          </w:p>
        </w:tc>
        <w:tc>
          <w:tcPr>
            <w:tcW w:w="520" w:type="pct"/>
            <w:tcBorders>
              <w:top w:val="single" w:sz="4" w:space="0" w:color="auto"/>
              <w:bottom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12,81</w:t>
            </w:r>
          </w:p>
        </w:tc>
      </w:tr>
      <w:tr w:rsidR="003A6A87" w:rsidRPr="003A6A87" w:rsidTr="008543D7">
        <w:trPr>
          <w:trHeight w:val="70"/>
          <w:jc w:val="center"/>
        </w:trPr>
        <w:tc>
          <w:tcPr>
            <w:tcW w:w="2421" w:type="pct"/>
            <w:tcBorders>
              <w:top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 Относителен дял  на обхванатите в спортни дейности, подпомагани от ММС студенти към общия брой на студентите</w:t>
            </w:r>
          </w:p>
        </w:tc>
        <w:tc>
          <w:tcPr>
            <w:tcW w:w="478" w:type="pct"/>
            <w:tcBorders>
              <w:top w:val="nil"/>
            </w:tcBorders>
            <w:shd w:val="clear" w:color="auto" w:fill="F2F2F2"/>
            <w:noWrap/>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w:t>
            </w:r>
          </w:p>
        </w:tc>
        <w:tc>
          <w:tcPr>
            <w:tcW w:w="543" w:type="pct"/>
            <w:tcBorders>
              <w:top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2,62</w:t>
            </w:r>
          </w:p>
        </w:tc>
        <w:tc>
          <w:tcPr>
            <w:tcW w:w="520" w:type="pct"/>
            <w:tcBorders>
              <w:top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2,63</w:t>
            </w:r>
          </w:p>
        </w:tc>
        <w:tc>
          <w:tcPr>
            <w:tcW w:w="520" w:type="pct"/>
            <w:tcBorders>
              <w:top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2,64</w:t>
            </w:r>
          </w:p>
        </w:tc>
        <w:tc>
          <w:tcPr>
            <w:tcW w:w="520" w:type="pct"/>
            <w:tcBorders>
              <w:top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2,64</w:t>
            </w:r>
          </w:p>
        </w:tc>
      </w:tr>
      <w:tr w:rsidR="003A6A87" w:rsidRPr="003A6A87" w:rsidTr="000C2EEF">
        <w:trPr>
          <w:trHeight w:val="70"/>
          <w:jc w:val="center"/>
        </w:trPr>
        <w:tc>
          <w:tcPr>
            <w:tcW w:w="2421" w:type="pct"/>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3. Относителен дял на обхванатите в спортни дейности за спорт в свободното време, подпомагани от ММС лица към населението на Република България</w:t>
            </w:r>
          </w:p>
        </w:tc>
        <w:tc>
          <w:tcPr>
            <w:tcW w:w="478" w:type="pct"/>
            <w:shd w:val="clear" w:color="auto" w:fill="F2F2F2"/>
            <w:noWrap/>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w:t>
            </w:r>
          </w:p>
        </w:tc>
        <w:tc>
          <w:tcPr>
            <w:tcW w:w="543" w:type="pct"/>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2,4</w:t>
            </w:r>
          </w:p>
        </w:tc>
        <w:tc>
          <w:tcPr>
            <w:tcW w:w="520" w:type="pct"/>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2,6</w:t>
            </w:r>
          </w:p>
        </w:tc>
        <w:tc>
          <w:tcPr>
            <w:tcW w:w="520" w:type="pct"/>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2,8</w:t>
            </w:r>
          </w:p>
        </w:tc>
        <w:tc>
          <w:tcPr>
            <w:tcW w:w="520" w:type="pct"/>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2,8</w:t>
            </w:r>
          </w:p>
        </w:tc>
      </w:tr>
    </w:tbl>
    <w:p w:rsidR="003A6A87" w:rsidRPr="007D6981" w:rsidRDefault="003A6A87" w:rsidP="002226EC">
      <w:pPr>
        <w:spacing w:before="120" w:after="0"/>
        <w:rPr>
          <w:lang w:val="ru-RU"/>
        </w:rPr>
      </w:pPr>
      <w:r w:rsidRPr="003A6A87">
        <w:t xml:space="preserve">За реализирането на тази политика чрез мерки за развитие на спорта за учащи и спорта в свободното време са разчетени средства в размер на 5,9 млн. лв. за всяка година от прогнозния период.  </w:t>
      </w:r>
    </w:p>
    <w:p w:rsidR="00AD1AF9" w:rsidRDefault="00AD1AF9" w:rsidP="00AD1AF9">
      <w:pPr>
        <w:pStyle w:val="Heading4"/>
      </w:pPr>
      <w:r>
        <w:t xml:space="preserve">Политика в областта на спорта за високи постижения </w:t>
      </w:r>
    </w:p>
    <w:p w:rsidR="00CF5A6F" w:rsidRDefault="00CF5A6F" w:rsidP="002226EC">
      <w:pPr>
        <w:spacing w:before="120" w:after="0"/>
        <w:rPr>
          <w:rFonts w:eastAsia="Times New Roman" w:cs="Times New Roman"/>
          <w:szCs w:val="24"/>
          <w:highlight w:val="yellow"/>
        </w:rPr>
      </w:pPr>
    </w:p>
    <w:p w:rsidR="003A6A87" w:rsidRPr="003A6A87" w:rsidRDefault="003A6A87" w:rsidP="003A6A87">
      <w:pPr>
        <w:spacing w:before="120" w:after="0"/>
        <w:rPr>
          <w:rFonts w:eastAsia="Times New Roman" w:cs="Times New Roman"/>
          <w:szCs w:val="24"/>
        </w:rPr>
      </w:pPr>
      <w:r w:rsidRPr="003A6A87">
        <w:rPr>
          <w:rFonts w:eastAsia="Times New Roman" w:cs="Times New Roman"/>
          <w:szCs w:val="24"/>
        </w:rPr>
        <w:t>Политиката е насочена към изпълнение на програми за елитен спорт и ефективен тренировъчен процес за постигане на спортни резултати на международно ниво, развитие на потенциала на младите талантливи спортисти, разработване и внедряване на нови методики за оптимизиране на методите за контрол и оценка на ефективността на тренировъчните въздействия, постигане на силен социален ефект чрез отразяване на постиженията на елитните спортисти и увеличена популярност на спорта сред подрастващите, издигане спортния престиж на нацията на световно равнище и популяризирането на страната като спортна и туристическа дестинация.</w:t>
      </w:r>
    </w:p>
    <w:p w:rsidR="003A6A87" w:rsidRPr="003A6A87" w:rsidRDefault="003A6A87" w:rsidP="003A6A87">
      <w:pPr>
        <w:spacing w:before="120" w:after="0"/>
        <w:rPr>
          <w:rFonts w:eastAsia="Times New Roman" w:cs="Times New Roman"/>
          <w:szCs w:val="24"/>
        </w:rPr>
      </w:pPr>
      <w:r w:rsidRPr="003A6A87">
        <w:rPr>
          <w:rFonts w:eastAsia="Times New Roman" w:cs="Times New Roman"/>
          <w:szCs w:val="24"/>
        </w:rPr>
        <w:t>Основните цели за развитието и утвърждаването на спорта за високи постижения като средство за повишаване престижа на нацията се постигат чрез:</w:t>
      </w:r>
    </w:p>
    <w:p w:rsidR="003A6A87" w:rsidRPr="003A6A87" w:rsidRDefault="003A6A87" w:rsidP="003403BF">
      <w:pPr>
        <w:numPr>
          <w:ilvl w:val="0"/>
          <w:numId w:val="55"/>
        </w:numPr>
        <w:spacing w:before="120" w:after="0"/>
        <w:rPr>
          <w:rFonts w:eastAsia="Times New Roman" w:cs="Times New Roman"/>
          <w:szCs w:val="24"/>
        </w:rPr>
      </w:pPr>
      <w:r w:rsidRPr="003A6A87">
        <w:rPr>
          <w:rFonts w:eastAsia="Times New Roman" w:cs="Times New Roman"/>
          <w:szCs w:val="24"/>
        </w:rPr>
        <w:t>Създаване на условия на националните състезатели и отбори за ефективна подготовка и реализиране на високи спортни резултати на световни и европейски първенства и олимпийски игри;</w:t>
      </w:r>
    </w:p>
    <w:p w:rsidR="003A6A87" w:rsidRPr="003A6A87" w:rsidRDefault="003A6A87" w:rsidP="003403BF">
      <w:pPr>
        <w:numPr>
          <w:ilvl w:val="0"/>
          <w:numId w:val="55"/>
        </w:numPr>
        <w:spacing w:before="120" w:after="0"/>
        <w:rPr>
          <w:rFonts w:eastAsia="Times New Roman" w:cs="Times New Roman"/>
          <w:szCs w:val="24"/>
        </w:rPr>
      </w:pPr>
      <w:r w:rsidRPr="003A6A87">
        <w:rPr>
          <w:rFonts w:eastAsia="Times New Roman" w:cs="Times New Roman"/>
          <w:szCs w:val="24"/>
        </w:rPr>
        <w:t>Създаване и разширяване на резервите от състезатели с възможности за постигане на квоти и стандарти за участие в олимпийски игри;</w:t>
      </w:r>
    </w:p>
    <w:p w:rsidR="003A6A87" w:rsidRPr="003A6A87" w:rsidRDefault="003A6A87" w:rsidP="003403BF">
      <w:pPr>
        <w:numPr>
          <w:ilvl w:val="0"/>
          <w:numId w:val="55"/>
        </w:numPr>
        <w:spacing w:before="120" w:after="0"/>
        <w:rPr>
          <w:rFonts w:eastAsia="Times New Roman" w:cs="Times New Roman"/>
          <w:szCs w:val="24"/>
        </w:rPr>
      </w:pPr>
      <w:r w:rsidRPr="003A6A87">
        <w:rPr>
          <w:rFonts w:eastAsia="Times New Roman" w:cs="Times New Roman"/>
          <w:szCs w:val="24"/>
        </w:rPr>
        <w:t>Създаване на условия за участие на българските делегации на Летните олимпийски и паралимпийски игри в Токио през 2020 г;</w:t>
      </w:r>
    </w:p>
    <w:p w:rsidR="003A6A87" w:rsidRPr="003A6A87" w:rsidRDefault="003A6A87" w:rsidP="003403BF">
      <w:pPr>
        <w:numPr>
          <w:ilvl w:val="0"/>
          <w:numId w:val="55"/>
        </w:numPr>
        <w:spacing w:before="120" w:after="0"/>
        <w:rPr>
          <w:rFonts w:eastAsia="Times New Roman" w:cs="Times New Roman"/>
          <w:szCs w:val="24"/>
        </w:rPr>
      </w:pPr>
      <w:r w:rsidRPr="003A6A87">
        <w:rPr>
          <w:rFonts w:eastAsia="Times New Roman" w:cs="Times New Roman"/>
          <w:szCs w:val="24"/>
        </w:rPr>
        <w:t>Финансиране на дейности на спортни организации в областта на спорта за високи постижения с цел развитие на потенциала на младите талантливи спортисти и повишаване качеството на държавните първенства;</w:t>
      </w:r>
    </w:p>
    <w:p w:rsidR="003A6A87" w:rsidRPr="003A6A87" w:rsidRDefault="003A6A87" w:rsidP="003403BF">
      <w:pPr>
        <w:numPr>
          <w:ilvl w:val="0"/>
          <w:numId w:val="55"/>
        </w:numPr>
        <w:spacing w:before="120" w:after="0"/>
        <w:rPr>
          <w:rFonts w:eastAsia="Times New Roman" w:cs="Times New Roman"/>
          <w:szCs w:val="24"/>
        </w:rPr>
      </w:pPr>
      <w:r w:rsidRPr="003A6A87">
        <w:rPr>
          <w:rFonts w:eastAsia="Times New Roman" w:cs="Times New Roman"/>
          <w:szCs w:val="24"/>
        </w:rPr>
        <w:t xml:space="preserve">Осигуряване на награди на спортисти, медалисти и призьори от европейски и световни първенства, олимпийски игри и аналогични първенства и игри за хора с увреждания за постигнати спортни резултати и класирания; </w:t>
      </w:r>
    </w:p>
    <w:p w:rsidR="003A6A87" w:rsidRPr="003A6A87" w:rsidRDefault="003A6A87" w:rsidP="003403BF">
      <w:pPr>
        <w:numPr>
          <w:ilvl w:val="0"/>
          <w:numId w:val="55"/>
        </w:numPr>
        <w:spacing w:before="120" w:after="0"/>
        <w:rPr>
          <w:rFonts w:eastAsia="Times New Roman" w:cs="Times New Roman"/>
          <w:szCs w:val="24"/>
        </w:rPr>
      </w:pPr>
      <w:r w:rsidRPr="003A6A87">
        <w:rPr>
          <w:rFonts w:eastAsia="Times New Roman" w:cs="Times New Roman"/>
          <w:szCs w:val="24"/>
        </w:rPr>
        <w:t>Осигуряване на месечни премии на олимпийски медалисти, прекратили активна състезателна дейност и треньори на олимпийските медалисти и на сборните олимпийски отбори по съответния спорт;</w:t>
      </w:r>
    </w:p>
    <w:p w:rsidR="003A6A87" w:rsidRPr="003A6A87" w:rsidRDefault="003A6A87" w:rsidP="003403BF">
      <w:pPr>
        <w:numPr>
          <w:ilvl w:val="0"/>
          <w:numId w:val="55"/>
        </w:numPr>
        <w:spacing w:before="120" w:after="0"/>
        <w:rPr>
          <w:rFonts w:eastAsia="Times New Roman" w:cs="Times New Roman"/>
          <w:szCs w:val="24"/>
        </w:rPr>
      </w:pPr>
      <w:r w:rsidRPr="003A6A87">
        <w:rPr>
          <w:rFonts w:eastAsia="Times New Roman" w:cs="Times New Roman"/>
          <w:szCs w:val="24"/>
        </w:rPr>
        <w:t>Превенция и контрол на употребата на допинг в спорта.</w:t>
      </w:r>
    </w:p>
    <w:p w:rsidR="00CF5A6F" w:rsidRPr="003A6A87" w:rsidRDefault="00CF5A6F" w:rsidP="003A6A87">
      <w:pPr>
        <w:spacing w:before="120" w:after="0"/>
      </w:pPr>
    </w:p>
    <w:p w:rsidR="009E214A" w:rsidRPr="003A6A87" w:rsidRDefault="009E214A" w:rsidP="0051695D">
      <w:pPr>
        <w:pStyle w:val="ListParagraph"/>
        <w:numPr>
          <w:ilvl w:val="0"/>
          <w:numId w:val="0"/>
        </w:numPr>
        <w:spacing w:before="240"/>
        <w:ind w:left="927" w:hanging="927"/>
        <w:rPr>
          <w:b/>
          <w:sz w:val="20"/>
          <w:szCs w:val="20"/>
        </w:rPr>
      </w:pPr>
      <w:r w:rsidRPr="003A6A87">
        <w:rPr>
          <w:b/>
          <w:sz w:val="20"/>
          <w:szCs w:val="20"/>
        </w:rPr>
        <w:t>КЛЮЧОВИ ИНДИКАТОРИ ЗА ИЗПЪЛНЕНИЕ И ЦЕЛЕВИ СТОЙНОСТИ</w:t>
      </w:r>
    </w:p>
    <w:p w:rsidR="00336A52" w:rsidRPr="003A6A87" w:rsidRDefault="00336A52" w:rsidP="002226EC">
      <w:pPr>
        <w:spacing w:before="120" w:after="0"/>
      </w:pPr>
    </w:p>
    <w:tbl>
      <w:tblPr>
        <w:tblW w:w="5040" w:type="pct"/>
        <w:tblCellMar>
          <w:left w:w="70" w:type="dxa"/>
          <w:right w:w="70" w:type="dxa"/>
        </w:tblCellMar>
        <w:tblLook w:val="04A0" w:firstRow="1" w:lastRow="0" w:firstColumn="1" w:lastColumn="0" w:noHBand="0" w:noVBand="1"/>
      </w:tblPr>
      <w:tblGrid>
        <w:gridCol w:w="4356"/>
        <w:gridCol w:w="896"/>
        <w:gridCol w:w="1000"/>
        <w:gridCol w:w="930"/>
        <w:gridCol w:w="957"/>
        <w:gridCol w:w="1004"/>
      </w:tblGrid>
      <w:tr w:rsidR="003A6A87" w:rsidRPr="003A6A87" w:rsidTr="00A30D81">
        <w:trPr>
          <w:trHeight w:val="50"/>
          <w:tblHeader/>
        </w:trPr>
        <w:tc>
          <w:tcPr>
            <w:tcW w:w="2390" w:type="pct"/>
            <w:tcBorders>
              <w:top w:val="single" w:sz="4" w:space="0" w:color="auto"/>
              <w:left w:val="nil"/>
              <w:bottom w:val="nil"/>
              <w:right w:val="nil"/>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Политика в областта на спорта за високи постижения</w:t>
            </w:r>
          </w:p>
        </w:tc>
        <w:tc>
          <w:tcPr>
            <w:tcW w:w="480" w:type="pct"/>
            <w:vMerge w:val="restart"/>
            <w:tcBorders>
              <w:top w:val="single" w:sz="4" w:space="0" w:color="auto"/>
              <w:left w:val="nil"/>
              <w:bottom w:val="single" w:sz="8" w:space="0" w:color="852010"/>
              <w:right w:val="nil"/>
            </w:tcBorders>
            <w:shd w:val="clear" w:color="auto" w:fill="F2F2F2"/>
            <w:vAlign w:val="center"/>
            <w:hideMark/>
          </w:tcPr>
          <w:p w:rsidR="003A6A87" w:rsidRPr="003A6A87" w:rsidRDefault="003A6A87" w:rsidP="000C2EEF">
            <w:pPr>
              <w:spacing w:after="0" w:line="0" w:lineRule="atLeast"/>
              <w:ind w:left="80"/>
              <w:jc w:val="center"/>
              <w:rPr>
                <w:rFonts w:eastAsia="Times New Roman" w:cs="Arial"/>
                <w:b/>
                <w:sz w:val="18"/>
                <w:szCs w:val="18"/>
              </w:rPr>
            </w:pPr>
            <w:r w:rsidRPr="003A6A87">
              <w:rPr>
                <w:rFonts w:eastAsia="Times New Roman" w:cs="Arial"/>
                <w:b/>
                <w:sz w:val="18"/>
                <w:szCs w:val="18"/>
              </w:rPr>
              <w:t>Мерна единица</w:t>
            </w:r>
          </w:p>
        </w:tc>
        <w:tc>
          <w:tcPr>
            <w:tcW w:w="2131" w:type="pct"/>
            <w:gridSpan w:val="4"/>
            <w:tcBorders>
              <w:top w:val="single" w:sz="4" w:space="0" w:color="auto"/>
              <w:left w:val="nil"/>
              <w:bottom w:val="single" w:sz="4" w:space="0" w:color="auto"/>
              <w:right w:val="nil"/>
            </w:tcBorders>
            <w:vAlign w:val="center"/>
          </w:tcPr>
          <w:p w:rsidR="003A6A87" w:rsidRPr="00F837DF" w:rsidRDefault="003A6A87" w:rsidP="000C2EEF">
            <w:pPr>
              <w:spacing w:after="0" w:line="0" w:lineRule="atLeast"/>
              <w:ind w:left="80"/>
              <w:jc w:val="center"/>
              <w:rPr>
                <w:rFonts w:eastAsia="Times New Roman" w:cs="Arial"/>
                <w:b/>
                <w:sz w:val="18"/>
                <w:szCs w:val="18"/>
              </w:rPr>
            </w:pPr>
            <w:r w:rsidRPr="00F837DF">
              <w:rPr>
                <w:rFonts w:eastAsia="Times New Roman" w:cs="Arial"/>
                <w:b/>
                <w:sz w:val="18"/>
                <w:szCs w:val="18"/>
              </w:rPr>
              <w:t>Целева стойност</w:t>
            </w:r>
          </w:p>
        </w:tc>
      </w:tr>
      <w:tr w:rsidR="003A6A87" w:rsidRPr="003A6A87" w:rsidTr="00A14763">
        <w:trPr>
          <w:trHeight w:val="50"/>
          <w:tblHeader/>
        </w:trPr>
        <w:tc>
          <w:tcPr>
            <w:tcW w:w="2390" w:type="pct"/>
            <w:tcBorders>
              <w:top w:val="nil"/>
              <w:left w:val="nil"/>
              <w:bottom w:val="single" w:sz="4" w:space="0" w:color="auto"/>
              <w:right w:val="nil"/>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sz w:val="18"/>
                <w:szCs w:val="18"/>
              </w:rPr>
            </w:pPr>
            <w:r w:rsidRPr="003A6A87">
              <w:rPr>
                <w:rFonts w:eastAsia="Times New Roman" w:cs="Arial"/>
                <w:b/>
                <w:sz w:val="18"/>
                <w:szCs w:val="18"/>
              </w:rPr>
              <w:t>Наименование на индикатора</w:t>
            </w:r>
          </w:p>
        </w:tc>
        <w:tc>
          <w:tcPr>
            <w:tcW w:w="480" w:type="pct"/>
            <w:vMerge/>
            <w:tcBorders>
              <w:top w:val="single" w:sz="8" w:space="0" w:color="auto"/>
              <w:left w:val="nil"/>
              <w:bottom w:val="single" w:sz="4" w:space="0" w:color="auto"/>
              <w:right w:val="nil"/>
            </w:tcBorders>
            <w:shd w:val="clear" w:color="auto" w:fill="F2F2F2"/>
            <w:vAlign w:val="center"/>
            <w:hideMark/>
          </w:tcPr>
          <w:p w:rsidR="003A6A87" w:rsidRPr="003A6A87" w:rsidRDefault="003A6A87" w:rsidP="000C2EEF">
            <w:pPr>
              <w:spacing w:after="0" w:line="0" w:lineRule="atLeast"/>
              <w:ind w:left="80"/>
              <w:jc w:val="center"/>
              <w:rPr>
                <w:rFonts w:eastAsia="Times New Roman" w:cs="Arial"/>
                <w:b/>
                <w:i/>
                <w:sz w:val="18"/>
                <w:szCs w:val="18"/>
              </w:rPr>
            </w:pPr>
          </w:p>
        </w:tc>
        <w:tc>
          <w:tcPr>
            <w:tcW w:w="542" w:type="pct"/>
            <w:tcBorders>
              <w:top w:val="single" w:sz="4" w:space="0" w:color="auto"/>
              <w:left w:val="nil"/>
              <w:bottom w:val="single" w:sz="4" w:space="0" w:color="auto"/>
              <w:right w:val="nil"/>
            </w:tcBorders>
            <w:vAlign w:val="center"/>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Програма 2019 г.</w:t>
            </w:r>
          </w:p>
        </w:tc>
        <w:tc>
          <w:tcPr>
            <w:tcW w:w="516" w:type="pct"/>
            <w:tcBorders>
              <w:top w:val="nil"/>
              <w:left w:val="nil"/>
              <w:bottom w:val="single" w:sz="4" w:space="0" w:color="auto"/>
              <w:right w:val="nil"/>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Про</w:t>
            </w:r>
            <w:r w:rsidR="008543D7">
              <w:rPr>
                <w:rFonts w:eastAsia="Times New Roman" w:cs="Arial"/>
                <w:b/>
                <w:i/>
                <w:sz w:val="18"/>
                <w:szCs w:val="18"/>
              </w:rPr>
              <w:t>ект</w:t>
            </w:r>
            <w:r w:rsidRPr="003A6A87">
              <w:rPr>
                <w:rFonts w:eastAsia="Times New Roman" w:cs="Arial"/>
                <w:b/>
                <w:i/>
                <w:sz w:val="18"/>
                <w:szCs w:val="18"/>
              </w:rPr>
              <w:t xml:space="preserve">                             2020 г.</w:t>
            </w:r>
          </w:p>
        </w:tc>
        <w:tc>
          <w:tcPr>
            <w:tcW w:w="516" w:type="pct"/>
            <w:tcBorders>
              <w:top w:val="nil"/>
              <w:left w:val="nil"/>
              <w:bottom w:val="single" w:sz="4" w:space="0" w:color="auto"/>
              <w:right w:val="nil"/>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Прогноза                             2021 г.</w:t>
            </w:r>
          </w:p>
        </w:tc>
        <w:tc>
          <w:tcPr>
            <w:tcW w:w="557" w:type="pct"/>
            <w:tcBorders>
              <w:top w:val="nil"/>
              <w:left w:val="nil"/>
              <w:bottom w:val="single" w:sz="4" w:space="0" w:color="auto"/>
              <w:right w:val="nil"/>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i/>
                <w:sz w:val="18"/>
                <w:szCs w:val="18"/>
              </w:rPr>
            </w:pPr>
            <w:r w:rsidRPr="003A6A87">
              <w:rPr>
                <w:rFonts w:eastAsia="Times New Roman" w:cs="Arial"/>
                <w:b/>
                <w:i/>
                <w:sz w:val="18"/>
                <w:szCs w:val="18"/>
              </w:rPr>
              <w:t>Прогноза                            2022 г.</w:t>
            </w:r>
          </w:p>
        </w:tc>
      </w:tr>
      <w:tr w:rsidR="003A6A87" w:rsidRPr="003A6A87" w:rsidTr="00A14763">
        <w:trPr>
          <w:trHeight w:val="82"/>
        </w:trPr>
        <w:tc>
          <w:tcPr>
            <w:tcW w:w="2390" w:type="pct"/>
            <w:tcBorders>
              <w:top w:val="single" w:sz="4" w:space="0" w:color="auto"/>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 Относителен дял на спортисти, които са  финансово подпомогнати за участия в състезания от МСК от всички картотекирани състезатели</w:t>
            </w:r>
          </w:p>
        </w:tc>
        <w:tc>
          <w:tcPr>
            <w:tcW w:w="480" w:type="pct"/>
            <w:vMerge w:val="restart"/>
            <w:tcBorders>
              <w:top w:val="single" w:sz="4" w:space="0" w:color="auto"/>
              <w:left w:val="nil"/>
              <w:bottom w:val="nil"/>
              <w:right w:val="nil"/>
            </w:tcBorders>
            <w:shd w:val="clear" w:color="auto" w:fill="F2F2F2"/>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w:t>
            </w:r>
          </w:p>
        </w:tc>
        <w:tc>
          <w:tcPr>
            <w:tcW w:w="542" w:type="pct"/>
            <w:tcBorders>
              <w:top w:val="single" w:sz="4" w:space="0" w:color="auto"/>
              <w:left w:val="nil"/>
              <w:bottom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18,5</w:t>
            </w:r>
          </w:p>
        </w:tc>
        <w:tc>
          <w:tcPr>
            <w:tcW w:w="516" w:type="pct"/>
            <w:vMerge w:val="restart"/>
            <w:tcBorders>
              <w:top w:val="single" w:sz="4" w:space="0" w:color="auto"/>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18,5</w:t>
            </w:r>
          </w:p>
        </w:tc>
        <w:tc>
          <w:tcPr>
            <w:tcW w:w="516" w:type="pct"/>
            <w:vMerge w:val="restart"/>
            <w:tcBorders>
              <w:top w:val="single" w:sz="4" w:space="0" w:color="auto"/>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18,5</w:t>
            </w:r>
          </w:p>
        </w:tc>
        <w:tc>
          <w:tcPr>
            <w:tcW w:w="557" w:type="pct"/>
            <w:vMerge w:val="restart"/>
            <w:tcBorders>
              <w:top w:val="single" w:sz="4" w:space="0" w:color="auto"/>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18,5</w:t>
            </w:r>
          </w:p>
        </w:tc>
      </w:tr>
      <w:tr w:rsidR="003A6A87" w:rsidRPr="003A6A87" w:rsidTr="000C2EEF">
        <w:trPr>
          <w:trHeight w:val="70"/>
        </w:trPr>
        <w:tc>
          <w:tcPr>
            <w:tcW w:w="2390"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 xml:space="preserve">  -  на Европейски първенства</w:t>
            </w:r>
          </w:p>
        </w:tc>
        <w:tc>
          <w:tcPr>
            <w:tcW w:w="480" w:type="pct"/>
            <w:vMerge/>
            <w:tcBorders>
              <w:top w:val="nil"/>
              <w:left w:val="nil"/>
              <w:bottom w:val="nil"/>
              <w:right w:val="nil"/>
            </w:tcBorders>
            <w:shd w:val="clear" w:color="auto" w:fill="F2F2F2"/>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42" w:type="pct"/>
            <w:tcBorders>
              <w:top w:val="nil"/>
              <w:left w:val="nil"/>
              <w:bottom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57"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3A6A87" w:rsidRPr="003A6A87" w:rsidTr="000C2EEF">
        <w:trPr>
          <w:trHeight w:val="300"/>
        </w:trPr>
        <w:tc>
          <w:tcPr>
            <w:tcW w:w="2390"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 xml:space="preserve">  -  на Световни първенства</w:t>
            </w:r>
          </w:p>
        </w:tc>
        <w:tc>
          <w:tcPr>
            <w:tcW w:w="480" w:type="pct"/>
            <w:vMerge/>
            <w:tcBorders>
              <w:top w:val="nil"/>
              <w:left w:val="nil"/>
              <w:bottom w:val="nil"/>
              <w:right w:val="nil"/>
            </w:tcBorders>
            <w:shd w:val="clear" w:color="auto" w:fill="F2F2F2"/>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42" w:type="pct"/>
            <w:tcBorders>
              <w:top w:val="nil"/>
              <w:left w:val="nil"/>
              <w:bottom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57"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3A6A87" w:rsidRPr="003A6A87" w:rsidTr="000C2EEF">
        <w:trPr>
          <w:trHeight w:val="640"/>
        </w:trPr>
        <w:tc>
          <w:tcPr>
            <w:tcW w:w="2390"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 xml:space="preserve">  - на Олимпийски и европейски игри  (олимпийски игри - зимни, летни, паралимпийски игри - зимни и летни, младежки олимпийски - зимни и летни и европейски игри)</w:t>
            </w:r>
          </w:p>
        </w:tc>
        <w:tc>
          <w:tcPr>
            <w:tcW w:w="480" w:type="pct"/>
            <w:vMerge/>
            <w:tcBorders>
              <w:top w:val="nil"/>
              <w:left w:val="nil"/>
              <w:bottom w:val="nil"/>
              <w:right w:val="nil"/>
            </w:tcBorders>
            <w:shd w:val="clear" w:color="auto" w:fill="F2F2F2"/>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42" w:type="pct"/>
            <w:tcBorders>
              <w:top w:val="nil"/>
              <w:left w:val="nil"/>
              <w:bottom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57"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3A6A87" w:rsidRPr="003A6A87" w:rsidTr="000C2EEF">
        <w:trPr>
          <w:trHeight w:val="70"/>
        </w:trPr>
        <w:tc>
          <w:tcPr>
            <w:tcW w:w="2390"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2. Брой медали, спечелени на олимпийски и европейски игри, световни и европейски първенства</w:t>
            </w:r>
          </w:p>
        </w:tc>
        <w:tc>
          <w:tcPr>
            <w:tcW w:w="480" w:type="pct"/>
            <w:tcBorders>
              <w:top w:val="nil"/>
              <w:left w:val="nil"/>
              <w:bottom w:val="nil"/>
              <w:right w:val="nil"/>
            </w:tcBorders>
            <w:shd w:val="clear" w:color="auto" w:fill="F2F2F2"/>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брой</w:t>
            </w:r>
          </w:p>
        </w:tc>
        <w:tc>
          <w:tcPr>
            <w:tcW w:w="542" w:type="pct"/>
            <w:tcBorders>
              <w:top w:val="nil"/>
              <w:left w:val="nil"/>
              <w:bottom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182</w:t>
            </w:r>
          </w:p>
        </w:tc>
        <w:tc>
          <w:tcPr>
            <w:tcW w:w="516"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185</w:t>
            </w:r>
          </w:p>
        </w:tc>
        <w:tc>
          <w:tcPr>
            <w:tcW w:w="516"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185</w:t>
            </w:r>
          </w:p>
        </w:tc>
        <w:tc>
          <w:tcPr>
            <w:tcW w:w="557"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185</w:t>
            </w:r>
          </w:p>
        </w:tc>
      </w:tr>
      <w:tr w:rsidR="003A6A87" w:rsidRPr="003A6A87" w:rsidTr="000C2EEF">
        <w:trPr>
          <w:trHeight w:val="359"/>
        </w:trPr>
        <w:tc>
          <w:tcPr>
            <w:tcW w:w="2390"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3. Относителен дял на класиранията до 8-мо място в състезания от МСК към броя на финансово подпомогнатите от ММС спортисти</w:t>
            </w:r>
          </w:p>
        </w:tc>
        <w:tc>
          <w:tcPr>
            <w:tcW w:w="480" w:type="pct"/>
            <w:vMerge w:val="restart"/>
            <w:tcBorders>
              <w:top w:val="nil"/>
              <w:left w:val="nil"/>
              <w:bottom w:val="nil"/>
              <w:right w:val="nil"/>
            </w:tcBorders>
            <w:shd w:val="clear" w:color="auto" w:fill="F2F2F2"/>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w:t>
            </w:r>
          </w:p>
        </w:tc>
        <w:tc>
          <w:tcPr>
            <w:tcW w:w="542" w:type="pct"/>
            <w:tcBorders>
              <w:top w:val="nil"/>
              <w:left w:val="nil"/>
              <w:bottom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90,0</w:t>
            </w:r>
          </w:p>
        </w:tc>
        <w:tc>
          <w:tcPr>
            <w:tcW w:w="516" w:type="pct"/>
            <w:vMerge w:val="restar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90,0</w:t>
            </w:r>
          </w:p>
        </w:tc>
        <w:tc>
          <w:tcPr>
            <w:tcW w:w="516" w:type="pct"/>
            <w:vMerge w:val="restar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90,0</w:t>
            </w:r>
          </w:p>
        </w:tc>
        <w:tc>
          <w:tcPr>
            <w:tcW w:w="557" w:type="pct"/>
            <w:vMerge w:val="restar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90,0</w:t>
            </w:r>
          </w:p>
        </w:tc>
      </w:tr>
      <w:tr w:rsidR="003A6A87" w:rsidRPr="003A6A87" w:rsidTr="000C2EEF">
        <w:trPr>
          <w:trHeight w:val="70"/>
        </w:trPr>
        <w:tc>
          <w:tcPr>
            <w:tcW w:w="2390"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 xml:space="preserve">  -  на Европейски първенства</w:t>
            </w:r>
          </w:p>
        </w:tc>
        <w:tc>
          <w:tcPr>
            <w:tcW w:w="480" w:type="pct"/>
            <w:vMerge/>
            <w:tcBorders>
              <w:top w:val="nil"/>
              <w:left w:val="nil"/>
              <w:bottom w:val="nil"/>
              <w:right w:val="nil"/>
            </w:tcBorders>
            <w:shd w:val="clear" w:color="auto" w:fill="F2F2F2"/>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542" w:type="pct"/>
            <w:tcBorders>
              <w:top w:val="nil"/>
              <w:left w:val="nil"/>
              <w:bottom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57"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3A6A87" w:rsidRPr="003A6A87" w:rsidTr="000C2EEF">
        <w:trPr>
          <w:trHeight w:val="70"/>
        </w:trPr>
        <w:tc>
          <w:tcPr>
            <w:tcW w:w="2390" w:type="pct"/>
            <w:tcBorders>
              <w:top w:val="nil"/>
              <w:left w:val="nil"/>
              <w:bottom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 xml:space="preserve">  -  на Световни първенства</w:t>
            </w:r>
          </w:p>
        </w:tc>
        <w:tc>
          <w:tcPr>
            <w:tcW w:w="480" w:type="pct"/>
            <w:vMerge/>
            <w:tcBorders>
              <w:top w:val="nil"/>
              <w:left w:val="nil"/>
              <w:bottom w:val="nil"/>
              <w:right w:val="nil"/>
            </w:tcBorders>
            <w:shd w:val="clear" w:color="auto" w:fill="F2F2F2"/>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542" w:type="pct"/>
            <w:tcBorders>
              <w:top w:val="nil"/>
              <w:left w:val="nil"/>
              <w:bottom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57" w:type="pct"/>
            <w:vMerge/>
            <w:tcBorders>
              <w:top w:val="nil"/>
              <w:left w:val="nil"/>
              <w:bottom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3A6A87" w:rsidRPr="003A6A87" w:rsidTr="00A30D81">
        <w:trPr>
          <w:trHeight w:val="70"/>
        </w:trPr>
        <w:tc>
          <w:tcPr>
            <w:tcW w:w="2390" w:type="pct"/>
            <w:tcBorders>
              <w:top w:val="nil"/>
              <w:left w:val="nil"/>
              <w:right w:val="nil"/>
            </w:tcBorders>
            <w:shd w:val="clear" w:color="auto" w:fill="auto"/>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 xml:space="preserve">  - на Олимпийски и европейски игри (олимпийски игри - зимни, летни, паралимпийски игри - зимни и летни, младежки олимпийски - зимни и летни и европейски игри)</w:t>
            </w:r>
          </w:p>
        </w:tc>
        <w:tc>
          <w:tcPr>
            <w:tcW w:w="480" w:type="pct"/>
            <w:vMerge/>
            <w:tcBorders>
              <w:top w:val="nil"/>
              <w:left w:val="nil"/>
              <w:right w:val="nil"/>
            </w:tcBorders>
            <w:shd w:val="clear" w:color="auto" w:fill="F2F2F2"/>
            <w:hideMark/>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542" w:type="pct"/>
            <w:tcBorders>
              <w:top w:val="nil"/>
              <w:left w:val="nil"/>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16" w:type="pct"/>
            <w:vMerge/>
            <w:tcBorders>
              <w:top w:val="nil"/>
              <w:left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557" w:type="pct"/>
            <w:vMerge/>
            <w:tcBorders>
              <w:top w:val="nil"/>
              <w:left w:val="nil"/>
              <w:right w:val="nil"/>
            </w:tcBorders>
            <w:hideMark/>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3A6A87" w:rsidRPr="003A6A87" w:rsidTr="00A30D81">
        <w:trPr>
          <w:trHeight w:val="70"/>
        </w:trPr>
        <w:tc>
          <w:tcPr>
            <w:tcW w:w="2390" w:type="pct"/>
            <w:tcBorders>
              <w:top w:val="nil"/>
              <w:left w:val="nil"/>
              <w:bottom w:val="single" w:sz="4" w:space="0" w:color="000000"/>
              <w:right w:val="nil"/>
            </w:tcBorders>
            <w:shd w:val="clear" w:color="auto" w:fill="auto"/>
          </w:tcPr>
          <w:p w:rsidR="003A6A87" w:rsidRPr="003A6A87"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4. Относителен дял на  финансово подпомаганите  за СВП спортни клубове спрямо всички вписани в Националния регистър на лицензираните спортни организации и на членуващите в тях спортни клубове</w:t>
            </w:r>
          </w:p>
        </w:tc>
        <w:tc>
          <w:tcPr>
            <w:tcW w:w="480" w:type="pct"/>
            <w:tcBorders>
              <w:top w:val="nil"/>
              <w:left w:val="nil"/>
              <w:bottom w:val="single" w:sz="4" w:space="0" w:color="000000"/>
              <w:right w:val="nil"/>
            </w:tcBorders>
            <w:shd w:val="clear" w:color="auto" w:fill="F2F2F2"/>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3A6A87">
              <w:rPr>
                <w:rFonts w:asciiTheme="majorHAnsi" w:eastAsia="Times New Roman" w:hAnsiTheme="majorHAnsi" w:cstheme="majorHAnsi"/>
                <w:sz w:val="18"/>
                <w:szCs w:val="18"/>
                <w:lang w:eastAsia="en-US"/>
              </w:rPr>
              <w:t>%</w:t>
            </w:r>
          </w:p>
        </w:tc>
        <w:tc>
          <w:tcPr>
            <w:tcW w:w="542" w:type="pct"/>
            <w:tcBorders>
              <w:top w:val="nil"/>
              <w:left w:val="nil"/>
              <w:bottom w:val="single" w:sz="4" w:space="0" w:color="000000"/>
              <w:right w:val="nil"/>
            </w:tcBorders>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22,5</w:t>
            </w:r>
          </w:p>
        </w:tc>
        <w:tc>
          <w:tcPr>
            <w:tcW w:w="516" w:type="pct"/>
            <w:tcBorders>
              <w:top w:val="nil"/>
              <w:left w:val="nil"/>
              <w:bottom w:val="single" w:sz="4" w:space="0" w:color="000000"/>
              <w:right w:val="nil"/>
            </w:tcBorders>
            <w:shd w:val="clear" w:color="auto" w:fill="auto"/>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22,5</w:t>
            </w:r>
          </w:p>
        </w:tc>
        <w:tc>
          <w:tcPr>
            <w:tcW w:w="516" w:type="pct"/>
            <w:tcBorders>
              <w:top w:val="nil"/>
              <w:left w:val="nil"/>
              <w:bottom w:val="single" w:sz="4" w:space="0" w:color="000000"/>
              <w:right w:val="nil"/>
            </w:tcBorders>
            <w:shd w:val="clear" w:color="auto" w:fill="auto"/>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22,5</w:t>
            </w:r>
          </w:p>
        </w:tc>
        <w:tc>
          <w:tcPr>
            <w:tcW w:w="557" w:type="pct"/>
            <w:tcBorders>
              <w:top w:val="nil"/>
              <w:left w:val="nil"/>
              <w:bottom w:val="single" w:sz="4" w:space="0" w:color="000000"/>
              <w:right w:val="nil"/>
            </w:tcBorders>
            <w:shd w:val="clear" w:color="auto" w:fill="auto"/>
          </w:tcPr>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p w:rsidR="003A6A87" w:rsidRPr="003A6A87"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val="en-US" w:eastAsia="en-US"/>
              </w:rPr>
            </w:pPr>
            <w:r>
              <w:rPr>
                <w:rFonts w:asciiTheme="majorHAnsi" w:eastAsia="Times New Roman" w:hAnsiTheme="majorHAnsi" w:cstheme="majorHAnsi"/>
                <w:sz w:val="18"/>
                <w:szCs w:val="18"/>
                <w:lang w:eastAsia="en-US"/>
              </w:rPr>
              <w:t>22,5</w:t>
            </w:r>
          </w:p>
        </w:tc>
      </w:tr>
    </w:tbl>
    <w:p w:rsidR="003A6A87" w:rsidRPr="003A6A87" w:rsidRDefault="003A6A87" w:rsidP="002226EC">
      <w:pPr>
        <w:spacing w:before="120" w:after="0"/>
      </w:pPr>
    </w:p>
    <w:p w:rsidR="00AC4950" w:rsidRDefault="00AC4950" w:rsidP="003A6A87">
      <w:pPr>
        <w:pStyle w:val="BodyText"/>
      </w:pPr>
      <w:r w:rsidRPr="00AC4950">
        <w:t>За реализирането на тази политика чрез мерки за развитие на спорта за високи постижения са разчетени средства, както следва: 51,5 млн. лв. за 2020 г., 51,0 млн. лв. за 2021 г. и 51,0 млн. лв. за 2022 г. По проектобюджета на ММС за 2020 г. са заложени средства за участие на българските делегации на Летните олимпийски и паралимпийски игри в Токио.</w:t>
      </w:r>
    </w:p>
    <w:p w:rsidR="003A6A87" w:rsidRPr="007D6981" w:rsidRDefault="003A6A87" w:rsidP="002226EC">
      <w:pPr>
        <w:spacing w:before="120" w:after="0"/>
        <w:rPr>
          <w:lang w:val="ru-RU"/>
        </w:rPr>
      </w:pPr>
    </w:p>
    <w:p w:rsidR="00336A52" w:rsidRDefault="00336A52" w:rsidP="00336A52">
      <w:pPr>
        <w:pStyle w:val="Heading4"/>
      </w:pPr>
      <w:r w:rsidRPr="00336A52">
        <w:t>Политика в областта на привеждането на спортните обекти и съоръжения във вид, отговарящ на съвременните международни  стандарти</w:t>
      </w:r>
    </w:p>
    <w:p w:rsidR="003A6A87" w:rsidRPr="003A6A87" w:rsidRDefault="003A6A87" w:rsidP="00336A52">
      <w:pPr>
        <w:spacing w:before="120" w:after="0"/>
        <w:rPr>
          <w:szCs w:val="24"/>
        </w:rPr>
      </w:pPr>
    </w:p>
    <w:p w:rsidR="003A6A87" w:rsidRPr="003A6A87" w:rsidRDefault="003A6A87" w:rsidP="003A6A87">
      <w:pPr>
        <w:spacing w:before="120" w:after="0"/>
        <w:rPr>
          <w:szCs w:val="24"/>
        </w:rPr>
      </w:pPr>
      <w:r w:rsidRPr="003A6A87">
        <w:rPr>
          <w:szCs w:val="24"/>
        </w:rPr>
        <w:t>Държавната политика в тази област е насочена към изграждане, реконструкция и модернизация на спортните обекти и съоръжения и обектите за социален туризъм с цел привеждането им във вид, отговарящ на съвременните международни стандарти. Спортните обекти и съоръжения и обектите за социален туризъм са основна предпоставка за развитие на системата на физическото възпитание и спорта.</w:t>
      </w:r>
    </w:p>
    <w:p w:rsidR="003A6A87" w:rsidRPr="003A6A87" w:rsidRDefault="003A6A87" w:rsidP="003A6A87">
      <w:pPr>
        <w:spacing w:before="120" w:after="0"/>
        <w:rPr>
          <w:szCs w:val="24"/>
        </w:rPr>
      </w:pPr>
      <w:r w:rsidRPr="003A6A87">
        <w:rPr>
          <w:szCs w:val="24"/>
        </w:rPr>
        <w:t>Изграждането на съвременна спортна инфраструктура дава възможност за оптимални условия за спортна подготовка, провеждане на подготвителни лагери и организиране на състезания от държавния и международния спортен календар. Изграждането на модерни спортни съоръжения е предпоставка за привличане на подрастващите към системни занимания със спорт и привикване към здравословен начин на живот.</w:t>
      </w:r>
    </w:p>
    <w:p w:rsidR="00336A52" w:rsidRPr="003A6A87" w:rsidRDefault="00336A52" w:rsidP="00336A52">
      <w:pPr>
        <w:spacing w:before="120" w:after="0"/>
        <w:rPr>
          <w:szCs w:val="24"/>
        </w:rPr>
      </w:pPr>
    </w:p>
    <w:p w:rsidR="00AD1AF9" w:rsidRPr="003A6A87" w:rsidRDefault="00AD1AF9" w:rsidP="0051695D">
      <w:pPr>
        <w:spacing w:after="120"/>
        <w:rPr>
          <w:b/>
          <w:sz w:val="20"/>
          <w:szCs w:val="20"/>
        </w:rPr>
      </w:pPr>
      <w:r w:rsidRPr="003A6A87">
        <w:rPr>
          <w:b/>
          <w:sz w:val="20"/>
          <w:szCs w:val="20"/>
        </w:rPr>
        <w:t>КЛЮЧОВИ ИНДИКАТОРИ ЗА ИЗПЪЛНЕНИЕ И ЦЕЛЕВИ СТОЙНОСТИ</w:t>
      </w:r>
    </w:p>
    <w:tbl>
      <w:tblPr>
        <w:tblW w:w="5004" w:type="pct"/>
        <w:jc w:val="center"/>
        <w:tblCellMar>
          <w:left w:w="70" w:type="dxa"/>
          <w:right w:w="70" w:type="dxa"/>
        </w:tblCellMar>
        <w:tblLook w:val="04A0" w:firstRow="1" w:lastRow="0" w:firstColumn="1" w:lastColumn="0" w:noHBand="0" w:noVBand="1"/>
      </w:tblPr>
      <w:tblGrid>
        <w:gridCol w:w="3678"/>
        <w:gridCol w:w="1195"/>
        <w:gridCol w:w="1071"/>
        <w:gridCol w:w="1107"/>
        <w:gridCol w:w="1069"/>
        <w:gridCol w:w="957"/>
      </w:tblGrid>
      <w:tr w:rsidR="003A6A87" w:rsidRPr="00E23593" w:rsidTr="000C2EEF">
        <w:trPr>
          <w:trHeight w:val="60"/>
          <w:jc w:val="center"/>
        </w:trPr>
        <w:tc>
          <w:tcPr>
            <w:tcW w:w="2041" w:type="pct"/>
            <w:tcBorders>
              <w:top w:val="single" w:sz="4" w:space="0" w:color="auto"/>
              <w:left w:val="nil"/>
              <w:bottom w:val="nil"/>
              <w:right w:val="nil"/>
            </w:tcBorders>
            <w:shd w:val="clear" w:color="auto" w:fill="auto"/>
            <w:vAlign w:val="center"/>
            <w:hideMark/>
          </w:tcPr>
          <w:p w:rsidR="003A6A87" w:rsidRPr="00E23593" w:rsidRDefault="003A6A87" w:rsidP="000C2EEF">
            <w:pPr>
              <w:spacing w:after="0" w:line="0" w:lineRule="atLeast"/>
              <w:ind w:left="80"/>
              <w:jc w:val="center"/>
              <w:rPr>
                <w:rFonts w:eastAsia="Times New Roman" w:cs="Arial"/>
                <w:b/>
                <w:i/>
                <w:sz w:val="18"/>
                <w:szCs w:val="18"/>
              </w:rPr>
            </w:pPr>
            <w:r w:rsidRPr="00E23593">
              <w:rPr>
                <w:rFonts w:eastAsia="Times New Roman" w:cs="Arial"/>
                <w:b/>
                <w:i/>
                <w:sz w:val="18"/>
                <w:szCs w:val="18"/>
              </w:rPr>
              <w:t>Политика в областта на привеждането на спортните обекти и съоръжения във вид, отговарящ на съвременните международни  стандарти</w:t>
            </w:r>
          </w:p>
        </w:tc>
        <w:tc>
          <w:tcPr>
            <w:tcW w:w="673" w:type="pct"/>
            <w:vMerge w:val="restart"/>
            <w:tcBorders>
              <w:top w:val="single" w:sz="4" w:space="0" w:color="auto"/>
              <w:left w:val="nil"/>
              <w:bottom w:val="nil"/>
              <w:right w:val="nil"/>
            </w:tcBorders>
            <w:shd w:val="clear" w:color="000000" w:fill="F2F2F2"/>
            <w:vAlign w:val="center"/>
            <w:hideMark/>
          </w:tcPr>
          <w:p w:rsidR="003A6A87" w:rsidRPr="003A6A87" w:rsidRDefault="003A6A87" w:rsidP="000C2EEF">
            <w:pPr>
              <w:spacing w:after="0" w:line="0" w:lineRule="atLeast"/>
              <w:ind w:left="80"/>
              <w:jc w:val="center"/>
              <w:rPr>
                <w:rFonts w:eastAsia="Times New Roman" w:cs="Arial"/>
                <w:b/>
                <w:sz w:val="18"/>
                <w:szCs w:val="18"/>
              </w:rPr>
            </w:pPr>
            <w:r w:rsidRPr="003A6A87">
              <w:rPr>
                <w:rFonts w:eastAsia="Times New Roman" w:cs="Arial"/>
                <w:b/>
                <w:sz w:val="18"/>
                <w:szCs w:val="18"/>
              </w:rPr>
              <w:t>Мерна единица</w:t>
            </w:r>
          </w:p>
        </w:tc>
        <w:tc>
          <w:tcPr>
            <w:tcW w:w="2286" w:type="pct"/>
            <w:gridSpan w:val="4"/>
            <w:tcBorders>
              <w:top w:val="single" w:sz="4" w:space="0" w:color="auto"/>
              <w:left w:val="nil"/>
              <w:bottom w:val="single" w:sz="4" w:space="0" w:color="auto"/>
              <w:right w:val="nil"/>
            </w:tcBorders>
            <w:shd w:val="clear" w:color="auto" w:fill="auto"/>
            <w:vAlign w:val="center"/>
            <w:hideMark/>
          </w:tcPr>
          <w:p w:rsidR="003A6A87" w:rsidRPr="003A6A87" w:rsidRDefault="003A6A87" w:rsidP="000C2EEF">
            <w:pPr>
              <w:spacing w:after="0" w:line="0" w:lineRule="atLeast"/>
              <w:ind w:left="80"/>
              <w:jc w:val="center"/>
              <w:rPr>
                <w:rFonts w:eastAsia="Times New Roman" w:cs="Arial"/>
                <w:b/>
                <w:sz w:val="18"/>
                <w:szCs w:val="18"/>
              </w:rPr>
            </w:pPr>
            <w:r w:rsidRPr="003A6A87">
              <w:rPr>
                <w:rFonts w:eastAsia="Times New Roman" w:cs="Arial"/>
                <w:b/>
                <w:sz w:val="18"/>
                <w:szCs w:val="18"/>
              </w:rPr>
              <w:t>Целева стойност</w:t>
            </w:r>
          </w:p>
        </w:tc>
      </w:tr>
      <w:tr w:rsidR="003A6A87" w:rsidRPr="00E23593" w:rsidTr="00A14763">
        <w:trPr>
          <w:trHeight w:val="60"/>
          <w:jc w:val="center"/>
        </w:trPr>
        <w:tc>
          <w:tcPr>
            <w:tcW w:w="2041" w:type="pct"/>
            <w:tcBorders>
              <w:top w:val="nil"/>
              <w:left w:val="nil"/>
              <w:bottom w:val="single" w:sz="4" w:space="0" w:color="auto"/>
              <w:right w:val="nil"/>
            </w:tcBorders>
            <w:shd w:val="clear" w:color="auto" w:fill="auto"/>
            <w:vAlign w:val="center"/>
            <w:hideMark/>
          </w:tcPr>
          <w:p w:rsidR="003A6A87" w:rsidRPr="00E23593" w:rsidRDefault="003A6A87" w:rsidP="000C2EEF">
            <w:pPr>
              <w:spacing w:after="0" w:line="0" w:lineRule="atLeast"/>
              <w:ind w:left="80"/>
              <w:jc w:val="center"/>
              <w:rPr>
                <w:rFonts w:eastAsia="Times New Roman" w:cs="Arial"/>
                <w:b/>
                <w:sz w:val="18"/>
                <w:szCs w:val="18"/>
              </w:rPr>
            </w:pPr>
            <w:r w:rsidRPr="00E23593">
              <w:rPr>
                <w:rFonts w:eastAsia="Times New Roman" w:cs="Arial"/>
                <w:b/>
                <w:sz w:val="18"/>
                <w:szCs w:val="18"/>
              </w:rPr>
              <w:t>Наименование на индикатора</w:t>
            </w:r>
          </w:p>
        </w:tc>
        <w:tc>
          <w:tcPr>
            <w:tcW w:w="673" w:type="pct"/>
            <w:vMerge/>
            <w:tcBorders>
              <w:top w:val="single" w:sz="4" w:space="0" w:color="auto"/>
              <w:left w:val="nil"/>
              <w:bottom w:val="single" w:sz="4" w:space="0" w:color="auto"/>
              <w:right w:val="nil"/>
            </w:tcBorders>
            <w:vAlign w:val="center"/>
            <w:hideMark/>
          </w:tcPr>
          <w:p w:rsidR="003A6A87" w:rsidRPr="00E23593" w:rsidRDefault="003A6A87" w:rsidP="000C2EEF">
            <w:pPr>
              <w:spacing w:after="0" w:line="0" w:lineRule="atLeast"/>
              <w:ind w:left="80"/>
              <w:jc w:val="center"/>
              <w:rPr>
                <w:rFonts w:eastAsia="Times New Roman" w:cs="Arial"/>
                <w:b/>
                <w:i/>
                <w:sz w:val="18"/>
                <w:szCs w:val="18"/>
              </w:rPr>
            </w:pPr>
          </w:p>
        </w:tc>
        <w:tc>
          <w:tcPr>
            <w:tcW w:w="605" w:type="pct"/>
            <w:tcBorders>
              <w:top w:val="nil"/>
              <w:left w:val="nil"/>
              <w:bottom w:val="single" w:sz="4" w:space="0" w:color="auto"/>
              <w:right w:val="nil"/>
            </w:tcBorders>
            <w:shd w:val="clear" w:color="auto" w:fill="auto"/>
            <w:vAlign w:val="center"/>
            <w:hideMark/>
          </w:tcPr>
          <w:p w:rsidR="003A6A87" w:rsidRPr="00E23593" w:rsidRDefault="003A6A87" w:rsidP="000C2EEF">
            <w:pPr>
              <w:spacing w:after="0" w:line="0" w:lineRule="atLeast"/>
              <w:ind w:left="80"/>
              <w:jc w:val="center"/>
              <w:rPr>
                <w:rFonts w:eastAsia="Times New Roman" w:cs="Arial"/>
                <w:b/>
                <w:i/>
                <w:sz w:val="18"/>
                <w:szCs w:val="18"/>
              </w:rPr>
            </w:pPr>
            <w:r w:rsidRPr="00E23593">
              <w:rPr>
                <w:rFonts w:eastAsia="Times New Roman" w:cs="Arial"/>
                <w:b/>
                <w:i/>
                <w:sz w:val="18"/>
                <w:szCs w:val="18"/>
              </w:rPr>
              <w:t>Програма 2019 г.</w:t>
            </w:r>
          </w:p>
        </w:tc>
        <w:tc>
          <w:tcPr>
            <w:tcW w:w="624" w:type="pct"/>
            <w:tcBorders>
              <w:top w:val="nil"/>
              <w:left w:val="nil"/>
              <w:bottom w:val="single" w:sz="4" w:space="0" w:color="auto"/>
              <w:right w:val="nil"/>
            </w:tcBorders>
            <w:shd w:val="clear" w:color="auto" w:fill="auto"/>
            <w:vAlign w:val="center"/>
            <w:hideMark/>
          </w:tcPr>
          <w:p w:rsidR="003A6A87" w:rsidRPr="00E23593" w:rsidRDefault="003A6A87" w:rsidP="000C2EEF">
            <w:pPr>
              <w:spacing w:after="0" w:line="0" w:lineRule="atLeast"/>
              <w:ind w:left="80"/>
              <w:jc w:val="center"/>
              <w:rPr>
                <w:rFonts w:eastAsia="Times New Roman" w:cs="Arial"/>
                <w:b/>
                <w:i/>
                <w:sz w:val="18"/>
                <w:szCs w:val="18"/>
              </w:rPr>
            </w:pPr>
            <w:r w:rsidRPr="00E23593">
              <w:rPr>
                <w:rFonts w:eastAsia="Times New Roman" w:cs="Arial"/>
                <w:b/>
                <w:i/>
                <w:sz w:val="18"/>
                <w:szCs w:val="18"/>
              </w:rPr>
              <w:t>Про</w:t>
            </w:r>
            <w:r w:rsidR="00F1198E">
              <w:rPr>
                <w:rFonts w:eastAsia="Times New Roman" w:cs="Arial"/>
                <w:b/>
                <w:i/>
                <w:sz w:val="18"/>
                <w:szCs w:val="18"/>
              </w:rPr>
              <w:t>ект</w:t>
            </w:r>
            <w:r w:rsidRPr="00E23593">
              <w:rPr>
                <w:rFonts w:eastAsia="Times New Roman" w:cs="Arial"/>
                <w:b/>
                <w:i/>
                <w:sz w:val="18"/>
                <w:szCs w:val="18"/>
              </w:rPr>
              <w:t xml:space="preserve"> 2020 г.</w:t>
            </w:r>
          </w:p>
        </w:tc>
        <w:tc>
          <w:tcPr>
            <w:tcW w:w="603" w:type="pct"/>
            <w:tcBorders>
              <w:top w:val="nil"/>
              <w:left w:val="nil"/>
              <w:bottom w:val="single" w:sz="4" w:space="0" w:color="auto"/>
              <w:right w:val="nil"/>
            </w:tcBorders>
            <w:shd w:val="clear" w:color="auto" w:fill="auto"/>
            <w:vAlign w:val="center"/>
            <w:hideMark/>
          </w:tcPr>
          <w:p w:rsidR="003A6A87" w:rsidRPr="00E23593" w:rsidRDefault="003A6A87" w:rsidP="000C2EEF">
            <w:pPr>
              <w:spacing w:after="0" w:line="0" w:lineRule="atLeast"/>
              <w:ind w:left="80"/>
              <w:jc w:val="center"/>
              <w:rPr>
                <w:rFonts w:eastAsia="Times New Roman" w:cs="Arial"/>
                <w:b/>
                <w:i/>
                <w:sz w:val="18"/>
                <w:szCs w:val="18"/>
              </w:rPr>
            </w:pPr>
            <w:r w:rsidRPr="00E23593">
              <w:rPr>
                <w:rFonts w:eastAsia="Times New Roman" w:cs="Arial"/>
                <w:b/>
                <w:i/>
                <w:sz w:val="18"/>
                <w:szCs w:val="18"/>
              </w:rPr>
              <w:t>Прогноза 2021 г.</w:t>
            </w:r>
          </w:p>
        </w:tc>
        <w:tc>
          <w:tcPr>
            <w:tcW w:w="453" w:type="pct"/>
            <w:tcBorders>
              <w:top w:val="nil"/>
              <w:left w:val="nil"/>
              <w:bottom w:val="single" w:sz="4" w:space="0" w:color="auto"/>
              <w:right w:val="nil"/>
            </w:tcBorders>
            <w:shd w:val="clear" w:color="auto" w:fill="auto"/>
            <w:vAlign w:val="center"/>
            <w:hideMark/>
          </w:tcPr>
          <w:p w:rsidR="003A6A87" w:rsidRPr="00E23593" w:rsidRDefault="003A6A87" w:rsidP="000C2EEF">
            <w:pPr>
              <w:spacing w:after="0" w:line="0" w:lineRule="atLeast"/>
              <w:ind w:left="80"/>
              <w:jc w:val="center"/>
              <w:rPr>
                <w:rFonts w:eastAsia="Times New Roman" w:cs="Arial"/>
                <w:b/>
                <w:i/>
                <w:sz w:val="18"/>
                <w:szCs w:val="18"/>
              </w:rPr>
            </w:pPr>
            <w:r w:rsidRPr="00E23593">
              <w:rPr>
                <w:rFonts w:eastAsia="Times New Roman" w:cs="Arial"/>
                <w:b/>
                <w:i/>
                <w:sz w:val="18"/>
                <w:szCs w:val="18"/>
              </w:rPr>
              <w:t>Прогноза 2022 г.</w:t>
            </w:r>
          </w:p>
        </w:tc>
      </w:tr>
      <w:tr w:rsidR="003A6A87" w:rsidRPr="00E23593" w:rsidTr="00A14763">
        <w:trPr>
          <w:trHeight w:val="60"/>
          <w:jc w:val="center"/>
        </w:trPr>
        <w:tc>
          <w:tcPr>
            <w:tcW w:w="2041" w:type="pct"/>
            <w:tcBorders>
              <w:top w:val="single" w:sz="4" w:space="0" w:color="auto"/>
              <w:left w:val="nil"/>
              <w:bottom w:val="single" w:sz="4" w:space="0" w:color="auto"/>
              <w:right w:val="nil"/>
            </w:tcBorders>
            <w:shd w:val="clear" w:color="auto" w:fill="auto"/>
            <w:vAlign w:val="center"/>
            <w:hideMark/>
          </w:tcPr>
          <w:p w:rsidR="003A6A87" w:rsidRPr="00E23593" w:rsidRDefault="003A6A87"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E23593">
              <w:rPr>
                <w:rFonts w:asciiTheme="majorHAnsi" w:eastAsia="Times New Roman" w:hAnsiTheme="majorHAnsi" w:cstheme="majorHAnsi"/>
                <w:sz w:val="18"/>
                <w:szCs w:val="18"/>
                <w:lang w:eastAsia="en-US"/>
              </w:rPr>
              <w:t>1. Ремонтирани и реконструирани обекти/съоръжения</w:t>
            </w:r>
          </w:p>
        </w:tc>
        <w:tc>
          <w:tcPr>
            <w:tcW w:w="673" w:type="pct"/>
            <w:tcBorders>
              <w:top w:val="single" w:sz="4" w:space="0" w:color="auto"/>
              <w:left w:val="nil"/>
              <w:bottom w:val="single" w:sz="4" w:space="0" w:color="auto"/>
              <w:right w:val="nil"/>
            </w:tcBorders>
            <w:shd w:val="clear" w:color="000000" w:fill="F2F2F2"/>
            <w:noWrap/>
            <w:vAlign w:val="center"/>
            <w:hideMark/>
          </w:tcPr>
          <w:p w:rsidR="003A6A87" w:rsidRPr="00E23593"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E23593">
              <w:rPr>
                <w:rFonts w:asciiTheme="majorHAnsi" w:eastAsia="Times New Roman" w:hAnsiTheme="majorHAnsi" w:cstheme="majorHAnsi"/>
                <w:sz w:val="18"/>
                <w:szCs w:val="18"/>
                <w:lang w:eastAsia="en-US"/>
              </w:rPr>
              <w:t>брой</w:t>
            </w:r>
          </w:p>
        </w:tc>
        <w:tc>
          <w:tcPr>
            <w:tcW w:w="605" w:type="pct"/>
            <w:tcBorders>
              <w:top w:val="single" w:sz="4" w:space="0" w:color="auto"/>
              <w:left w:val="nil"/>
              <w:bottom w:val="single" w:sz="4" w:space="0" w:color="auto"/>
              <w:right w:val="nil"/>
            </w:tcBorders>
            <w:shd w:val="clear" w:color="auto" w:fill="auto"/>
            <w:vAlign w:val="center"/>
            <w:hideMark/>
          </w:tcPr>
          <w:p w:rsidR="003A6A87" w:rsidRPr="00E23593"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E23593">
              <w:rPr>
                <w:rFonts w:asciiTheme="majorHAnsi" w:eastAsia="Times New Roman" w:hAnsiTheme="majorHAnsi" w:cstheme="majorHAnsi"/>
                <w:sz w:val="18"/>
                <w:szCs w:val="18"/>
                <w:lang w:eastAsia="en-US"/>
              </w:rPr>
              <w:t>6</w:t>
            </w:r>
          </w:p>
        </w:tc>
        <w:tc>
          <w:tcPr>
            <w:tcW w:w="624" w:type="pct"/>
            <w:tcBorders>
              <w:top w:val="single" w:sz="4" w:space="0" w:color="auto"/>
              <w:left w:val="nil"/>
              <w:bottom w:val="single" w:sz="4" w:space="0" w:color="auto"/>
              <w:right w:val="nil"/>
            </w:tcBorders>
            <w:shd w:val="clear" w:color="auto" w:fill="auto"/>
            <w:vAlign w:val="center"/>
            <w:hideMark/>
          </w:tcPr>
          <w:p w:rsidR="003A6A87" w:rsidRPr="00E23593"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E23593">
              <w:rPr>
                <w:rFonts w:asciiTheme="majorHAnsi" w:eastAsia="Times New Roman" w:hAnsiTheme="majorHAnsi" w:cstheme="majorHAnsi"/>
                <w:sz w:val="18"/>
                <w:szCs w:val="18"/>
                <w:lang w:eastAsia="en-US"/>
              </w:rPr>
              <w:t>6</w:t>
            </w:r>
          </w:p>
        </w:tc>
        <w:tc>
          <w:tcPr>
            <w:tcW w:w="603" w:type="pct"/>
            <w:tcBorders>
              <w:top w:val="single" w:sz="4" w:space="0" w:color="auto"/>
              <w:left w:val="nil"/>
              <w:bottom w:val="single" w:sz="4" w:space="0" w:color="auto"/>
              <w:right w:val="nil"/>
            </w:tcBorders>
            <w:shd w:val="clear" w:color="auto" w:fill="auto"/>
            <w:vAlign w:val="center"/>
            <w:hideMark/>
          </w:tcPr>
          <w:p w:rsidR="003A6A87" w:rsidRPr="00E23593"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E23593">
              <w:rPr>
                <w:rFonts w:asciiTheme="majorHAnsi" w:eastAsia="Times New Roman" w:hAnsiTheme="majorHAnsi" w:cstheme="majorHAnsi"/>
                <w:sz w:val="18"/>
                <w:szCs w:val="18"/>
                <w:lang w:eastAsia="en-US"/>
              </w:rPr>
              <w:t>6</w:t>
            </w:r>
          </w:p>
        </w:tc>
        <w:tc>
          <w:tcPr>
            <w:tcW w:w="453" w:type="pct"/>
            <w:tcBorders>
              <w:top w:val="single" w:sz="4" w:space="0" w:color="auto"/>
              <w:left w:val="nil"/>
              <w:bottom w:val="single" w:sz="4" w:space="0" w:color="auto"/>
              <w:right w:val="nil"/>
            </w:tcBorders>
            <w:shd w:val="clear" w:color="auto" w:fill="auto"/>
            <w:vAlign w:val="center"/>
            <w:hideMark/>
          </w:tcPr>
          <w:p w:rsidR="003A6A87" w:rsidRPr="00E23593" w:rsidRDefault="003A6A87"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E23593">
              <w:rPr>
                <w:rFonts w:asciiTheme="majorHAnsi" w:eastAsia="Times New Roman" w:hAnsiTheme="majorHAnsi" w:cstheme="majorHAnsi"/>
                <w:sz w:val="18"/>
                <w:szCs w:val="18"/>
                <w:lang w:eastAsia="en-US"/>
              </w:rPr>
              <w:t>6</w:t>
            </w:r>
          </w:p>
        </w:tc>
      </w:tr>
    </w:tbl>
    <w:p w:rsidR="003A6A87" w:rsidRPr="003A6A87" w:rsidRDefault="003A6A87" w:rsidP="0051695D">
      <w:pPr>
        <w:spacing w:after="120"/>
        <w:rPr>
          <w:b/>
          <w:sz w:val="20"/>
          <w:szCs w:val="20"/>
        </w:rPr>
      </w:pPr>
    </w:p>
    <w:p w:rsidR="003A6A87" w:rsidRPr="00E23593" w:rsidRDefault="003A6A87" w:rsidP="003A6A87">
      <w:pPr>
        <w:pStyle w:val="BodyText"/>
      </w:pPr>
      <w:r w:rsidRPr="00E23593">
        <w:t>За реализирането на тази политика са разчетени средства по държавния бюджет, като финансирането й се допълва и със средства по Оперативна програма „Региони в растеж“ и др.</w:t>
      </w:r>
    </w:p>
    <w:p w:rsidR="003A6A87" w:rsidRPr="003A6A87" w:rsidRDefault="003A6A87" w:rsidP="0051695D">
      <w:pPr>
        <w:spacing w:after="120"/>
        <w:rPr>
          <w:b/>
          <w:sz w:val="20"/>
          <w:szCs w:val="20"/>
        </w:rPr>
      </w:pPr>
    </w:p>
    <w:p w:rsidR="00980D59" w:rsidRPr="00662304" w:rsidRDefault="00980D59" w:rsidP="00662304">
      <w:pPr>
        <w:pStyle w:val="Heading4"/>
      </w:pPr>
      <w:r w:rsidRPr="00662304">
        <w:t>Политика в областта на усвояването и прилагането на добри международни практики за спорта</w:t>
      </w:r>
    </w:p>
    <w:p w:rsidR="003A6A87" w:rsidRPr="003A6A87" w:rsidRDefault="003A6A87" w:rsidP="003A6A87">
      <w:r w:rsidRPr="003A6A87">
        <w:t>Основната цел на политиката е оползотворяване на възможностите, произтичащи от членството ни в ЕС и прилагане на добри международни практики в областта на спорта.</w:t>
      </w:r>
    </w:p>
    <w:p w:rsidR="00AD1AF9" w:rsidRDefault="00AD1AF9" w:rsidP="00AD1AF9">
      <w:pPr>
        <w:pStyle w:val="Heading4"/>
      </w:pPr>
      <w:r>
        <w:t>Политика  в областта на младите хора</w:t>
      </w:r>
    </w:p>
    <w:p w:rsidR="003A6A87" w:rsidRPr="00642351" w:rsidRDefault="003A6A87" w:rsidP="003A6A87">
      <w:pPr>
        <w:autoSpaceDE w:val="0"/>
        <w:autoSpaceDN w:val="0"/>
        <w:adjustRightInd w:val="0"/>
        <w:spacing w:before="120" w:after="0"/>
        <w:ind w:right="-142"/>
        <w:rPr>
          <w:szCs w:val="24"/>
        </w:rPr>
      </w:pPr>
      <w:r w:rsidRPr="00642351">
        <w:rPr>
          <w:szCs w:val="24"/>
        </w:rPr>
        <w:t xml:space="preserve">Приоритетите в </w:t>
      </w:r>
      <w:r w:rsidRPr="00642351">
        <w:rPr>
          <w:b/>
          <w:i/>
          <w:szCs w:val="24"/>
        </w:rPr>
        <w:t>областта на младежта</w:t>
      </w:r>
      <w:r w:rsidRPr="00642351">
        <w:rPr>
          <w:szCs w:val="24"/>
        </w:rPr>
        <w:t xml:space="preserve"> са насочени към осигуряване на подкрепяща и насърчаваща среда за социална, професионална и личностна реализация на младите хора в страната. </w:t>
      </w:r>
    </w:p>
    <w:p w:rsidR="003A6A87" w:rsidRPr="00642351" w:rsidRDefault="003A6A87" w:rsidP="003A6A87">
      <w:pPr>
        <w:autoSpaceDE w:val="0"/>
        <w:autoSpaceDN w:val="0"/>
        <w:adjustRightInd w:val="0"/>
        <w:spacing w:before="120" w:after="0"/>
        <w:ind w:right="-142"/>
        <w:rPr>
          <w:szCs w:val="24"/>
        </w:rPr>
      </w:pPr>
      <w:r w:rsidRPr="00642351">
        <w:rPr>
          <w:szCs w:val="24"/>
        </w:rPr>
        <w:t>За периода 2020-2022 г. са осигурени условия за изпълнение на целите и дейностите във връзка с реализирането на приоритетите на провежданата политика в областта на младите хора.</w:t>
      </w:r>
    </w:p>
    <w:p w:rsidR="003A6A87" w:rsidRPr="00642351" w:rsidRDefault="003A6A87" w:rsidP="003A6A87">
      <w:pPr>
        <w:autoSpaceDE w:val="0"/>
        <w:autoSpaceDN w:val="0"/>
        <w:adjustRightInd w:val="0"/>
        <w:spacing w:before="120" w:after="0"/>
        <w:ind w:right="-142"/>
        <w:rPr>
          <w:szCs w:val="24"/>
        </w:rPr>
      </w:pPr>
      <w:r w:rsidRPr="00642351">
        <w:rPr>
          <w:szCs w:val="24"/>
        </w:rPr>
        <w:t>Националната политика за младежта е насочена към стимулиране на инициативността на младите хора и техните организации и структури за успешното им развитие и реализация в обществения живот.</w:t>
      </w:r>
    </w:p>
    <w:p w:rsidR="003A6A87" w:rsidRPr="00642351" w:rsidRDefault="003A6A87" w:rsidP="003A6A87">
      <w:pPr>
        <w:autoSpaceDE w:val="0"/>
        <w:autoSpaceDN w:val="0"/>
        <w:adjustRightInd w:val="0"/>
        <w:spacing w:before="120" w:after="0"/>
        <w:ind w:right="-142"/>
        <w:rPr>
          <w:szCs w:val="24"/>
        </w:rPr>
      </w:pPr>
      <w:r w:rsidRPr="00642351">
        <w:rPr>
          <w:szCs w:val="24"/>
        </w:rPr>
        <w:t>Основните цели на тази политика се постигат чрез:</w:t>
      </w:r>
    </w:p>
    <w:p w:rsidR="003A6A87" w:rsidRPr="00642351" w:rsidRDefault="003A6A87" w:rsidP="003403BF">
      <w:pPr>
        <w:numPr>
          <w:ilvl w:val="0"/>
          <w:numId w:val="31"/>
        </w:numPr>
        <w:autoSpaceDE w:val="0"/>
        <w:autoSpaceDN w:val="0"/>
        <w:adjustRightInd w:val="0"/>
        <w:spacing w:before="120" w:after="0"/>
        <w:ind w:right="-142"/>
        <w:rPr>
          <w:szCs w:val="24"/>
        </w:rPr>
      </w:pPr>
      <w:r w:rsidRPr="00642351">
        <w:rPr>
          <w:szCs w:val="24"/>
        </w:rPr>
        <w:t xml:space="preserve">Повишаване на информираността и активността на младите хора и цялостното им участие в процеса на вземане на решения в областта на младежката политика; </w:t>
      </w:r>
    </w:p>
    <w:p w:rsidR="003A6A87" w:rsidRPr="00642351" w:rsidRDefault="003A6A87" w:rsidP="003403BF">
      <w:pPr>
        <w:numPr>
          <w:ilvl w:val="0"/>
          <w:numId w:val="31"/>
        </w:numPr>
        <w:autoSpaceDE w:val="0"/>
        <w:autoSpaceDN w:val="0"/>
        <w:adjustRightInd w:val="0"/>
        <w:spacing w:before="120" w:after="0"/>
        <w:ind w:right="-142"/>
        <w:rPr>
          <w:szCs w:val="24"/>
        </w:rPr>
      </w:pPr>
      <w:r w:rsidRPr="00642351">
        <w:rPr>
          <w:szCs w:val="24"/>
        </w:rPr>
        <w:t>Подобряване на качеството на живот на младите хора;</w:t>
      </w:r>
    </w:p>
    <w:p w:rsidR="003A6A87" w:rsidRPr="00642351" w:rsidRDefault="003A6A87" w:rsidP="003403BF">
      <w:pPr>
        <w:numPr>
          <w:ilvl w:val="0"/>
          <w:numId w:val="31"/>
        </w:numPr>
        <w:autoSpaceDE w:val="0"/>
        <w:autoSpaceDN w:val="0"/>
        <w:adjustRightInd w:val="0"/>
        <w:spacing w:before="120" w:after="0"/>
        <w:ind w:right="-142"/>
        <w:rPr>
          <w:szCs w:val="24"/>
        </w:rPr>
      </w:pPr>
      <w:r w:rsidRPr="00642351">
        <w:rPr>
          <w:szCs w:val="24"/>
        </w:rPr>
        <w:t>Подобряване на условията за успех на всеки млад човек чрез устойчиви механизми за инвестиране в младежта като значим социален капитал на страната – насърчаване на икономическата активност и кариерното развитие на младите хора;</w:t>
      </w:r>
    </w:p>
    <w:p w:rsidR="003A6A87" w:rsidRPr="00642351" w:rsidRDefault="003A6A87" w:rsidP="003403BF">
      <w:pPr>
        <w:numPr>
          <w:ilvl w:val="0"/>
          <w:numId w:val="31"/>
        </w:numPr>
        <w:autoSpaceDE w:val="0"/>
        <w:autoSpaceDN w:val="0"/>
        <w:adjustRightInd w:val="0"/>
        <w:spacing w:before="120" w:after="0"/>
        <w:ind w:right="-142"/>
        <w:rPr>
          <w:szCs w:val="24"/>
        </w:rPr>
      </w:pPr>
      <w:r w:rsidRPr="00642351">
        <w:rPr>
          <w:szCs w:val="24"/>
        </w:rPr>
        <w:t xml:space="preserve">Мерки, свързани със социално отговорен хазарт и предпазване на младите хора от хазарт;  </w:t>
      </w:r>
    </w:p>
    <w:p w:rsidR="003A6A87" w:rsidRPr="00642351" w:rsidRDefault="003A6A87" w:rsidP="003403BF">
      <w:pPr>
        <w:numPr>
          <w:ilvl w:val="0"/>
          <w:numId w:val="31"/>
        </w:numPr>
        <w:autoSpaceDE w:val="0"/>
        <w:autoSpaceDN w:val="0"/>
        <w:adjustRightInd w:val="0"/>
        <w:spacing w:before="120" w:after="0"/>
        <w:ind w:right="-142"/>
        <w:rPr>
          <w:szCs w:val="24"/>
        </w:rPr>
      </w:pPr>
      <w:r w:rsidRPr="00642351">
        <w:rPr>
          <w:szCs w:val="24"/>
        </w:rPr>
        <w:t>Мобилизиране на потенциала на младите хора за развитието на Република България и Европейския съюз.</w:t>
      </w:r>
    </w:p>
    <w:p w:rsidR="00AD1AF9" w:rsidRPr="00642351" w:rsidRDefault="00AD1AF9" w:rsidP="00AD1AF9">
      <w:pPr>
        <w:rPr>
          <w:rFonts w:cs="Times New Roman"/>
          <w:i/>
          <w:iCs/>
          <w:sz w:val="20"/>
          <w:szCs w:val="20"/>
        </w:rPr>
      </w:pPr>
      <w:r w:rsidRPr="00642351">
        <w:rPr>
          <w:b/>
          <w:sz w:val="20"/>
          <w:szCs w:val="20"/>
        </w:rPr>
        <w:t>КЛЮЧОВИ ИНДИКАТОРИ ЗА ИЗПЪЛНЕНИЕ И ЦЕЛЕВИ СТОЙНОСТИ</w:t>
      </w:r>
      <w:r w:rsidR="00870BB4" w:rsidRPr="00642351">
        <w:rPr>
          <w:rFonts w:cs="Times New Roman"/>
          <w:i/>
          <w:iCs/>
          <w:sz w:val="20"/>
          <w:szCs w:val="20"/>
        </w:rPr>
        <w:t xml:space="preserve"> </w:t>
      </w:r>
    </w:p>
    <w:p w:rsidR="003A6A87" w:rsidRPr="00642351" w:rsidRDefault="003A6A87" w:rsidP="002226EC">
      <w:pPr>
        <w:spacing w:before="120" w:after="0"/>
      </w:pPr>
    </w:p>
    <w:tbl>
      <w:tblPr>
        <w:tblW w:w="5000" w:type="pct"/>
        <w:tblCellMar>
          <w:left w:w="70" w:type="dxa"/>
          <w:right w:w="70" w:type="dxa"/>
        </w:tblCellMar>
        <w:tblLook w:val="04A0" w:firstRow="1" w:lastRow="0" w:firstColumn="1" w:lastColumn="0" w:noHBand="0" w:noVBand="1"/>
      </w:tblPr>
      <w:tblGrid>
        <w:gridCol w:w="4021"/>
        <w:gridCol w:w="1201"/>
        <w:gridCol w:w="1000"/>
        <w:gridCol w:w="934"/>
        <w:gridCol w:w="957"/>
        <w:gridCol w:w="957"/>
      </w:tblGrid>
      <w:tr w:rsidR="003A6A87" w:rsidRPr="00642351" w:rsidTr="004100C6">
        <w:trPr>
          <w:trHeight w:val="402"/>
          <w:tblHeader/>
        </w:trPr>
        <w:tc>
          <w:tcPr>
            <w:tcW w:w="2223" w:type="pct"/>
            <w:tcBorders>
              <w:top w:val="single" w:sz="4" w:space="0" w:color="auto"/>
            </w:tcBorders>
            <w:shd w:val="clear" w:color="auto" w:fill="auto"/>
            <w:vAlign w:val="center"/>
            <w:hideMark/>
          </w:tcPr>
          <w:p w:rsidR="003A6A87" w:rsidRPr="00642351" w:rsidRDefault="003A6A87" w:rsidP="000C2EEF">
            <w:pPr>
              <w:spacing w:after="0" w:line="0" w:lineRule="atLeast"/>
              <w:ind w:left="80"/>
              <w:jc w:val="center"/>
              <w:rPr>
                <w:rFonts w:eastAsia="Times New Roman" w:cs="Arial"/>
                <w:b/>
                <w:i/>
                <w:sz w:val="18"/>
                <w:szCs w:val="18"/>
              </w:rPr>
            </w:pPr>
            <w:r w:rsidRPr="00642351">
              <w:rPr>
                <w:rFonts w:eastAsia="Times New Roman" w:cs="Arial"/>
                <w:b/>
                <w:i/>
                <w:sz w:val="18"/>
                <w:szCs w:val="18"/>
              </w:rPr>
              <w:t>Политика  в областта на младите хора</w:t>
            </w:r>
          </w:p>
        </w:tc>
        <w:tc>
          <w:tcPr>
            <w:tcW w:w="668" w:type="pct"/>
            <w:vMerge w:val="restart"/>
            <w:tcBorders>
              <w:top w:val="single" w:sz="4" w:space="0" w:color="auto"/>
            </w:tcBorders>
            <w:shd w:val="clear" w:color="000000" w:fill="F2F2F2"/>
            <w:vAlign w:val="center"/>
            <w:hideMark/>
          </w:tcPr>
          <w:p w:rsidR="003A6A87" w:rsidRPr="006F2CDA" w:rsidRDefault="003A6A87" w:rsidP="004100C6">
            <w:pPr>
              <w:spacing w:after="0" w:line="0" w:lineRule="atLeast"/>
              <w:ind w:left="80"/>
              <w:jc w:val="center"/>
              <w:rPr>
                <w:rFonts w:eastAsia="Times New Roman" w:cs="Arial"/>
                <w:b/>
                <w:sz w:val="18"/>
                <w:szCs w:val="18"/>
              </w:rPr>
            </w:pPr>
            <w:r w:rsidRPr="006F2CDA">
              <w:rPr>
                <w:rFonts w:eastAsia="Times New Roman" w:cs="Arial"/>
                <w:b/>
                <w:sz w:val="18"/>
                <w:szCs w:val="18"/>
              </w:rPr>
              <w:t>Мерна единица</w:t>
            </w:r>
          </w:p>
        </w:tc>
        <w:tc>
          <w:tcPr>
            <w:tcW w:w="2109" w:type="pct"/>
            <w:gridSpan w:val="4"/>
            <w:tcBorders>
              <w:top w:val="single" w:sz="4" w:space="0" w:color="auto"/>
              <w:bottom w:val="single" w:sz="4" w:space="0" w:color="auto"/>
            </w:tcBorders>
            <w:shd w:val="clear" w:color="auto" w:fill="auto"/>
            <w:vAlign w:val="center"/>
            <w:hideMark/>
          </w:tcPr>
          <w:p w:rsidR="003A6A87" w:rsidRPr="00642351" w:rsidRDefault="003A6A87" w:rsidP="000C2EEF">
            <w:pPr>
              <w:spacing w:after="0" w:line="0" w:lineRule="atLeast"/>
              <w:ind w:left="80"/>
              <w:jc w:val="center"/>
              <w:rPr>
                <w:rFonts w:eastAsia="Times New Roman" w:cs="Arial"/>
                <w:b/>
                <w:sz w:val="18"/>
                <w:szCs w:val="18"/>
              </w:rPr>
            </w:pPr>
            <w:r w:rsidRPr="00642351">
              <w:rPr>
                <w:rFonts w:eastAsia="Times New Roman" w:cs="Arial"/>
                <w:b/>
                <w:sz w:val="18"/>
                <w:szCs w:val="18"/>
              </w:rPr>
              <w:t>Целева стойност</w:t>
            </w:r>
          </w:p>
        </w:tc>
      </w:tr>
      <w:tr w:rsidR="003A6A87" w:rsidRPr="00642351" w:rsidTr="004100C6">
        <w:trPr>
          <w:trHeight w:val="260"/>
          <w:tblHeader/>
        </w:trPr>
        <w:tc>
          <w:tcPr>
            <w:tcW w:w="2223" w:type="pct"/>
            <w:tcBorders>
              <w:bottom w:val="single" w:sz="4" w:space="0" w:color="auto"/>
            </w:tcBorders>
            <w:shd w:val="clear" w:color="auto" w:fill="auto"/>
            <w:vAlign w:val="center"/>
            <w:hideMark/>
          </w:tcPr>
          <w:p w:rsidR="003A6A87" w:rsidRPr="00642351" w:rsidRDefault="003A6A87" w:rsidP="000C2EEF">
            <w:pPr>
              <w:spacing w:after="0" w:line="0" w:lineRule="atLeast"/>
              <w:ind w:left="80"/>
              <w:jc w:val="center"/>
              <w:rPr>
                <w:rFonts w:eastAsia="Times New Roman" w:cs="Arial"/>
                <w:b/>
                <w:sz w:val="18"/>
                <w:szCs w:val="18"/>
              </w:rPr>
            </w:pPr>
            <w:bookmarkStart w:id="500" w:name="_Toc20827189"/>
            <w:r w:rsidRPr="00642351">
              <w:rPr>
                <w:rFonts w:eastAsia="Times New Roman"/>
                <w:b/>
                <w:sz w:val="18"/>
                <w:szCs w:val="18"/>
              </w:rPr>
              <w:t>Наименование на индикатора</w:t>
            </w:r>
            <w:bookmarkEnd w:id="500"/>
          </w:p>
        </w:tc>
        <w:tc>
          <w:tcPr>
            <w:tcW w:w="668" w:type="pct"/>
            <w:vMerge/>
            <w:tcBorders>
              <w:bottom w:val="single" w:sz="4" w:space="0" w:color="auto"/>
            </w:tcBorders>
            <w:shd w:val="clear" w:color="000000" w:fill="F2F2F2"/>
            <w:vAlign w:val="center"/>
            <w:hideMark/>
          </w:tcPr>
          <w:p w:rsidR="003A6A87" w:rsidRPr="00642351" w:rsidRDefault="003A6A87" w:rsidP="000C2EEF">
            <w:pPr>
              <w:spacing w:after="0" w:line="0" w:lineRule="atLeast"/>
              <w:ind w:left="80"/>
              <w:jc w:val="left"/>
              <w:rPr>
                <w:rFonts w:eastAsia="Times New Roman" w:cs="Arial"/>
                <w:b/>
                <w:i/>
                <w:sz w:val="18"/>
                <w:szCs w:val="18"/>
              </w:rPr>
            </w:pPr>
          </w:p>
        </w:tc>
        <w:tc>
          <w:tcPr>
            <w:tcW w:w="547" w:type="pct"/>
            <w:tcBorders>
              <w:top w:val="single" w:sz="4" w:space="0" w:color="auto"/>
              <w:bottom w:val="single" w:sz="4" w:space="0" w:color="auto"/>
            </w:tcBorders>
            <w:shd w:val="clear" w:color="auto" w:fill="auto"/>
            <w:vAlign w:val="center"/>
            <w:hideMark/>
          </w:tcPr>
          <w:p w:rsidR="003A6A87" w:rsidRPr="00642351" w:rsidRDefault="003A6A87" w:rsidP="000C2EEF">
            <w:pPr>
              <w:spacing w:after="0" w:line="0" w:lineRule="atLeast"/>
              <w:ind w:left="80"/>
              <w:jc w:val="center"/>
              <w:rPr>
                <w:rFonts w:eastAsia="Times New Roman" w:cs="Arial"/>
                <w:b/>
                <w:i/>
                <w:sz w:val="18"/>
                <w:szCs w:val="18"/>
              </w:rPr>
            </w:pPr>
            <w:r w:rsidRPr="00642351">
              <w:rPr>
                <w:rFonts w:eastAsia="Times New Roman" w:cs="Arial"/>
                <w:b/>
                <w:i/>
                <w:sz w:val="18"/>
                <w:szCs w:val="18"/>
              </w:rPr>
              <w:t>Програма 2019 г.</w:t>
            </w:r>
          </w:p>
        </w:tc>
        <w:tc>
          <w:tcPr>
            <w:tcW w:w="521" w:type="pct"/>
            <w:tcBorders>
              <w:top w:val="single" w:sz="4" w:space="0" w:color="auto"/>
              <w:bottom w:val="single" w:sz="4" w:space="0" w:color="auto"/>
            </w:tcBorders>
            <w:shd w:val="clear" w:color="auto" w:fill="auto"/>
            <w:vAlign w:val="center"/>
            <w:hideMark/>
          </w:tcPr>
          <w:p w:rsidR="003A6A87" w:rsidRPr="00642351" w:rsidRDefault="003A6A87" w:rsidP="000C2EEF">
            <w:pPr>
              <w:spacing w:after="0" w:line="0" w:lineRule="atLeast"/>
              <w:ind w:left="80"/>
              <w:jc w:val="center"/>
              <w:rPr>
                <w:rFonts w:eastAsia="Times New Roman" w:cs="Arial"/>
                <w:b/>
                <w:i/>
                <w:sz w:val="18"/>
                <w:szCs w:val="18"/>
              </w:rPr>
            </w:pPr>
            <w:r w:rsidRPr="00642351">
              <w:rPr>
                <w:rFonts w:eastAsia="Times New Roman" w:cs="Arial"/>
                <w:b/>
                <w:i/>
                <w:sz w:val="18"/>
                <w:szCs w:val="18"/>
              </w:rPr>
              <w:t>Про</w:t>
            </w:r>
            <w:r w:rsidR="00F1198E">
              <w:rPr>
                <w:rFonts w:eastAsia="Times New Roman" w:cs="Arial"/>
                <w:b/>
                <w:i/>
                <w:sz w:val="18"/>
                <w:szCs w:val="18"/>
              </w:rPr>
              <w:t>ект</w:t>
            </w:r>
            <w:r w:rsidRPr="00642351">
              <w:rPr>
                <w:rFonts w:eastAsia="Times New Roman" w:cs="Arial"/>
                <w:b/>
                <w:i/>
                <w:sz w:val="18"/>
                <w:szCs w:val="18"/>
              </w:rPr>
              <w:t xml:space="preserve"> 2020 г.</w:t>
            </w:r>
          </w:p>
        </w:tc>
        <w:tc>
          <w:tcPr>
            <w:tcW w:w="521" w:type="pct"/>
            <w:tcBorders>
              <w:top w:val="single" w:sz="4" w:space="0" w:color="auto"/>
              <w:bottom w:val="single" w:sz="4" w:space="0" w:color="auto"/>
            </w:tcBorders>
            <w:shd w:val="clear" w:color="auto" w:fill="auto"/>
            <w:vAlign w:val="center"/>
            <w:hideMark/>
          </w:tcPr>
          <w:p w:rsidR="003A6A87" w:rsidRPr="00642351" w:rsidRDefault="003A6A87" w:rsidP="000C2EEF">
            <w:pPr>
              <w:spacing w:after="0" w:line="0" w:lineRule="atLeast"/>
              <w:ind w:left="80"/>
              <w:jc w:val="center"/>
              <w:rPr>
                <w:rFonts w:eastAsia="Times New Roman" w:cs="Arial"/>
                <w:b/>
                <w:i/>
                <w:sz w:val="18"/>
                <w:szCs w:val="18"/>
              </w:rPr>
            </w:pPr>
            <w:r w:rsidRPr="00642351">
              <w:rPr>
                <w:rFonts w:eastAsia="Times New Roman" w:cs="Arial"/>
                <w:b/>
                <w:i/>
                <w:sz w:val="18"/>
                <w:szCs w:val="18"/>
              </w:rPr>
              <w:t>Прогноза 2021 г.</w:t>
            </w:r>
          </w:p>
        </w:tc>
        <w:tc>
          <w:tcPr>
            <w:tcW w:w="521" w:type="pct"/>
            <w:tcBorders>
              <w:top w:val="single" w:sz="4" w:space="0" w:color="auto"/>
              <w:bottom w:val="single" w:sz="4" w:space="0" w:color="auto"/>
            </w:tcBorders>
            <w:shd w:val="clear" w:color="auto" w:fill="auto"/>
            <w:vAlign w:val="center"/>
            <w:hideMark/>
          </w:tcPr>
          <w:p w:rsidR="003A6A87" w:rsidRPr="00642351" w:rsidRDefault="003A6A87" w:rsidP="000C2EEF">
            <w:pPr>
              <w:spacing w:after="0" w:line="0" w:lineRule="atLeast"/>
              <w:ind w:left="80"/>
              <w:jc w:val="center"/>
              <w:rPr>
                <w:rFonts w:eastAsia="Times New Roman" w:cs="Arial"/>
                <w:b/>
                <w:i/>
                <w:sz w:val="18"/>
                <w:szCs w:val="18"/>
              </w:rPr>
            </w:pPr>
            <w:r w:rsidRPr="00642351">
              <w:rPr>
                <w:rFonts w:eastAsia="Times New Roman" w:cs="Arial"/>
                <w:b/>
                <w:i/>
                <w:sz w:val="18"/>
                <w:szCs w:val="18"/>
              </w:rPr>
              <w:t>Прогноза 2022 г.</w:t>
            </w:r>
          </w:p>
        </w:tc>
      </w:tr>
      <w:tr w:rsidR="003A6A87" w:rsidRPr="00642351" w:rsidTr="00A14763">
        <w:trPr>
          <w:trHeight w:val="1020"/>
        </w:trPr>
        <w:tc>
          <w:tcPr>
            <w:tcW w:w="2223" w:type="pct"/>
            <w:tcBorders>
              <w:top w:val="single" w:sz="4" w:space="0" w:color="auto"/>
              <w:left w:val="nil"/>
              <w:bottom w:val="nil"/>
              <w:right w:val="nil"/>
            </w:tcBorders>
            <w:shd w:val="clear" w:color="auto" w:fill="auto"/>
            <w:vAlign w:val="center"/>
            <w:hideMark/>
          </w:tcPr>
          <w:p w:rsidR="003A6A87" w:rsidRPr="00642351" w:rsidRDefault="003A6A87" w:rsidP="000C2EEF">
            <w:pPr>
              <w:rPr>
                <w:rFonts w:cs="Times New Roman"/>
                <w:sz w:val="18"/>
                <w:szCs w:val="18"/>
              </w:rPr>
            </w:pPr>
            <w:r w:rsidRPr="00642351">
              <w:rPr>
                <w:rFonts w:cs="Times New Roman"/>
                <w:sz w:val="18"/>
                <w:szCs w:val="18"/>
              </w:rPr>
              <w:t>1. Относителен дял на обхванатите младежи от услуги за младите хора на възраст 15-29 г. по Националната програма за младежта от общия брой младежи на същата възраст в страната</w:t>
            </w:r>
          </w:p>
        </w:tc>
        <w:tc>
          <w:tcPr>
            <w:tcW w:w="668" w:type="pct"/>
            <w:tcBorders>
              <w:top w:val="single" w:sz="4" w:space="0" w:color="auto"/>
              <w:left w:val="nil"/>
              <w:bottom w:val="nil"/>
              <w:right w:val="nil"/>
            </w:tcBorders>
            <w:shd w:val="clear" w:color="000000" w:fill="F2F2F2"/>
            <w:vAlign w:val="center"/>
            <w:hideMark/>
          </w:tcPr>
          <w:p w:rsidR="003A6A87" w:rsidRPr="00642351" w:rsidRDefault="003A6A87" w:rsidP="000C2EEF">
            <w:pPr>
              <w:jc w:val="center"/>
              <w:rPr>
                <w:rFonts w:cs="Times New Roman"/>
                <w:sz w:val="18"/>
                <w:szCs w:val="18"/>
              </w:rPr>
            </w:pPr>
            <w:r w:rsidRPr="00642351">
              <w:rPr>
                <w:rFonts w:cs="Times New Roman"/>
                <w:sz w:val="18"/>
                <w:szCs w:val="18"/>
              </w:rPr>
              <w:t>%</w:t>
            </w:r>
          </w:p>
        </w:tc>
        <w:tc>
          <w:tcPr>
            <w:tcW w:w="547" w:type="pct"/>
            <w:tcBorders>
              <w:top w:val="single" w:sz="4" w:space="0" w:color="auto"/>
              <w:left w:val="nil"/>
              <w:bottom w:val="nil"/>
              <w:right w:val="nil"/>
            </w:tcBorders>
            <w:shd w:val="clear" w:color="auto" w:fill="auto"/>
            <w:vAlign w:val="center"/>
            <w:hideMark/>
          </w:tcPr>
          <w:p w:rsidR="003A6A87" w:rsidRPr="00642351" w:rsidRDefault="003A6A87" w:rsidP="000C2EEF">
            <w:pPr>
              <w:jc w:val="center"/>
              <w:rPr>
                <w:rFonts w:cs="Times New Roman"/>
                <w:sz w:val="18"/>
                <w:szCs w:val="18"/>
              </w:rPr>
            </w:pPr>
            <w:r w:rsidRPr="00642351">
              <w:rPr>
                <w:rFonts w:cs="Times New Roman"/>
                <w:sz w:val="18"/>
                <w:szCs w:val="18"/>
              </w:rPr>
              <w:t>16,5</w:t>
            </w:r>
          </w:p>
        </w:tc>
        <w:tc>
          <w:tcPr>
            <w:tcW w:w="521" w:type="pct"/>
            <w:tcBorders>
              <w:top w:val="single" w:sz="4" w:space="0" w:color="auto"/>
              <w:left w:val="nil"/>
              <w:bottom w:val="nil"/>
              <w:right w:val="nil"/>
            </w:tcBorders>
            <w:shd w:val="clear" w:color="auto" w:fill="auto"/>
            <w:vAlign w:val="center"/>
            <w:hideMark/>
          </w:tcPr>
          <w:p w:rsidR="003A6A87" w:rsidRPr="00642351" w:rsidRDefault="003A6A87" w:rsidP="000C2EEF">
            <w:pPr>
              <w:jc w:val="center"/>
              <w:rPr>
                <w:rFonts w:cs="Times New Roman"/>
                <w:sz w:val="18"/>
                <w:szCs w:val="18"/>
              </w:rPr>
            </w:pPr>
            <w:r w:rsidRPr="00642351">
              <w:rPr>
                <w:rFonts w:cs="Times New Roman"/>
                <w:sz w:val="18"/>
                <w:szCs w:val="18"/>
              </w:rPr>
              <w:t>16,5</w:t>
            </w:r>
          </w:p>
        </w:tc>
        <w:tc>
          <w:tcPr>
            <w:tcW w:w="521" w:type="pct"/>
            <w:tcBorders>
              <w:top w:val="single" w:sz="4" w:space="0" w:color="auto"/>
              <w:left w:val="nil"/>
              <w:bottom w:val="nil"/>
              <w:right w:val="nil"/>
            </w:tcBorders>
            <w:shd w:val="clear" w:color="auto" w:fill="auto"/>
            <w:vAlign w:val="center"/>
            <w:hideMark/>
          </w:tcPr>
          <w:p w:rsidR="003A6A87" w:rsidRPr="00642351" w:rsidRDefault="003A6A87" w:rsidP="000C2EEF">
            <w:pPr>
              <w:jc w:val="center"/>
              <w:rPr>
                <w:rFonts w:cs="Times New Roman"/>
                <w:sz w:val="18"/>
                <w:szCs w:val="18"/>
              </w:rPr>
            </w:pPr>
            <w:r w:rsidRPr="00642351">
              <w:rPr>
                <w:rFonts w:cs="Times New Roman"/>
                <w:sz w:val="18"/>
                <w:szCs w:val="18"/>
              </w:rPr>
              <w:t>16,5</w:t>
            </w:r>
          </w:p>
        </w:tc>
        <w:tc>
          <w:tcPr>
            <w:tcW w:w="521" w:type="pct"/>
            <w:tcBorders>
              <w:top w:val="single" w:sz="4" w:space="0" w:color="auto"/>
              <w:left w:val="nil"/>
              <w:bottom w:val="nil"/>
              <w:right w:val="nil"/>
            </w:tcBorders>
            <w:shd w:val="clear" w:color="auto" w:fill="auto"/>
            <w:vAlign w:val="center"/>
            <w:hideMark/>
          </w:tcPr>
          <w:p w:rsidR="003A6A87" w:rsidRPr="00642351" w:rsidRDefault="003A6A87" w:rsidP="000C2EEF">
            <w:pPr>
              <w:jc w:val="center"/>
              <w:rPr>
                <w:rFonts w:cs="Times New Roman"/>
                <w:sz w:val="18"/>
                <w:szCs w:val="18"/>
              </w:rPr>
            </w:pPr>
            <w:r w:rsidRPr="00642351">
              <w:rPr>
                <w:rFonts w:cs="Times New Roman"/>
                <w:sz w:val="18"/>
                <w:szCs w:val="18"/>
              </w:rPr>
              <w:t>13,5</w:t>
            </w:r>
          </w:p>
        </w:tc>
      </w:tr>
      <w:tr w:rsidR="003A6A87" w:rsidRPr="00642351" w:rsidTr="000C2EEF">
        <w:trPr>
          <w:trHeight w:val="1545"/>
        </w:trPr>
        <w:tc>
          <w:tcPr>
            <w:tcW w:w="2223" w:type="pct"/>
            <w:tcBorders>
              <w:top w:val="nil"/>
              <w:left w:val="nil"/>
              <w:bottom w:val="single" w:sz="8" w:space="0" w:color="auto"/>
              <w:right w:val="nil"/>
            </w:tcBorders>
            <w:shd w:val="clear" w:color="auto" w:fill="auto"/>
            <w:vAlign w:val="center"/>
            <w:hideMark/>
          </w:tcPr>
          <w:p w:rsidR="003A6A87" w:rsidRPr="00642351" w:rsidRDefault="003A6A87" w:rsidP="000C2EEF">
            <w:pPr>
              <w:rPr>
                <w:rFonts w:cs="Times New Roman"/>
                <w:sz w:val="18"/>
                <w:szCs w:val="18"/>
              </w:rPr>
            </w:pPr>
            <w:r w:rsidRPr="00642351">
              <w:rPr>
                <w:rFonts w:cs="Times New Roman"/>
                <w:sz w:val="18"/>
                <w:szCs w:val="18"/>
              </w:rPr>
              <w:t xml:space="preserve">2. Относителен дял на обхванатите младежи от разнообразни инициативи за младите хора на възраст 15-29 г. по Националната програма за изпълнение на младежки дейности (по чл. 10а от Закона за </w:t>
            </w:r>
            <w:r w:rsidR="00E042F1" w:rsidRPr="00E042F1">
              <w:rPr>
                <w:rFonts w:cs="Times New Roman"/>
                <w:sz w:val="18"/>
                <w:szCs w:val="18"/>
              </w:rPr>
              <w:t>хазарта</w:t>
            </w:r>
            <w:r w:rsidRPr="00642351">
              <w:rPr>
                <w:rFonts w:cs="Times New Roman"/>
                <w:sz w:val="18"/>
                <w:szCs w:val="18"/>
              </w:rPr>
              <w:t>) от общия брой младежи на същата възраст в страната</w:t>
            </w:r>
          </w:p>
        </w:tc>
        <w:tc>
          <w:tcPr>
            <w:tcW w:w="668" w:type="pct"/>
            <w:tcBorders>
              <w:top w:val="nil"/>
              <w:left w:val="nil"/>
              <w:bottom w:val="single" w:sz="8" w:space="0" w:color="auto"/>
              <w:right w:val="nil"/>
            </w:tcBorders>
            <w:shd w:val="clear" w:color="000000" w:fill="F2F2F2"/>
            <w:vAlign w:val="center"/>
            <w:hideMark/>
          </w:tcPr>
          <w:p w:rsidR="003A6A87" w:rsidRPr="00642351" w:rsidRDefault="003A6A87" w:rsidP="000C2EEF">
            <w:pPr>
              <w:jc w:val="center"/>
              <w:rPr>
                <w:rFonts w:cs="Times New Roman"/>
                <w:sz w:val="18"/>
                <w:szCs w:val="18"/>
              </w:rPr>
            </w:pPr>
            <w:r w:rsidRPr="00642351">
              <w:rPr>
                <w:rFonts w:cs="Times New Roman"/>
                <w:sz w:val="18"/>
                <w:szCs w:val="18"/>
              </w:rPr>
              <w:t>%</w:t>
            </w:r>
          </w:p>
        </w:tc>
        <w:tc>
          <w:tcPr>
            <w:tcW w:w="547" w:type="pct"/>
            <w:tcBorders>
              <w:top w:val="nil"/>
              <w:left w:val="nil"/>
              <w:bottom w:val="single" w:sz="8" w:space="0" w:color="auto"/>
              <w:right w:val="nil"/>
            </w:tcBorders>
            <w:shd w:val="clear" w:color="auto" w:fill="auto"/>
            <w:vAlign w:val="center"/>
            <w:hideMark/>
          </w:tcPr>
          <w:p w:rsidR="003A6A87" w:rsidRPr="00642351" w:rsidRDefault="003A6A87" w:rsidP="000C2EEF">
            <w:pPr>
              <w:jc w:val="center"/>
              <w:rPr>
                <w:rFonts w:cs="Times New Roman"/>
                <w:sz w:val="18"/>
                <w:szCs w:val="18"/>
              </w:rPr>
            </w:pPr>
            <w:r w:rsidRPr="00642351">
              <w:rPr>
                <w:rFonts w:cs="Times New Roman"/>
                <w:sz w:val="18"/>
                <w:szCs w:val="18"/>
              </w:rPr>
              <w:t>7,69</w:t>
            </w:r>
          </w:p>
        </w:tc>
        <w:tc>
          <w:tcPr>
            <w:tcW w:w="521" w:type="pct"/>
            <w:tcBorders>
              <w:top w:val="nil"/>
              <w:left w:val="nil"/>
              <w:bottom w:val="single" w:sz="8" w:space="0" w:color="auto"/>
              <w:right w:val="nil"/>
            </w:tcBorders>
            <w:shd w:val="clear" w:color="auto" w:fill="auto"/>
            <w:vAlign w:val="center"/>
            <w:hideMark/>
          </w:tcPr>
          <w:p w:rsidR="003A6A87" w:rsidRPr="00642351" w:rsidRDefault="003A6A87" w:rsidP="000C2EEF">
            <w:pPr>
              <w:jc w:val="center"/>
              <w:rPr>
                <w:rFonts w:cs="Times New Roman"/>
                <w:sz w:val="18"/>
                <w:szCs w:val="18"/>
              </w:rPr>
            </w:pPr>
            <w:r w:rsidRPr="00642351">
              <w:rPr>
                <w:rFonts w:cs="Times New Roman"/>
                <w:sz w:val="18"/>
                <w:szCs w:val="18"/>
              </w:rPr>
              <w:t>7,69</w:t>
            </w:r>
          </w:p>
        </w:tc>
        <w:tc>
          <w:tcPr>
            <w:tcW w:w="521" w:type="pct"/>
            <w:tcBorders>
              <w:top w:val="nil"/>
              <w:left w:val="nil"/>
              <w:bottom w:val="single" w:sz="8" w:space="0" w:color="auto"/>
              <w:right w:val="nil"/>
            </w:tcBorders>
            <w:shd w:val="clear" w:color="auto" w:fill="auto"/>
            <w:vAlign w:val="center"/>
            <w:hideMark/>
          </w:tcPr>
          <w:p w:rsidR="003A6A87" w:rsidRPr="00642351" w:rsidRDefault="003A6A87" w:rsidP="000C2EEF">
            <w:pPr>
              <w:jc w:val="center"/>
              <w:rPr>
                <w:rFonts w:cs="Times New Roman"/>
                <w:sz w:val="18"/>
                <w:szCs w:val="18"/>
              </w:rPr>
            </w:pPr>
            <w:r w:rsidRPr="00642351">
              <w:rPr>
                <w:rFonts w:cs="Times New Roman"/>
                <w:sz w:val="18"/>
                <w:szCs w:val="18"/>
              </w:rPr>
              <w:t>7,69</w:t>
            </w:r>
          </w:p>
        </w:tc>
        <w:tc>
          <w:tcPr>
            <w:tcW w:w="521" w:type="pct"/>
            <w:tcBorders>
              <w:top w:val="nil"/>
              <w:left w:val="nil"/>
              <w:bottom w:val="single" w:sz="8" w:space="0" w:color="auto"/>
              <w:right w:val="nil"/>
            </w:tcBorders>
            <w:shd w:val="clear" w:color="auto" w:fill="auto"/>
            <w:vAlign w:val="center"/>
            <w:hideMark/>
          </w:tcPr>
          <w:p w:rsidR="003A6A87" w:rsidRPr="00642351" w:rsidRDefault="003A6A87" w:rsidP="000C2EEF">
            <w:pPr>
              <w:jc w:val="center"/>
              <w:rPr>
                <w:rFonts w:cs="Times New Roman"/>
                <w:sz w:val="18"/>
                <w:szCs w:val="18"/>
              </w:rPr>
            </w:pPr>
            <w:r w:rsidRPr="00642351">
              <w:rPr>
                <w:rFonts w:cs="Times New Roman"/>
                <w:sz w:val="18"/>
                <w:szCs w:val="18"/>
              </w:rPr>
              <w:t>7,69</w:t>
            </w:r>
          </w:p>
        </w:tc>
      </w:tr>
    </w:tbl>
    <w:p w:rsidR="003A6A87" w:rsidRPr="00642351" w:rsidRDefault="003A6A87" w:rsidP="002226EC">
      <w:pPr>
        <w:spacing w:before="120" w:after="0"/>
      </w:pPr>
    </w:p>
    <w:p w:rsidR="003A6A87" w:rsidRPr="00642351" w:rsidRDefault="003A6A87" w:rsidP="003A6A87">
      <w:pPr>
        <w:spacing w:before="120" w:after="0"/>
      </w:pPr>
      <w:r w:rsidRPr="00642351">
        <w:t xml:space="preserve">Националната програма за младежта и Националната програма за изпълнение на младежки дейности (чл. 10а от Закона за </w:t>
      </w:r>
      <w:r w:rsidR="00BE6943" w:rsidRPr="00BE6943">
        <w:t>хазарта</w:t>
      </w:r>
      <w:r w:rsidRPr="00642351">
        <w:t>) са ефективни инструменти за достигане до младите хора на възраст 15-29 г. и спомагат за тяхното личностно и обществено развитие.</w:t>
      </w:r>
    </w:p>
    <w:p w:rsidR="003A6A87" w:rsidRPr="00642351" w:rsidRDefault="003A6A87" w:rsidP="002226EC">
      <w:pPr>
        <w:spacing w:before="120" w:after="0"/>
      </w:pPr>
      <w:r w:rsidRPr="00642351">
        <w:t>За реализирането на тази политика чрез мерки за развитие на младите хора са разчетени по държавния бюджет средства в размер по 2,8 млн. лв. за тригодишния период, като финансирането на тази политика се допълва и със средства от ЕС по различни програми.</w:t>
      </w:r>
    </w:p>
    <w:p w:rsidR="00083361" w:rsidRPr="00642351" w:rsidRDefault="00083361" w:rsidP="00517D0A">
      <w:pPr>
        <w:pStyle w:val="Heading3"/>
        <w:ind w:left="0"/>
      </w:pPr>
      <w:bookmarkStart w:id="501" w:name="_Toc465070482"/>
      <w:bookmarkStart w:id="502" w:name="_Toc465205532"/>
      <w:r w:rsidRPr="00642351">
        <w:t>Политика в областта на транспорта и съобщенията</w:t>
      </w:r>
      <w:bookmarkEnd w:id="501"/>
      <w:bookmarkEnd w:id="502"/>
      <w:r w:rsidRPr="00642351">
        <w:t xml:space="preserve"> </w:t>
      </w:r>
    </w:p>
    <w:p w:rsidR="00AD1AF9" w:rsidRPr="00642351" w:rsidRDefault="00AD1AF9" w:rsidP="00AD1AF9">
      <w:pPr>
        <w:pStyle w:val="Heading4"/>
      </w:pPr>
      <w:r w:rsidRPr="00642351">
        <w:t>Политика в областта на транспорта</w:t>
      </w:r>
    </w:p>
    <w:p w:rsidR="00642351" w:rsidRPr="00642351" w:rsidRDefault="00642351" w:rsidP="002226EC">
      <w:pPr>
        <w:spacing w:before="120" w:after="0"/>
        <w:rPr>
          <w:rFonts w:eastAsia="Times New Roman"/>
        </w:rPr>
      </w:pPr>
    </w:p>
    <w:p w:rsidR="00642351" w:rsidRPr="00642351" w:rsidRDefault="00642351" w:rsidP="00642351">
      <w:pPr>
        <w:spacing w:before="120" w:after="0"/>
        <w:rPr>
          <w:rFonts w:eastAsia="Times New Roman"/>
        </w:rPr>
      </w:pPr>
      <w:r w:rsidRPr="00642351">
        <w:rPr>
          <w:rFonts w:eastAsia="Times New Roman"/>
        </w:rPr>
        <w:t>Политиката в областта на транспорта е насочена към развитие на базисната транспортна инфраструктура, която е важно условие за поддържането на устойчив икономически растеж. Основен приоритет на транспортната политика е повишаване на качеството на предлаганите транспортни услуги и устойчивото развитие на транспорта. Транспортният сектор е ключов за българската икономика както поради неговата свързваща роля по отношение на останалите сектори, така и заради собствения му принос в брутната добавена стойност и заетостта.</w:t>
      </w:r>
    </w:p>
    <w:p w:rsidR="00642351" w:rsidRPr="00642351" w:rsidRDefault="00642351" w:rsidP="00642351">
      <w:pPr>
        <w:spacing w:before="120" w:after="0"/>
        <w:rPr>
          <w:rFonts w:eastAsia="Times New Roman"/>
        </w:rPr>
      </w:pPr>
      <w:r w:rsidRPr="00642351">
        <w:rPr>
          <w:rFonts w:eastAsia="Times New Roman"/>
        </w:rPr>
        <w:t>Намаляването на негативното влияние на различните видове транспорт върху околната среда, както и осигуряването на високо ниво на безопасност и сигурност, са сред основните приоритети. Политиката е насочена към стимулиране използването на обществените видове транспорт и програми за промяна в разпределението по видове транспорт с цел намаляване на вредното въздействие на автомобилния транспорт преди всичко върху околната среда, но също така и върху безопасността на движението и намаляване на задръстванията.</w:t>
      </w:r>
    </w:p>
    <w:p w:rsidR="00642351" w:rsidRPr="00642351" w:rsidRDefault="00642351" w:rsidP="00642351">
      <w:pPr>
        <w:spacing w:before="120" w:after="0"/>
        <w:rPr>
          <w:rFonts w:eastAsia="Times New Roman"/>
        </w:rPr>
      </w:pPr>
      <w:r w:rsidRPr="00642351">
        <w:rPr>
          <w:rFonts w:eastAsia="Times New Roman"/>
        </w:rPr>
        <w:t>Приоритет е и поддържането и развитието на републиканската пътна инфраструктура в съответствие със съвременните изисквания на автомобилния транспорт чрез изграждане на националната мрежа от магистрали и скоростни пътища, свързването ѝ с европейските транспортни коридори, модернизация и обновяване на републиканската пътна мрежа и осигуряване на добро експлоатационно състояние и ниво на безопасност на съществуващата пътна мрежа. Цели се осигуряване на съпоставимо с европейската практика високо ниво на транспортна достъпност и мобилност за територията на Република България, обвързано с ефективно проектиране, изграждане, управление, поддържане и ремонт на пътната инфраструктура по проекти, финансирани от фондовете на Европейския съюз.</w:t>
      </w:r>
    </w:p>
    <w:p w:rsidR="00642351" w:rsidRPr="00642351" w:rsidRDefault="00642351" w:rsidP="00642351">
      <w:pPr>
        <w:spacing w:before="120" w:after="0"/>
        <w:rPr>
          <w:rFonts w:eastAsia="Times New Roman"/>
        </w:rPr>
      </w:pPr>
      <w:r w:rsidRPr="00642351">
        <w:rPr>
          <w:rFonts w:eastAsia="Times New Roman"/>
        </w:rPr>
        <w:t>Отговорни институции за изпълнението на политиката в областта на транспорта са Министерството на транспорта, информационните технологии и съобщенията и Министерството на регионалното развитие и благоустройството чрез Агенция „Пътна инфраструктура“.</w:t>
      </w:r>
    </w:p>
    <w:p w:rsidR="00642351" w:rsidRPr="00642351" w:rsidRDefault="00642351" w:rsidP="00642351">
      <w:pPr>
        <w:spacing w:before="120" w:after="0"/>
        <w:rPr>
          <w:rFonts w:eastAsia="Times New Roman"/>
        </w:rPr>
      </w:pPr>
      <w:r w:rsidRPr="00642351">
        <w:rPr>
          <w:rFonts w:eastAsia="Times New Roman"/>
        </w:rPr>
        <w:t xml:space="preserve">При изпълнение на </w:t>
      </w:r>
      <w:r w:rsidRPr="00642351">
        <w:rPr>
          <w:rFonts w:eastAsia="Times New Roman"/>
          <w:i/>
        </w:rPr>
        <w:t>политиката в областта на транспорта</w:t>
      </w:r>
      <w:r w:rsidRPr="00642351">
        <w:rPr>
          <w:rFonts w:eastAsia="Times New Roman"/>
        </w:rPr>
        <w:t xml:space="preserve"> предвидените средства за периода 2020-2022 г. ще бъдат насочени към:</w:t>
      </w:r>
    </w:p>
    <w:p w:rsidR="00642351" w:rsidRPr="00642351" w:rsidRDefault="00642351" w:rsidP="003403BF">
      <w:pPr>
        <w:numPr>
          <w:ilvl w:val="0"/>
          <w:numId w:val="57"/>
        </w:numPr>
        <w:tabs>
          <w:tab w:val="num" w:pos="360"/>
        </w:tabs>
        <w:spacing w:before="120" w:after="0"/>
        <w:rPr>
          <w:rFonts w:eastAsia="Times New Roman"/>
        </w:rPr>
      </w:pPr>
      <w:r w:rsidRPr="00642351">
        <w:rPr>
          <w:rFonts w:eastAsia="Times New Roman"/>
        </w:rPr>
        <w:t>Провеждане на национална транспортна политика, основана на приемственост, ефективност и експертност;</w:t>
      </w:r>
    </w:p>
    <w:p w:rsidR="00642351" w:rsidRPr="00642351" w:rsidRDefault="00642351" w:rsidP="003403BF">
      <w:pPr>
        <w:numPr>
          <w:ilvl w:val="0"/>
          <w:numId w:val="57"/>
        </w:numPr>
        <w:tabs>
          <w:tab w:val="num" w:pos="360"/>
        </w:tabs>
        <w:spacing w:before="120" w:after="0"/>
        <w:rPr>
          <w:rFonts w:eastAsia="Times New Roman"/>
        </w:rPr>
      </w:pPr>
      <w:r w:rsidRPr="00642351">
        <w:rPr>
          <w:rFonts w:eastAsia="Times New Roman"/>
        </w:rPr>
        <w:t>Изграждане на модерна, устойчива, балансирана и интегрирана транспортна инфраструктура по основната и разширената Трансевропейска мрежа на територията на България, както и подобряване на инфраструктурната свързаност на регионите чрез модернизиране на пътната инфраструктура; изграждане на националната мрежа от магистрали и скоростни пътища и свързването ѝ с европейските транспортни коридори;</w:t>
      </w:r>
    </w:p>
    <w:p w:rsidR="00642351" w:rsidRPr="00642351" w:rsidRDefault="00642351" w:rsidP="003403BF">
      <w:pPr>
        <w:numPr>
          <w:ilvl w:val="0"/>
          <w:numId w:val="57"/>
        </w:numPr>
        <w:tabs>
          <w:tab w:val="num" w:pos="360"/>
        </w:tabs>
        <w:spacing w:before="120" w:after="0"/>
        <w:rPr>
          <w:rFonts w:eastAsia="Times New Roman"/>
        </w:rPr>
      </w:pPr>
      <w:r w:rsidRPr="00642351">
        <w:rPr>
          <w:rFonts w:eastAsia="Times New Roman"/>
        </w:rPr>
        <w:t>Поддържане, модернизация и обновяване на републиканската пътна мрежа и осигуряване на добро експлоатационно състояние и ниво на безопасност на съществуващата пътна мрежа;</w:t>
      </w:r>
    </w:p>
    <w:p w:rsidR="00642351" w:rsidRPr="00642351" w:rsidRDefault="00642351" w:rsidP="003403BF">
      <w:pPr>
        <w:numPr>
          <w:ilvl w:val="0"/>
          <w:numId w:val="57"/>
        </w:numPr>
        <w:tabs>
          <w:tab w:val="num" w:pos="360"/>
        </w:tabs>
        <w:spacing w:before="120" w:after="0"/>
        <w:rPr>
          <w:rFonts w:eastAsia="Times New Roman"/>
        </w:rPr>
      </w:pPr>
      <w:r w:rsidRPr="00642351">
        <w:rPr>
          <w:rFonts w:eastAsia="Times New Roman"/>
        </w:rPr>
        <w:t>Рехабилитация и осъществяване на аварийни дейности на участъци от републиканската пътна мрежа;</w:t>
      </w:r>
    </w:p>
    <w:p w:rsidR="00642351" w:rsidRPr="00642351" w:rsidRDefault="00642351" w:rsidP="003403BF">
      <w:pPr>
        <w:numPr>
          <w:ilvl w:val="0"/>
          <w:numId w:val="57"/>
        </w:numPr>
        <w:tabs>
          <w:tab w:val="num" w:pos="360"/>
        </w:tabs>
        <w:spacing w:before="120" w:after="0"/>
        <w:rPr>
          <w:rFonts w:eastAsia="Times New Roman"/>
        </w:rPr>
      </w:pPr>
      <w:r w:rsidRPr="00642351">
        <w:rPr>
          <w:rFonts w:eastAsia="Times New Roman"/>
        </w:rPr>
        <w:t>Изграждане и въвеждане на електронна система за събиране на такси за ползване на републиканската пътна мрежа на база „изминато разстояние“ за товарни автомобили и на база „време“ за леки автомобили;</w:t>
      </w:r>
    </w:p>
    <w:p w:rsidR="00642351" w:rsidRPr="00642351" w:rsidRDefault="00642351" w:rsidP="003403BF">
      <w:pPr>
        <w:numPr>
          <w:ilvl w:val="0"/>
          <w:numId w:val="57"/>
        </w:numPr>
        <w:tabs>
          <w:tab w:val="num" w:pos="360"/>
        </w:tabs>
        <w:spacing w:before="120" w:after="0"/>
        <w:rPr>
          <w:rFonts w:eastAsia="Times New Roman"/>
        </w:rPr>
      </w:pPr>
      <w:r w:rsidRPr="00642351">
        <w:rPr>
          <w:rFonts w:eastAsia="Times New Roman"/>
        </w:rPr>
        <w:t>Развитие на интермодален транспорт;</w:t>
      </w:r>
    </w:p>
    <w:p w:rsidR="00642351" w:rsidRPr="00642351" w:rsidRDefault="00642351" w:rsidP="003403BF">
      <w:pPr>
        <w:numPr>
          <w:ilvl w:val="0"/>
          <w:numId w:val="57"/>
        </w:numPr>
        <w:tabs>
          <w:tab w:val="num" w:pos="360"/>
        </w:tabs>
        <w:spacing w:before="120" w:after="0"/>
        <w:rPr>
          <w:rFonts w:eastAsia="Times New Roman"/>
        </w:rPr>
      </w:pPr>
      <w:r w:rsidRPr="00642351">
        <w:rPr>
          <w:rFonts w:eastAsia="Times New Roman"/>
        </w:rPr>
        <w:t>Изграждане на модерна и оперативно съвместима с европейската железопътна мрежа национална железопътна инфраструктура;</w:t>
      </w:r>
    </w:p>
    <w:p w:rsidR="00642351" w:rsidRPr="00642351" w:rsidRDefault="00642351" w:rsidP="003403BF">
      <w:pPr>
        <w:numPr>
          <w:ilvl w:val="0"/>
          <w:numId w:val="57"/>
        </w:numPr>
        <w:tabs>
          <w:tab w:val="num" w:pos="360"/>
        </w:tabs>
        <w:spacing w:before="120" w:after="0"/>
        <w:rPr>
          <w:rFonts w:eastAsia="Times New Roman"/>
        </w:rPr>
      </w:pPr>
      <w:r w:rsidRPr="00642351">
        <w:rPr>
          <w:rFonts w:eastAsia="Times New Roman"/>
        </w:rPr>
        <w:t>Изграждане, развитие и поддържане на високоефективна система за търсене и спасяване при авиационни и морски произшествия.</w:t>
      </w:r>
    </w:p>
    <w:p w:rsidR="00642351" w:rsidRPr="00642351" w:rsidRDefault="00642351" w:rsidP="00642351">
      <w:pPr>
        <w:spacing w:before="120" w:after="0"/>
        <w:rPr>
          <w:rFonts w:eastAsia="Times New Roman"/>
        </w:rPr>
      </w:pPr>
      <w:r w:rsidRPr="00642351">
        <w:rPr>
          <w:rFonts w:eastAsia="Times New Roman"/>
        </w:rPr>
        <w:t>В изпълнение на националния план за подобряване на енергийните характеристики на отопляваните и/или охлаждани сгради - държавна собственост, използвани от държавната администрация, чрез бюджета на Министерството на транспорта, информационните технологии и съобщенията се планира изпълнението на следните приоритетни проекти:</w:t>
      </w:r>
    </w:p>
    <w:p w:rsidR="00642351" w:rsidRPr="00642351" w:rsidRDefault="00642351" w:rsidP="003403BF">
      <w:pPr>
        <w:numPr>
          <w:ilvl w:val="0"/>
          <w:numId w:val="57"/>
        </w:numPr>
        <w:spacing w:before="120" w:after="0"/>
        <w:rPr>
          <w:rFonts w:eastAsia="Times New Roman"/>
        </w:rPr>
      </w:pPr>
      <w:r w:rsidRPr="00642351">
        <w:rPr>
          <w:rFonts w:eastAsia="Times New Roman"/>
        </w:rPr>
        <w:t>Реконструкция на административната сграда на Министерството на транспорта, информационните технологии и съобщенията в гр. София;</w:t>
      </w:r>
    </w:p>
    <w:p w:rsidR="00642351" w:rsidRPr="00642351" w:rsidRDefault="00642351" w:rsidP="003403BF">
      <w:pPr>
        <w:numPr>
          <w:ilvl w:val="0"/>
          <w:numId w:val="57"/>
        </w:numPr>
        <w:spacing w:before="120" w:after="0"/>
        <w:rPr>
          <w:rFonts w:eastAsia="Times New Roman"/>
        </w:rPr>
      </w:pPr>
      <w:r w:rsidRPr="00642351">
        <w:rPr>
          <w:rFonts w:eastAsia="Times New Roman"/>
        </w:rPr>
        <w:t xml:space="preserve">Основен ремонт на административната сграда на Дирекция „Речен надзор“ </w:t>
      </w:r>
      <w:r w:rsidR="0083795C">
        <w:rPr>
          <w:rFonts w:eastAsia="Times New Roman"/>
        </w:rPr>
        <w:t xml:space="preserve">             </w:t>
      </w:r>
      <w:r w:rsidRPr="00642351">
        <w:rPr>
          <w:rFonts w:eastAsia="Times New Roman"/>
        </w:rPr>
        <w:t>гр.</w:t>
      </w:r>
      <w:r w:rsidR="0083795C">
        <w:rPr>
          <w:rFonts w:eastAsia="Times New Roman"/>
        </w:rPr>
        <w:t xml:space="preserve"> </w:t>
      </w:r>
      <w:r>
        <w:rPr>
          <w:rFonts w:eastAsia="Times New Roman"/>
        </w:rPr>
        <w:t>Русе.</w:t>
      </w:r>
    </w:p>
    <w:p w:rsidR="00642351" w:rsidRPr="00642351" w:rsidRDefault="00642351" w:rsidP="00642351">
      <w:pPr>
        <w:spacing w:before="120" w:after="0"/>
        <w:rPr>
          <w:rFonts w:eastAsia="Times New Roman"/>
        </w:rPr>
      </w:pPr>
      <w:r w:rsidRPr="00642351">
        <w:rPr>
          <w:rFonts w:eastAsia="Times New Roman"/>
        </w:rPr>
        <w:t xml:space="preserve">През 2019 г. стартира въвеждането на по-справедлив модел за таксуване за ползване на републиканската пътна мрежа чрез въвеждане на смесена система: електронна винетка за леки автомобили и ТОЛ такса за изминато разстояние за тежкотоварните автомобили. В </w:t>
      </w:r>
      <w:r w:rsidR="002F0D74">
        <w:rPr>
          <w:rFonts w:eastAsia="Times New Roman"/>
        </w:rPr>
        <w:t xml:space="preserve">актуализираната </w:t>
      </w:r>
      <w:r w:rsidRPr="00642351">
        <w:rPr>
          <w:rFonts w:eastAsia="Times New Roman"/>
        </w:rPr>
        <w:t>средносрочна прогноза основните дейности за изпълнение на целта са проектиране, изграждане и въвеждане на електронна система за събиране на таксите за ползване на републиканската пътна мрежа на база изминато разстояние за превозни средства с обща технически допустима максимална маса над 3,5 тона (ТОЛ) и на база време за леки автомобили с обща технически допустима максимална маса до 3,5 тона (електронна винетка). От 1 януари 2019 г. започна поетапното въвеждане на ТОЛ системата с въвеждането на т.нар. „електронна винетка“ за леките автомобили, а от март 2020 г. ще бъдат тарифирани и товарните автомобили над 3,5 тона. През 2020 г. се предвижда ТОЛ системата да обхване магистралите и пътища от І клас, като през следващите години се планира да се разшири обхватът на ТОЛ системата и да обхване и пътища от ІІ клас.</w:t>
      </w:r>
    </w:p>
    <w:p w:rsidR="00642351" w:rsidRPr="00642351" w:rsidRDefault="00642351" w:rsidP="00642351">
      <w:pPr>
        <w:spacing w:before="120" w:after="0"/>
        <w:rPr>
          <w:rFonts w:eastAsia="Times New Roman"/>
        </w:rPr>
      </w:pPr>
      <w:r w:rsidRPr="00642351">
        <w:rPr>
          <w:rFonts w:eastAsia="Times New Roman"/>
        </w:rPr>
        <w:t>Изграждането и въвеждането на ТОЛ системата значително ще увеличи ресурсите за ефективно поддържане, модернизация и развитие на транспортната инфраструктура.</w:t>
      </w:r>
    </w:p>
    <w:p w:rsidR="00642351" w:rsidRPr="007D6981" w:rsidRDefault="00642351" w:rsidP="00642351">
      <w:pPr>
        <w:spacing w:before="120" w:after="0"/>
        <w:rPr>
          <w:rFonts w:eastAsia="Times New Roman"/>
          <w:lang w:val="ru-RU"/>
        </w:rPr>
      </w:pPr>
      <w:r w:rsidRPr="00642351">
        <w:rPr>
          <w:rFonts w:eastAsia="Times New Roman"/>
        </w:rPr>
        <w:t>Успоредно с поддържането на пътната инфраструктура, политиката на правителството е насочена към осигуряване на финансов ресурс и за реализацията на стратегически инфраструктурни проекти, като:</w:t>
      </w:r>
    </w:p>
    <w:p w:rsidR="00642351" w:rsidRPr="00642351" w:rsidRDefault="00642351" w:rsidP="003403BF">
      <w:pPr>
        <w:numPr>
          <w:ilvl w:val="0"/>
          <w:numId w:val="56"/>
        </w:numPr>
        <w:spacing w:before="120" w:after="0"/>
        <w:rPr>
          <w:rFonts w:eastAsia="Times New Roman"/>
        </w:rPr>
      </w:pPr>
      <w:r w:rsidRPr="00642351">
        <w:rPr>
          <w:rFonts w:eastAsia="Times New Roman"/>
        </w:rPr>
        <w:t>Доизграждане на автомагистрала „Струма” Лот 3.1, 3.2 и 3.3;</w:t>
      </w:r>
    </w:p>
    <w:p w:rsidR="00642351" w:rsidRPr="00642351" w:rsidRDefault="00642351" w:rsidP="003403BF">
      <w:pPr>
        <w:numPr>
          <w:ilvl w:val="0"/>
          <w:numId w:val="56"/>
        </w:numPr>
        <w:spacing w:before="120" w:after="0"/>
        <w:rPr>
          <w:rFonts w:eastAsia="Times New Roman"/>
        </w:rPr>
      </w:pPr>
      <w:r w:rsidRPr="00642351">
        <w:rPr>
          <w:rFonts w:eastAsia="Times New Roman"/>
        </w:rPr>
        <w:t>Доизграждане на автомагистрала „Хемус“ с приблизителна дължина 250 км;</w:t>
      </w:r>
    </w:p>
    <w:p w:rsidR="00642351" w:rsidRPr="00642351" w:rsidRDefault="00642351" w:rsidP="003403BF">
      <w:pPr>
        <w:numPr>
          <w:ilvl w:val="0"/>
          <w:numId w:val="56"/>
        </w:numPr>
        <w:spacing w:before="120" w:after="0"/>
        <w:rPr>
          <w:rFonts w:eastAsia="Times New Roman"/>
        </w:rPr>
      </w:pPr>
      <w:r w:rsidRPr="00642351">
        <w:rPr>
          <w:rFonts w:eastAsia="Times New Roman"/>
        </w:rPr>
        <w:t>Изграждане на „Обход на гр. Габрово“, включващ тунел под Шипка;</w:t>
      </w:r>
    </w:p>
    <w:p w:rsidR="00642351" w:rsidRPr="00642351" w:rsidRDefault="00642351" w:rsidP="003403BF">
      <w:pPr>
        <w:numPr>
          <w:ilvl w:val="0"/>
          <w:numId w:val="56"/>
        </w:numPr>
        <w:spacing w:before="120" w:after="0"/>
        <w:rPr>
          <w:rFonts w:eastAsia="Times New Roman"/>
        </w:rPr>
      </w:pPr>
      <w:r w:rsidRPr="00642351">
        <w:rPr>
          <w:rFonts w:eastAsia="Times New Roman"/>
        </w:rPr>
        <w:t>Изграждане на АМ „Калотина – София“ от км 1+000 до км 15+500 и от км 15+500 до км 32+ 477,20 и етапни връзки;</w:t>
      </w:r>
    </w:p>
    <w:p w:rsidR="00642351" w:rsidRPr="00642351" w:rsidRDefault="00642351" w:rsidP="003403BF">
      <w:pPr>
        <w:numPr>
          <w:ilvl w:val="0"/>
          <w:numId w:val="56"/>
        </w:numPr>
        <w:spacing w:before="120" w:after="0"/>
        <w:rPr>
          <w:rFonts w:eastAsia="Times New Roman"/>
        </w:rPr>
      </w:pPr>
      <w:r w:rsidRPr="00642351">
        <w:rPr>
          <w:rFonts w:eastAsia="Times New Roman"/>
        </w:rPr>
        <w:t>Подготовка на шест участъка за изграждане на скоростен път „Видин – Ботевград“;</w:t>
      </w:r>
    </w:p>
    <w:p w:rsidR="00642351" w:rsidRPr="00642351" w:rsidRDefault="00642351" w:rsidP="003403BF">
      <w:pPr>
        <w:numPr>
          <w:ilvl w:val="0"/>
          <w:numId w:val="56"/>
        </w:numPr>
        <w:spacing w:before="120" w:after="0"/>
        <w:rPr>
          <w:rFonts w:eastAsia="Times New Roman"/>
        </w:rPr>
      </w:pPr>
      <w:r w:rsidRPr="00642351">
        <w:rPr>
          <w:rFonts w:eastAsia="Times New Roman"/>
        </w:rPr>
        <w:t>Развитие, изграждане и рехабилитация на републиканската пътна мрежа;</w:t>
      </w:r>
    </w:p>
    <w:p w:rsidR="00642351" w:rsidRPr="00642351" w:rsidRDefault="00642351" w:rsidP="003403BF">
      <w:pPr>
        <w:numPr>
          <w:ilvl w:val="0"/>
          <w:numId w:val="56"/>
        </w:numPr>
        <w:spacing w:before="120" w:after="0"/>
        <w:rPr>
          <w:rFonts w:eastAsia="Times New Roman"/>
        </w:rPr>
      </w:pPr>
      <w:r w:rsidRPr="00642351">
        <w:rPr>
          <w:rFonts w:eastAsia="Times New Roman"/>
        </w:rPr>
        <w:t>Подготовка и изпълнение на AM „Русе – Велико Търново“;</w:t>
      </w:r>
    </w:p>
    <w:p w:rsidR="00336A52" w:rsidRPr="00E60644" w:rsidRDefault="00642351" w:rsidP="002226EC">
      <w:pPr>
        <w:numPr>
          <w:ilvl w:val="0"/>
          <w:numId w:val="56"/>
        </w:numPr>
        <w:spacing w:before="120" w:after="0"/>
        <w:rPr>
          <w:rFonts w:eastAsia="Times New Roman"/>
        </w:rPr>
      </w:pPr>
      <w:r w:rsidRPr="00642351">
        <w:rPr>
          <w:rFonts w:eastAsia="Times New Roman"/>
        </w:rPr>
        <w:t>Подготовка и изпълнението на AM „Черно море“.</w:t>
      </w:r>
    </w:p>
    <w:p w:rsidR="008543D7" w:rsidRDefault="008543D7" w:rsidP="00AD1AF9">
      <w:pPr>
        <w:rPr>
          <w:b/>
          <w:sz w:val="20"/>
          <w:szCs w:val="20"/>
        </w:rPr>
      </w:pPr>
    </w:p>
    <w:p w:rsidR="00AD1AF9" w:rsidRPr="00642351" w:rsidRDefault="00AD1AF9" w:rsidP="00AD1AF9">
      <w:pPr>
        <w:rPr>
          <w:b/>
          <w:sz w:val="20"/>
          <w:szCs w:val="20"/>
        </w:rPr>
      </w:pPr>
      <w:r w:rsidRPr="00642351">
        <w:rPr>
          <w:b/>
          <w:sz w:val="20"/>
          <w:szCs w:val="20"/>
        </w:rPr>
        <w:t>КЛЮЧОВИ ИНДИКАТОРИ ЗА ИЗПЪЛНЕНИЕ И ЦЕЛЕВИ СТОЙНОСТИ</w:t>
      </w:r>
    </w:p>
    <w:tbl>
      <w:tblPr>
        <w:tblW w:w="9040" w:type="dxa"/>
        <w:tblLayout w:type="fixed"/>
        <w:tblCellMar>
          <w:left w:w="0" w:type="dxa"/>
          <w:right w:w="0" w:type="dxa"/>
        </w:tblCellMar>
        <w:tblLook w:val="0000" w:firstRow="0" w:lastRow="0" w:firstColumn="0" w:lastColumn="0" w:noHBand="0" w:noVBand="0"/>
      </w:tblPr>
      <w:tblGrid>
        <w:gridCol w:w="1820"/>
        <w:gridCol w:w="340"/>
        <w:gridCol w:w="1460"/>
        <w:gridCol w:w="1120"/>
        <w:gridCol w:w="1080"/>
        <w:gridCol w:w="1140"/>
        <w:gridCol w:w="1040"/>
        <w:gridCol w:w="1040"/>
      </w:tblGrid>
      <w:tr w:rsidR="00642351" w:rsidRPr="00642351" w:rsidTr="004100C6">
        <w:trPr>
          <w:trHeight w:val="310"/>
          <w:tblHeader/>
        </w:trPr>
        <w:tc>
          <w:tcPr>
            <w:tcW w:w="3620" w:type="dxa"/>
            <w:gridSpan w:val="3"/>
            <w:vMerge w:val="restart"/>
            <w:tcBorders>
              <w:top w:val="single" w:sz="4" w:space="0" w:color="auto"/>
            </w:tcBorders>
            <w:shd w:val="clear" w:color="auto" w:fill="auto"/>
            <w:vAlign w:val="center"/>
          </w:tcPr>
          <w:p w:rsidR="00642351" w:rsidRPr="00642351" w:rsidRDefault="00642351" w:rsidP="000C2EEF">
            <w:pPr>
              <w:spacing w:after="0" w:line="0" w:lineRule="atLeast"/>
              <w:ind w:left="80"/>
              <w:jc w:val="center"/>
              <w:rPr>
                <w:rFonts w:eastAsia="Times New Roman" w:cs="Arial"/>
                <w:b/>
                <w:i/>
                <w:sz w:val="18"/>
                <w:szCs w:val="18"/>
              </w:rPr>
            </w:pPr>
            <w:r w:rsidRPr="00642351">
              <w:rPr>
                <w:rFonts w:eastAsia="Times New Roman" w:cs="Arial"/>
                <w:b/>
                <w:i/>
                <w:sz w:val="18"/>
                <w:szCs w:val="18"/>
              </w:rPr>
              <w:t>Политика в областта на транспорта</w:t>
            </w:r>
          </w:p>
        </w:tc>
        <w:tc>
          <w:tcPr>
            <w:tcW w:w="1120" w:type="dxa"/>
            <w:vMerge w:val="restart"/>
            <w:tcBorders>
              <w:top w:val="single" w:sz="4" w:space="0" w:color="auto"/>
            </w:tcBorders>
            <w:shd w:val="clear" w:color="auto" w:fill="F2F2F2"/>
            <w:vAlign w:val="center"/>
          </w:tcPr>
          <w:p w:rsidR="00642351" w:rsidRPr="00642351" w:rsidRDefault="00642351" w:rsidP="000C2EEF">
            <w:pPr>
              <w:spacing w:after="0" w:line="0" w:lineRule="atLeast"/>
              <w:jc w:val="center"/>
              <w:rPr>
                <w:rFonts w:eastAsia="Times New Roman" w:cs="Arial"/>
                <w:b/>
                <w:w w:val="99"/>
                <w:sz w:val="18"/>
                <w:szCs w:val="18"/>
              </w:rPr>
            </w:pPr>
            <w:r w:rsidRPr="00642351">
              <w:rPr>
                <w:rFonts w:eastAsia="Times New Roman" w:cs="Arial"/>
                <w:b/>
                <w:sz w:val="18"/>
                <w:szCs w:val="18"/>
              </w:rPr>
              <w:t>Мерна</w:t>
            </w:r>
          </w:p>
          <w:p w:rsidR="00642351" w:rsidRPr="00642351" w:rsidRDefault="00642351" w:rsidP="000C2EEF">
            <w:pPr>
              <w:spacing w:after="0" w:line="0" w:lineRule="atLeast"/>
              <w:jc w:val="center"/>
              <w:rPr>
                <w:rFonts w:eastAsia="Times New Roman" w:cs="Arial"/>
                <w:sz w:val="18"/>
                <w:szCs w:val="18"/>
              </w:rPr>
            </w:pPr>
            <w:r w:rsidRPr="00642351">
              <w:rPr>
                <w:rFonts w:eastAsia="Times New Roman" w:cs="Arial"/>
                <w:b/>
                <w:sz w:val="18"/>
                <w:szCs w:val="18"/>
              </w:rPr>
              <w:t>единица</w:t>
            </w:r>
          </w:p>
        </w:tc>
        <w:tc>
          <w:tcPr>
            <w:tcW w:w="4300" w:type="dxa"/>
            <w:gridSpan w:val="4"/>
            <w:tcBorders>
              <w:top w:val="single" w:sz="4" w:space="0" w:color="auto"/>
              <w:bottom w:val="single" w:sz="4" w:space="0" w:color="auto"/>
            </w:tcBorders>
            <w:shd w:val="clear" w:color="auto" w:fill="auto"/>
            <w:vAlign w:val="center"/>
          </w:tcPr>
          <w:p w:rsidR="00642351" w:rsidRPr="00642351" w:rsidRDefault="00642351" w:rsidP="000C2EEF">
            <w:pPr>
              <w:spacing w:after="0" w:line="0" w:lineRule="atLeast"/>
              <w:jc w:val="center"/>
              <w:rPr>
                <w:rFonts w:eastAsia="Times New Roman" w:cs="Arial"/>
                <w:sz w:val="18"/>
                <w:szCs w:val="18"/>
              </w:rPr>
            </w:pPr>
            <w:r w:rsidRPr="00642351">
              <w:rPr>
                <w:rFonts w:eastAsia="Times New Roman" w:cs="Arial"/>
                <w:b/>
                <w:sz w:val="18"/>
                <w:szCs w:val="18"/>
              </w:rPr>
              <w:t>Целева стойност</w:t>
            </w:r>
          </w:p>
        </w:tc>
      </w:tr>
      <w:tr w:rsidR="00642351" w:rsidRPr="00642351" w:rsidTr="004100C6">
        <w:trPr>
          <w:trHeight w:val="207"/>
          <w:tblHeader/>
        </w:trPr>
        <w:tc>
          <w:tcPr>
            <w:tcW w:w="3620" w:type="dxa"/>
            <w:gridSpan w:val="3"/>
            <w:vMerge/>
            <w:shd w:val="clear" w:color="auto" w:fill="auto"/>
            <w:vAlign w:val="center"/>
          </w:tcPr>
          <w:p w:rsidR="00642351" w:rsidRPr="00642351" w:rsidRDefault="00642351" w:rsidP="000C2EEF">
            <w:pPr>
              <w:spacing w:after="0" w:line="0" w:lineRule="atLeast"/>
              <w:jc w:val="center"/>
              <w:rPr>
                <w:rFonts w:eastAsia="Times New Roman" w:cs="Arial"/>
                <w:sz w:val="18"/>
                <w:szCs w:val="18"/>
              </w:rPr>
            </w:pPr>
          </w:p>
        </w:tc>
        <w:tc>
          <w:tcPr>
            <w:tcW w:w="1120" w:type="dxa"/>
            <w:vMerge/>
            <w:shd w:val="clear" w:color="auto" w:fill="F2F2F2"/>
            <w:vAlign w:val="center"/>
          </w:tcPr>
          <w:p w:rsidR="00642351" w:rsidRPr="00642351" w:rsidRDefault="00642351" w:rsidP="000C2EEF">
            <w:pPr>
              <w:spacing w:after="0" w:line="0" w:lineRule="atLeast"/>
              <w:jc w:val="center"/>
              <w:rPr>
                <w:rFonts w:eastAsia="Times New Roman" w:cs="Arial"/>
                <w:sz w:val="18"/>
                <w:szCs w:val="18"/>
              </w:rPr>
            </w:pPr>
          </w:p>
        </w:tc>
        <w:tc>
          <w:tcPr>
            <w:tcW w:w="1080" w:type="dxa"/>
            <w:vMerge w:val="restart"/>
            <w:tcBorders>
              <w:top w:val="single" w:sz="4" w:space="0" w:color="auto"/>
              <w:bottom w:val="single" w:sz="4" w:space="0" w:color="auto"/>
            </w:tcBorders>
            <w:shd w:val="clear" w:color="auto" w:fill="auto"/>
            <w:vAlign w:val="center"/>
          </w:tcPr>
          <w:p w:rsidR="00642351" w:rsidRPr="00642351" w:rsidRDefault="00642351" w:rsidP="000C2EEF">
            <w:pPr>
              <w:spacing w:after="0" w:line="0" w:lineRule="atLeast"/>
              <w:jc w:val="center"/>
              <w:rPr>
                <w:rFonts w:eastAsia="Times New Roman" w:cs="Arial"/>
                <w:b/>
                <w:i/>
                <w:sz w:val="18"/>
                <w:szCs w:val="18"/>
              </w:rPr>
            </w:pPr>
            <w:r w:rsidRPr="00642351">
              <w:rPr>
                <w:rFonts w:eastAsia="Times New Roman" w:cs="Arial"/>
                <w:b/>
                <w:i/>
                <w:sz w:val="18"/>
                <w:szCs w:val="18"/>
              </w:rPr>
              <w:t xml:space="preserve">Програма </w:t>
            </w:r>
            <w:r w:rsidRPr="00642351">
              <w:rPr>
                <w:rFonts w:eastAsia="Times New Roman" w:cs="Arial"/>
                <w:b/>
                <w:i/>
                <w:sz w:val="18"/>
                <w:szCs w:val="18"/>
              </w:rPr>
              <w:br/>
              <w:t>2019 г.</w:t>
            </w:r>
          </w:p>
        </w:tc>
        <w:tc>
          <w:tcPr>
            <w:tcW w:w="1140" w:type="dxa"/>
            <w:vMerge w:val="restart"/>
            <w:tcBorders>
              <w:top w:val="single" w:sz="4" w:space="0" w:color="auto"/>
              <w:bottom w:val="single" w:sz="4" w:space="0" w:color="auto"/>
            </w:tcBorders>
            <w:shd w:val="clear" w:color="auto" w:fill="auto"/>
            <w:vAlign w:val="center"/>
          </w:tcPr>
          <w:p w:rsidR="00642351" w:rsidRPr="00642351" w:rsidRDefault="00642351" w:rsidP="000C2EEF">
            <w:pPr>
              <w:spacing w:after="0" w:line="0" w:lineRule="atLeast"/>
              <w:jc w:val="center"/>
              <w:rPr>
                <w:rFonts w:eastAsia="Times New Roman" w:cs="Arial"/>
                <w:b/>
                <w:i/>
                <w:sz w:val="18"/>
                <w:szCs w:val="18"/>
              </w:rPr>
            </w:pPr>
            <w:r w:rsidRPr="00642351">
              <w:rPr>
                <w:rFonts w:eastAsia="Times New Roman" w:cs="Arial"/>
                <w:b/>
                <w:i/>
                <w:sz w:val="18"/>
                <w:szCs w:val="18"/>
              </w:rPr>
              <w:t>Про</w:t>
            </w:r>
            <w:r w:rsidR="008543D7">
              <w:rPr>
                <w:rFonts w:eastAsia="Times New Roman" w:cs="Arial"/>
                <w:b/>
                <w:i/>
                <w:sz w:val="18"/>
                <w:szCs w:val="18"/>
              </w:rPr>
              <w:t>ект</w:t>
            </w:r>
            <w:r w:rsidRPr="00642351">
              <w:rPr>
                <w:rFonts w:eastAsia="Times New Roman" w:cs="Arial"/>
                <w:b/>
                <w:i/>
                <w:sz w:val="18"/>
                <w:szCs w:val="18"/>
              </w:rPr>
              <w:br/>
              <w:t>2020 г.</w:t>
            </w:r>
          </w:p>
        </w:tc>
        <w:tc>
          <w:tcPr>
            <w:tcW w:w="1040" w:type="dxa"/>
            <w:vMerge w:val="restart"/>
            <w:tcBorders>
              <w:top w:val="single" w:sz="4" w:space="0" w:color="auto"/>
              <w:bottom w:val="single" w:sz="4" w:space="0" w:color="auto"/>
            </w:tcBorders>
            <w:shd w:val="clear" w:color="auto" w:fill="auto"/>
            <w:vAlign w:val="center"/>
          </w:tcPr>
          <w:p w:rsidR="00642351" w:rsidRPr="00642351" w:rsidRDefault="00642351" w:rsidP="000C2EEF">
            <w:pPr>
              <w:spacing w:after="0" w:line="0" w:lineRule="atLeast"/>
              <w:jc w:val="center"/>
              <w:rPr>
                <w:rFonts w:eastAsia="Times New Roman" w:cs="Arial"/>
                <w:b/>
                <w:i/>
                <w:w w:val="97"/>
                <w:sz w:val="18"/>
                <w:szCs w:val="18"/>
              </w:rPr>
            </w:pPr>
            <w:r w:rsidRPr="00642351">
              <w:rPr>
                <w:rFonts w:eastAsia="Times New Roman" w:cs="Arial"/>
                <w:b/>
                <w:i/>
                <w:sz w:val="18"/>
                <w:szCs w:val="18"/>
              </w:rPr>
              <w:t>Прогноза</w:t>
            </w:r>
            <w:r w:rsidRPr="00642351">
              <w:rPr>
                <w:rFonts w:eastAsia="Times New Roman" w:cs="Arial"/>
                <w:b/>
                <w:i/>
                <w:w w:val="97"/>
                <w:sz w:val="18"/>
                <w:szCs w:val="18"/>
              </w:rPr>
              <w:t xml:space="preserve"> </w:t>
            </w:r>
            <w:r w:rsidRPr="00642351">
              <w:rPr>
                <w:rFonts w:eastAsia="Times New Roman" w:cs="Arial"/>
                <w:b/>
                <w:i/>
                <w:w w:val="97"/>
                <w:sz w:val="18"/>
                <w:szCs w:val="18"/>
              </w:rPr>
              <w:br/>
              <w:t>2021 г.</w:t>
            </w:r>
          </w:p>
        </w:tc>
        <w:tc>
          <w:tcPr>
            <w:tcW w:w="1040" w:type="dxa"/>
            <w:vMerge w:val="restart"/>
            <w:tcBorders>
              <w:top w:val="single" w:sz="4" w:space="0" w:color="auto"/>
              <w:bottom w:val="single" w:sz="4" w:space="0" w:color="auto"/>
            </w:tcBorders>
            <w:shd w:val="clear" w:color="auto" w:fill="auto"/>
            <w:vAlign w:val="center"/>
          </w:tcPr>
          <w:p w:rsidR="00642351" w:rsidRPr="00642351" w:rsidRDefault="00642351" w:rsidP="000C2EEF">
            <w:pPr>
              <w:spacing w:after="0" w:line="0" w:lineRule="atLeast"/>
              <w:jc w:val="center"/>
              <w:rPr>
                <w:rFonts w:eastAsia="Times New Roman" w:cs="Arial"/>
                <w:b/>
                <w:i/>
                <w:w w:val="97"/>
                <w:sz w:val="18"/>
                <w:szCs w:val="18"/>
              </w:rPr>
            </w:pPr>
            <w:r w:rsidRPr="00642351">
              <w:rPr>
                <w:rFonts w:eastAsia="Times New Roman" w:cs="Arial"/>
                <w:b/>
                <w:i/>
                <w:sz w:val="18"/>
                <w:szCs w:val="18"/>
              </w:rPr>
              <w:t>Прогноза</w:t>
            </w:r>
            <w:r w:rsidRPr="00642351">
              <w:rPr>
                <w:rFonts w:eastAsia="Times New Roman" w:cs="Arial"/>
                <w:b/>
                <w:i/>
                <w:w w:val="97"/>
                <w:sz w:val="18"/>
                <w:szCs w:val="18"/>
              </w:rPr>
              <w:t xml:space="preserve"> </w:t>
            </w:r>
            <w:r w:rsidRPr="00642351">
              <w:rPr>
                <w:rFonts w:eastAsia="Times New Roman" w:cs="Arial"/>
                <w:b/>
                <w:i/>
                <w:w w:val="97"/>
                <w:sz w:val="18"/>
                <w:szCs w:val="18"/>
              </w:rPr>
              <w:br/>
              <w:t>2022 г.</w:t>
            </w:r>
          </w:p>
        </w:tc>
      </w:tr>
      <w:tr w:rsidR="00642351" w:rsidRPr="00642351" w:rsidTr="00A14763">
        <w:trPr>
          <w:trHeight w:val="152"/>
        </w:trPr>
        <w:tc>
          <w:tcPr>
            <w:tcW w:w="3620" w:type="dxa"/>
            <w:gridSpan w:val="3"/>
            <w:tcBorders>
              <w:bottom w:val="single" w:sz="4" w:space="0" w:color="auto"/>
            </w:tcBorders>
            <w:shd w:val="clear" w:color="auto" w:fill="auto"/>
            <w:vAlign w:val="bottom"/>
          </w:tcPr>
          <w:p w:rsidR="00642351" w:rsidRPr="00642351" w:rsidRDefault="00642351" w:rsidP="000C2EEF">
            <w:pPr>
              <w:spacing w:after="0" w:line="0" w:lineRule="atLeast"/>
              <w:jc w:val="center"/>
              <w:rPr>
                <w:rFonts w:eastAsia="Times New Roman" w:cs="Arial"/>
                <w:sz w:val="18"/>
                <w:szCs w:val="18"/>
              </w:rPr>
            </w:pPr>
            <w:r w:rsidRPr="00642351">
              <w:rPr>
                <w:rFonts w:eastAsia="Times New Roman" w:cs="Arial"/>
                <w:b/>
                <w:sz w:val="18"/>
                <w:szCs w:val="18"/>
              </w:rPr>
              <w:t>Наименование на индикатора</w:t>
            </w:r>
          </w:p>
        </w:tc>
        <w:tc>
          <w:tcPr>
            <w:tcW w:w="1120" w:type="dxa"/>
            <w:vMerge/>
            <w:tcBorders>
              <w:bottom w:val="single" w:sz="4" w:space="0" w:color="auto"/>
            </w:tcBorders>
            <w:shd w:val="clear" w:color="auto" w:fill="F2F2F2"/>
            <w:vAlign w:val="bottom"/>
          </w:tcPr>
          <w:p w:rsidR="00642351" w:rsidRPr="00642351" w:rsidRDefault="00642351" w:rsidP="000C2EEF">
            <w:pPr>
              <w:spacing w:after="0" w:line="0" w:lineRule="atLeast"/>
              <w:jc w:val="left"/>
              <w:rPr>
                <w:rFonts w:eastAsia="Times New Roman" w:cs="Arial"/>
                <w:sz w:val="18"/>
                <w:szCs w:val="18"/>
              </w:rPr>
            </w:pPr>
          </w:p>
        </w:tc>
        <w:tc>
          <w:tcPr>
            <w:tcW w:w="1080" w:type="dxa"/>
            <w:vMerge/>
            <w:tcBorders>
              <w:bottom w:val="single" w:sz="4" w:space="0" w:color="auto"/>
            </w:tcBorders>
            <w:shd w:val="clear" w:color="auto" w:fill="auto"/>
            <w:vAlign w:val="bottom"/>
          </w:tcPr>
          <w:p w:rsidR="00642351" w:rsidRPr="00642351" w:rsidRDefault="00642351" w:rsidP="000C2EEF">
            <w:pPr>
              <w:spacing w:after="0" w:line="0" w:lineRule="atLeast"/>
              <w:jc w:val="left"/>
              <w:rPr>
                <w:rFonts w:eastAsia="Times New Roman" w:cs="Arial"/>
                <w:sz w:val="18"/>
                <w:szCs w:val="18"/>
              </w:rPr>
            </w:pPr>
          </w:p>
        </w:tc>
        <w:tc>
          <w:tcPr>
            <w:tcW w:w="1140" w:type="dxa"/>
            <w:vMerge/>
            <w:tcBorders>
              <w:bottom w:val="single" w:sz="4" w:space="0" w:color="auto"/>
            </w:tcBorders>
            <w:shd w:val="clear" w:color="auto" w:fill="auto"/>
            <w:vAlign w:val="bottom"/>
          </w:tcPr>
          <w:p w:rsidR="00642351" w:rsidRPr="00642351" w:rsidRDefault="00642351" w:rsidP="000C2EEF">
            <w:pPr>
              <w:spacing w:after="0" w:line="0" w:lineRule="atLeast"/>
              <w:jc w:val="left"/>
              <w:rPr>
                <w:rFonts w:eastAsia="Times New Roman" w:cs="Arial"/>
                <w:sz w:val="18"/>
                <w:szCs w:val="18"/>
              </w:rPr>
            </w:pPr>
          </w:p>
        </w:tc>
        <w:tc>
          <w:tcPr>
            <w:tcW w:w="1040" w:type="dxa"/>
            <w:vMerge/>
            <w:tcBorders>
              <w:bottom w:val="single" w:sz="4" w:space="0" w:color="auto"/>
            </w:tcBorders>
            <w:shd w:val="clear" w:color="auto" w:fill="auto"/>
            <w:vAlign w:val="bottom"/>
          </w:tcPr>
          <w:p w:rsidR="00642351" w:rsidRPr="00642351" w:rsidRDefault="00642351" w:rsidP="000C2EEF">
            <w:pPr>
              <w:spacing w:after="0" w:line="0" w:lineRule="atLeast"/>
              <w:jc w:val="left"/>
              <w:rPr>
                <w:rFonts w:eastAsia="Times New Roman" w:cs="Arial"/>
                <w:sz w:val="18"/>
                <w:szCs w:val="18"/>
              </w:rPr>
            </w:pPr>
          </w:p>
        </w:tc>
        <w:tc>
          <w:tcPr>
            <w:tcW w:w="1040" w:type="dxa"/>
            <w:vMerge/>
            <w:tcBorders>
              <w:bottom w:val="single" w:sz="4" w:space="0" w:color="auto"/>
            </w:tcBorders>
            <w:shd w:val="clear" w:color="auto" w:fill="auto"/>
            <w:vAlign w:val="bottom"/>
          </w:tcPr>
          <w:p w:rsidR="00642351" w:rsidRPr="00642351" w:rsidRDefault="00642351" w:rsidP="000C2EEF">
            <w:pPr>
              <w:spacing w:after="0" w:line="0" w:lineRule="atLeast"/>
              <w:jc w:val="left"/>
              <w:rPr>
                <w:rFonts w:eastAsia="Times New Roman" w:cs="Arial"/>
                <w:sz w:val="18"/>
                <w:szCs w:val="18"/>
              </w:rPr>
            </w:pPr>
          </w:p>
        </w:tc>
      </w:tr>
      <w:tr w:rsidR="00642351" w:rsidRPr="00642351" w:rsidTr="00A14763">
        <w:trPr>
          <w:trHeight w:val="212"/>
        </w:trPr>
        <w:tc>
          <w:tcPr>
            <w:tcW w:w="1820" w:type="dxa"/>
            <w:tcBorders>
              <w:top w:val="single" w:sz="4" w:space="0" w:color="auto"/>
            </w:tcBorders>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1. Рехабилитирани</w:t>
            </w:r>
          </w:p>
        </w:tc>
        <w:tc>
          <w:tcPr>
            <w:tcW w:w="340" w:type="dxa"/>
            <w:tcBorders>
              <w:top w:val="single" w:sz="4" w:space="0" w:color="auto"/>
            </w:tcBorders>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и</w:t>
            </w:r>
          </w:p>
        </w:tc>
        <w:tc>
          <w:tcPr>
            <w:tcW w:w="1460" w:type="dxa"/>
            <w:tcBorders>
              <w:top w:val="single" w:sz="4" w:space="0" w:color="auto"/>
            </w:tcBorders>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новоизградени</w:t>
            </w:r>
          </w:p>
        </w:tc>
        <w:tc>
          <w:tcPr>
            <w:tcW w:w="1120" w:type="dxa"/>
            <w:tcBorders>
              <w:top w:val="single" w:sz="4" w:space="0" w:color="auto"/>
            </w:tcBorders>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color w:val="000000" w:themeColor="text1"/>
                <w:sz w:val="18"/>
                <w:szCs w:val="18"/>
                <w:lang w:eastAsia="en-US"/>
              </w:rPr>
            </w:pPr>
            <w:r w:rsidRPr="00642351">
              <w:rPr>
                <w:rFonts w:asciiTheme="majorHAnsi" w:eastAsia="Times New Roman" w:hAnsiTheme="majorHAnsi" w:cstheme="majorHAnsi"/>
                <w:color w:val="000000" w:themeColor="text1"/>
                <w:sz w:val="18"/>
                <w:szCs w:val="18"/>
                <w:lang w:eastAsia="en-US"/>
              </w:rPr>
              <w:t>км.</w:t>
            </w:r>
          </w:p>
        </w:tc>
        <w:tc>
          <w:tcPr>
            <w:tcW w:w="1080" w:type="dxa"/>
            <w:tcBorders>
              <w:top w:val="single" w:sz="4" w:space="0" w:color="auto"/>
            </w:tcBorders>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color w:val="000000" w:themeColor="text1"/>
                <w:sz w:val="18"/>
                <w:szCs w:val="18"/>
                <w:lang w:eastAsia="en-US"/>
              </w:rPr>
            </w:pPr>
            <w:r w:rsidRPr="00642351">
              <w:rPr>
                <w:rFonts w:asciiTheme="majorHAnsi" w:eastAsia="Times New Roman" w:hAnsiTheme="majorHAnsi" w:cstheme="majorHAnsi"/>
                <w:color w:val="000000" w:themeColor="text1"/>
                <w:sz w:val="18"/>
                <w:szCs w:val="18"/>
                <w:lang w:eastAsia="en-US"/>
              </w:rPr>
              <w:t>201,262</w:t>
            </w:r>
          </w:p>
        </w:tc>
        <w:tc>
          <w:tcPr>
            <w:tcW w:w="1140" w:type="dxa"/>
            <w:tcBorders>
              <w:top w:val="single" w:sz="4" w:space="0" w:color="auto"/>
            </w:tcBorders>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252,816</w:t>
            </w:r>
          </w:p>
        </w:tc>
        <w:tc>
          <w:tcPr>
            <w:tcW w:w="1040" w:type="dxa"/>
            <w:tcBorders>
              <w:top w:val="single" w:sz="4" w:space="0" w:color="auto"/>
            </w:tcBorders>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107,76</w:t>
            </w:r>
          </w:p>
        </w:tc>
        <w:tc>
          <w:tcPr>
            <w:tcW w:w="1040" w:type="dxa"/>
            <w:tcBorders>
              <w:top w:val="single" w:sz="4" w:space="0" w:color="auto"/>
            </w:tcBorders>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158,045</w:t>
            </w:r>
          </w:p>
        </w:tc>
      </w:tr>
      <w:tr w:rsidR="00642351" w:rsidRPr="00642351" w:rsidTr="000C2EEF">
        <w:trPr>
          <w:trHeight w:val="230"/>
        </w:trPr>
        <w:tc>
          <w:tcPr>
            <w:tcW w:w="3620" w:type="dxa"/>
            <w:gridSpan w:val="3"/>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участъци  (в  т.ч.  аварийни  дейности  в</w:t>
            </w: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642351" w:rsidTr="000C2EEF">
        <w:trPr>
          <w:trHeight w:val="231"/>
        </w:trPr>
        <w:tc>
          <w:tcPr>
            <w:tcW w:w="3620" w:type="dxa"/>
            <w:gridSpan w:val="3"/>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участъци   от   републиканската   пътна</w:t>
            </w: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642351" w:rsidTr="000C2EEF">
        <w:trPr>
          <w:trHeight w:val="230"/>
        </w:trPr>
        <w:tc>
          <w:tcPr>
            <w:tcW w:w="3620" w:type="dxa"/>
            <w:gridSpan w:val="3"/>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мрежа,   засегнати   от   геодинамични</w:t>
            </w: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642351" w:rsidTr="000C2EEF">
        <w:trPr>
          <w:trHeight w:val="228"/>
        </w:trPr>
        <w:tc>
          <w:tcPr>
            <w:tcW w:w="182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процеси и явления)</w:t>
            </w:r>
          </w:p>
        </w:tc>
        <w:tc>
          <w:tcPr>
            <w:tcW w:w="34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46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642351" w:rsidTr="000C2EEF">
        <w:trPr>
          <w:trHeight w:val="230"/>
        </w:trPr>
        <w:tc>
          <w:tcPr>
            <w:tcW w:w="182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2.Рехабилитирани</w:t>
            </w:r>
          </w:p>
        </w:tc>
        <w:tc>
          <w:tcPr>
            <w:tcW w:w="34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и</w:t>
            </w:r>
          </w:p>
        </w:tc>
        <w:tc>
          <w:tcPr>
            <w:tcW w:w="146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новоизградени</w:t>
            </w: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км.</w:t>
            </w:r>
          </w:p>
        </w:tc>
        <w:tc>
          <w:tcPr>
            <w:tcW w:w="1080" w:type="dxa"/>
            <w:shd w:val="clear" w:color="auto" w:fill="auto"/>
            <w:vAlign w:val="center"/>
          </w:tcPr>
          <w:p w:rsidR="00642351" w:rsidRPr="00642351" w:rsidRDefault="00E60644"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Pr>
                <w:rFonts w:asciiTheme="majorHAnsi" w:eastAsia="Times New Roman" w:hAnsiTheme="majorHAnsi" w:cstheme="majorHAnsi"/>
                <w:sz w:val="18"/>
                <w:szCs w:val="18"/>
                <w:lang w:eastAsia="en-US"/>
              </w:rPr>
              <w:t>19 863,97</w:t>
            </w: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19 853,63</w:t>
            </w: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19 853,63</w:t>
            </w: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19 853,63</w:t>
            </w:r>
          </w:p>
        </w:tc>
      </w:tr>
      <w:tr w:rsidR="00642351" w:rsidRPr="00642351" w:rsidTr="000C2EEF">
        <w:trPr>
          <w:trHeight w:val="230"/>
        </w:trPr>
        <w:tc>
          <w:tcPr>
            <w:tcW w:w="3620" w:type="dxa"/>
            <w:gridSpan w:val="3"/>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участъци   (в   т.ч.   текущ   ремонт   и</w:t>
            </w: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642351" w:rsidTr="000C2EEF">
        <w:trPr>
          <w:trHeight w:val="230"/>
        </w:trPr>
        <w:tc>
          <w:tcPr>
            <w:tcW w:w="182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поддържане)</w:t>
            </w:r>
          </w:p>
        </w:tc>
        <w:tc>
          <w:tcPr>
            <w:tcW w:w="34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46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642351" w:rsidTr="000C2EEF">
        <w:trPr>
          <w:trHeight w:val="230"/>
        </w:trPr>
        <w:tc>
          <w:tcPr>
            <w:tcW w:w="3620" w:type="dxa"/>
            <w:gridSpan w:val="3"/>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3. Повишаване скоростите на движение</w:t>
            </w: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км./ч.</w:t>
            </w: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89,1</w:t>
            </w: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91,2</w:t>
            </w: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91,5</w:t>
            </w: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87,9</w:t>
            </w:r>
          </w:p>
        </w:tc>
      </w:tr>
      <w:tr w:rsidR="00642351" w:rsidRPr="00642351" w:rsidTr="000C2EEF">
        <w:trPr>
          <w:trHeight w:val="230"/>
        </w:trPr>
        <w:tc>
          <w:tcPr>
            <w:tcW w:w="3620" w:type="dxa"/>
            <w:gridSpan w:val="3"/>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по   жп.  мрежата   в   ремонтираните</w:t>
            </w: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642351" w:rsidTr="000C2EEF">
        <w:trPr>
          <w:trHeight w:val="228"/>
        </w:trPr>
        <w:tc>
          <w:tcPr>
            <w:tcW w:w="182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участъци</w:t>
            </w:r>
          </w:p>
        </w:tc>
        <w:tc>
          <w:tcPr>
            <w:tcW w:w="34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460" w:type="dxa"/>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8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1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1040" w:type="dxa"/>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642351" w:rsidTr="000C2EEF">
        <w:trPr>
          <w:trHeight w:val="230"/>
        </w:trPr>
        <w:tc>
          <w:tcPr>
            <w:tcW w:w="3620" w:type="dxa"/>
            <w:gridSpan w:val="3"/>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4. Реализирани влаккилометри от „БДЖ</w:t>
            </w:r>
          </w:p>
        </w:tc>
        <w:tc>
          <w:tcPr>
            <w:tcW w:w="1120" w:type="dxa"/>
            <w:shd w:val="clear" w:color="auto" w:fill="F2F2F2"/>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влаккм.</w:t>
            </w:r>
          </w:p>
        </w:tc>
        <w:tc>
          <w:tcPr>
            <w:tcW w:w="1080" w:type="dxa"/>
            <w:vMerge w:val="restart"/>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21 030 222</w:t>
            </w:r>
          </w:p>
        </w:tc>
        <w:tc>
          <w:tcPr>
            <w:tcW w:w="1140" w:type="dxa"/>
            <w:vMerge w:val="restart"/>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21 030 222</w:t>
            </w:r>
          </w:p>
        </w:tc>
        <w:tc>
          <w:tcPr>
            <w:tcW w:w="1040" w:type="dxa"/>
            <w:vMerge w:val="restart"/>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21 030 222</w:t>
            </w:r>
          </w:p>
        </w:tc>
        <w:tc>
          <w:tcPr>
            <w:tcW w:w="1040" w:type="dxa"/>
            <w:vMerge w:val="restart"/>
            <w:shd w:val="clear" w:color="auto" w:fill="auto"/>
            <w:vAlign w:val="center"/>
          </w:tcPr>
          <w:p w:rsidR="00642351" w:rsidRPr="00642351"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21 030 222</w:t>
            </w:r>
          </w:p>
        </w:tc>
      </w:tr>
      <w:tr w:rsidR="00642351" w:rsidRPr="00642351" w:rsidTr="000C2EEF">
        <w:trPr>
          <w:trHeight w:val="142"/>
        </w:trPr>
        <w:tc>
          <w:tcPr>
            <w:tcW w:w="3620" w:type="dxa"/>
            <w:gridSpan w:val="3"/>
            <w:vMerge w:val="restart"/>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642351">
              <w:rPr>
                <w:rFonts w:asciiTheme="majorHAnsi" w:eastAsia="Times New Roman" w:hAnsiTheme="majorHAnsi" w:cstheme="majorHAnsi"/>
                <w:sz w:val="18"/>
                <w:szCs w:val="18"/>
                <w:lang w:eastAsia="en-US"/>
              </w:rPr>
              <w:t>- Пътнически превози“ ЕООД</w:t>
            </w:r>
          </w:p>
        </w:tc>
        <w:tc>
          <w:tcPr>
            <w:tcW w:w="1120" w:type="dxa"/>
            <w:shd w:val="clear" w:color="auto" w:fill="F2F2F2"/>
            <w:vAlign w:val="bottom"/>
          </w:tcPr>
          <w:p w:rsidR="00642351" w:rsidRPr="00642351" w:rsidRDefault="00642351" w:rsidP="000C2EEF">
            <w:pPr>
              <w:widowControl w:val="0"/>
              <w:autoSpaceDE w:val="0"/>
              <w:autoSpaceDN w:val="0"/>
              <w:adjustRightInd w:val="0"/>
              <w:spacing w:after="0"/>
              <w:jc w:val="left"/>
              <w:rPr>
                <w:rFonts w:asciiTheme="majorHAnsi" w:eastAsia="Times New Roman" w:hAnsiTheme="majorHAnsi" w:cstheme="majorHAnsi"/>
                <w:sz w:val="18"/>
                <w:szCs w:val="18"/>
                <w:lang w:eastAsia="en-US"/>
              </w:rPr>
            </w:pPr>
          </w:p>
        </w:tc>
        <w:tc>
          <w:tcPr>
            <w:tcW w:w="1080" w:type="dxa"/>
            <w:vMerge/>
            <w:shd w:val="clear" w:color="auto" w:fill="auto"/>
            <w:vAlign w:val="bottom"/>
          </w:tcPr>
          <w:p w:rsidR="00642351" w:rsidRPr="00642351" w:rsidRDefault="00642351" w:rsidP="000C2EEF">
            <w:pPr>
              <w:widowControl w:val="0"/>
              <w:autoSpaceDE w:val="0"/>
              <w:autoSpaceDN w:val="0"/>
              <w:adjustRightInd w:val="0"/>
              <w:spacing w:after="0"/>
              <w:jc w:val="left"/>
              <w:rPr>
                <w:rFonts w:asciiTheme="majorHAnsi" w:eastAsia="Times New Roman" w:hAnsiTheme="majorHAnsi" w:cstheme="majorHAnsi"/>
                <w:sz w:val="18"/>
                <w:szCs w:val="18"/>
                <w:lang w:eastAsia="en-US"/>
              </w:rPr>
            </w:pPr>
          </w:p>
        </w:tc>
        <w:tc>
          <w:tcPr>
            <w:tcW w:w="1140" w:type="dxa"/>
            <w:vMerge/>
            <w:shd w:val="clear" w:color="auto" w:fill="auto"/>
            <w:vAlign w:val="bottom"/>
          </w:tcPr>
          <w:p w:rsidR="00642351" w:rsidRPr="00642351" w:rsidRDefault="00642351" w:rsidP="000C2EEF">
            <w:pPr>
              <w:widowControl w:val="0"/>
              <w:autoSpaceDE w:val="0"/>
              <w:autoSpaceDN w:val="0"/>
              <w:adjustRightInd w:val="0"/>
              <w:spacing w:after="0"/>
              <w:jc w:val="left"/>
              <w:rPr>
                <w:rFonts w:asciiTheme="majorHAnsi" w:eastAsia="Times New Roman" w:hAnsiTheme="majorHAnsi" w:cstheme="majorHAnsi"/>
                <w:sz w:val="18"/>
                <w:szCs w:val="18"/>
                <w:lang w:eastAsia="en-US"/>
              </w:rPr>
            </w:pPr>
          </w:p>
        </w:tc>
        <w:tc>
          <w:tcPr>
            <w:tcW w:w="1040" w:type="dxa"/>
            <w:vMerge/>
            <w:shd w:val="clear" w:color="auto" w:fill="auto"/>
            <w:vAlign w:val="bottom"/>
          </w:tcPr>
          <w:p w:rsidR="00642351" w:rsidRPr="00642351" w:rsidRDefault="00642351" w:rsidP="000C2EEF">
            <w:pPr>
              <w:widowControl w:val="0"/>
              <w:autoSpaceDE w:val="0"/>
              <w:autoSpaceDN w:val="0"/>
              <w:adjustRightInd w:val="0"/>
              <w:spacing w:after="0"/>
              <w:jc w:val="left"/>
              <w:rPr>
                <w:rFonts w:asciiTheme="majorHAnsi" w:eastAsia="Times New Roman" w:hAnsiTheme="majorHAnsi" w:cstheme="majorHAnsi"/>
                <w:sz w:val="18"/>
                <w:szCs w:val="18"/>
                <w:lang w:eastAsia="en-US"/>
              </w:rPr>
            </w:pPr>
          </w:p>
        </w:tc>
        <w:tc>
          <w:tcPr>
            <w:tcW w:w="1040" w:type="dxa"/>
            <w:vMerge/>
            <w:shd w:val="clear" w:color="auto" w:fill="auto"/>
            <w:vAlign w:val="bottom"/>
          </w:tcPr>
          <w:p w:rsidR="00642351" w:rsidRPr="00642351" w:rsidRDefault="00642351" w:rsidP="000C2EEF">
            <w:pPr>
              <w:widowControl w:val="0"/>
              <w:autoSpaceDE w:val="0"/>
              <w:autoSpaceDN w:val="0"/>
              <w:adjustRightInd w:val="0"/>
              <w:spacing w:after="0"/>
              <w:jc w:val="left"/>
              <w:rPr>
                <w:rFonts w:asciiTheme="majorHAnsi" w:eastAsia="Times New Roman" w:hAnsiTheme="majorHAnsi" w:cstheme="majorHAnsi"/>
                <w:sz w:val="18"/>
                <w:szCs w:val="18"/>
                <w:lang w:eastAsia="en-US"/>
              </w:rPr>
            </w:pPr>
          </w:p>
        </w:tc>
      </w:tr>
      <w:tr w:rsidR="00642351" w:rsidRPr="00642351" w:rsidTr="000C2EEF">
        <w:trPr>
          <w:trHeight w:val="70"/>
        </w:trPr>
        <w:tc>
          <w:tcPr>
            <w:tcW w:w="3620" w:type="dxa"/>
            <w:gridSpan w:val="3"/>
            <w:vMerge/>
            <w:tcBorders>
              <w:bottom w:val="single" w:sz="4" w:space="0" w:color="auto"/>
            </w:tcBorders>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120" w:type="dxa"/>
            <w:tcBorders>
              <w:bottom w:val="single" w:sz="4" w:space="0" w:color="auto"/>
            </w:tcBorders>
            <w:shd w:val="clear" w:color="auto" w:fill="F2F2F2"/>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080" w:type="dxa"/>
            <w:tcBorders>
              <w:bottom w:val="single" w:sz="4" w:space="0" w:color="auto"/>
            </w:tcBorders>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140" w:type="dxa"/>
            <w:tcBorders>
              <w:bottom w:val="single" w:sz="4" w:space="0" w:color="auto"/>
            </w:tcBorders>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040" w:type="dxa"/>
            <w:tcBorders>
              <w:bottom w:val="single" w:sz="4" w:space="0" w:color="auto"/>
            </w:tcBorders>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040" w:type="dxa"/>
            <w:tcBorders>
              <w:bottom w:val="single" w:sz="4" w:space="0" w:color="auto"/>
            </w:tcBorders>
            <w:shd w:val="clear" w:color="auto" w:fill="auto"/>
            <w:vAlign w:val="bottom"/>
          </w:tcPr>
          <w:p w:rsidR="00642351" w:rsidRPr="00642351"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r>
    </w:tbl>
    <w:p w:rsidR="00642351" w:rsidRPr="00642351" w:rsidRDefault="00642351" w:rsidP="00AD1AF9">
      <w:pPr>
        <w:rPr>
          <w:b/>
          <w:sz w:val="20"/>
          <w:szCs w:val="20"/>
        </w:rPr>
      </w:pPr>
    </w:p>
    <w:p w:rsidR="00505870" w:rsidRPr="00505870" w:rsidRDefault="00505870" w:rsidP="002226EC">
      <w:pPr>
        <w:spacing w:before="120" w:after="0"/>
        <w:rPr>
          <w:rFonts w:eastAsia="Times New Roman"/>
        </w:rPr>
      </w:pPr>
      <w:r w:rsidRPr="00505870">
        <w:rPr>
          <w:rFonts w:eastAsia="Times New Roman"/>
        </w:rPr>
        <w:t>Основните приоритети на държавното финансово подпомагане на реалния сектор са насочени към предоставяне на средства под формата на субсидии, компенсации и капиталови трансфери за нефинансови предприятия от сектори транспорт и съобщения, както и средства за изпълнение на програми за отстраняване на нанесените щети върху околната среда, настъпили от минали действия или бездействия, при приватизация.</w:t>
      </w:r>
    </w:p>
    <w:p w:rsidR="00505870" w:rsidRDefault="00505870" w:rsidP="002226EC">
      <w:pPr>
        <w:spacing w:before="120" w:after="0"/>
        <w:rPr>
          <w:rFonts w:eastAsia="Times New Roman"/>
        </w:rPr>
      </w:pPr>
      <w:r w:rsidRPr="00505870">
        <w:rPr>
          <w:rFonts w:eastAsia="Times New Roman"/>
        </w:rPr>
        <w:t>Със средствата от държавния бюджет за нефинансовите предприятия се покриват само необходимите разходи, възникнали при изпълнение на възложените им от държавата задължения, свързани с предоставяне на обществени услуги, с цел избягване на свръхкомпенсация на предприятията. Предоставянето на средствата е обвързано с конкретни изисквания и критерии, като по този начин се цели повишаване на качеството на изпълняваните услуги и ефективно разходване на средствата от държавния бюджет за съответната дейност.</w:t>
      </w:r>
    </w:p>
    <w:p w:rsidR="00505870" w:rsidRDefault="00505870" w:rsidP="002226EC">
      <w:pPr>
        <w:spacing w:before="120" w:after="0"/>
        <w:rPr>
          <w:rFonts w:eastAsia="Times New Roman"/>
        </w:rPr>
      </w:pPr>
    </w:p>
    <w:p w:rsidR="00987BA4" w:rsidRPr="00183E02" w:rsidRDefault="00AD1AF9" w:rsidP="002226EC">
      <w:pPr>
        <w:spacing w:before="120" w:after="0"/>
        <w:rPr>
          <w:rFonts w:eastAsia="Times New Roman"/>
        </w:rPr>
      </w:pPr>
      <w:r w:rsidRPr="00CC6510">
        <w:rPr>
          <w:rFonts w:eastAsia="Times New Roman"/>
        </w:rPr>
        <w:t xml:space="preserve">В това направление са разчетени </w:t>
      </w:r>
      <w:r w:rsidRPr="00C965A2">
        <w:rPr>
          <w:rFonts w:eastAsia="Times New Roman"/>
          <w:b/>
          <w:color w:val="852010" w:themeColor="accent3" w:themeShade="BF"/>
        </w:rPr>
        <w:t>субсидии и други текущи трансфери</w:t>
      </w:r>
      <w:r w:rsidRPr="00CC6510">
        <w:rPr>
          <w:rFonts w:eastAsia="Times New Roman"/>
        </w:rPr>
        <w:t xml:space="preserve"> за нефинансови предприятия</w:t>
      </w:r>
      <w:r w:rsidR="00222A43" w:rsidRPr="00CC6510">
        <w:rPr>
          <w:rFonts w:eastAsia="Times New Roman"/>
        </w:rPr>
        <w:t>, както следва:</w:t>
      </w:r>
    </w:p>
    <w:p w:rsidR="00852AD0" w:rsidRPr="00CC6510" w:rsidRDefault="00852AD0" w:rsidP="002226EC">
      <w:pPr>
        <w:numPr>
          <w:ilvl w:val="0"/>
          <w:numId w:val="5"/>
        </w:numPr>
        <w:spacing w:before="120" w:after="0"/>
        <w:rPr>
          <w:rFonts w:eastAsia="Times New Roman"/>
          <w:b/>
          <w:i/>
        </w:rPr>
      </w:pPr>
      <w:r w:rsidRPr="00CC6510">
        <w:rPr>
          <w:rFonts w:eastAsia="Times New Roman"/>
          <w:b/>
          <w:i/>
        </w:rPr>
        <w:t>„Национална компания „Железопътна инфраструктура“</w:t>
      </w:r>
    </w:p>
    <w:p w:rsidR="00EF6E3A" w:rsidRPr="00EF6E3A" w:rsidRDefault="00EF6E3A" w:rsidP="002226EC">
      <w:pPr>
        <w:spacing w:before="120" w:after="0"/>
        <w:rPr>
          <w:rFonts w:eastAsia="Times New Roman"/>
        </w:rPr>
      </w:pPr>
      <w:r w:rsidRPr="00EF6E3A">
        <w:rPr>
          <w:rFonts w:eastAsia="Times New Roman"/>
        </w:rPr>
        <w:t>В изпълнение на чл. 25, ал. 1 от Закона за железопътния транспорт, държавата участва във финансирането на дейностите по изграждането, поддържането, развитието и експлоатацията на железопътната инфраструктура. Съгласно действащото законодателство, стопанисването и управлението на предоставените активи – публична и частна държавна собственост, и изпълнението на посочените дейности е възложено на Национална компания „Железопътна инфраструктура</w:t>
      </w:r>
      <w:r w:rsidR="00264ABB">
        <w:rPr>
          <w:rFonts w:eastAsia="Times New Roman"/>
        </w:rPr>
        <w:t>“</w:t>
      </w:r>
      <w:r w:rsidRPr="00EF6E3A">
        <w:rPr>
          <w:rFonts w:eastAsia="Times New Roman"/>
        </w:rPr>
        <w:t xml:space="preserve">. </w:t>
      </w:r>
    </w:p>
    <w:p w:rsidR="00EF6E3A" w:rsidRPr="00EF6E3A" w:rsidRDefault="00EF6E3A" w:rsidP="002226EC">
      <w:pPr>
        <w:spacing w:before="120" w:after="0"/>
        <w:rPr>
          <w:rFonts w:eastAsia="Times New Roman"/>
        </w:rPr>
      </w:pPr>
      <w:r w:rsidRPr="00EF6E3A">
        <w:rPr>
          <w:rFonts w:eastAsia="Times New Roman"/>
        </w:rPr>
        <w:t xml:space="preserve">Предвижда се запазване на размера на средствата за субсидии за периода 2020-2022 г. на нивото от 2019 г. – </w:t>
      </w:r>
      <w:r w:rsidRPr="00264ABB">
        <w:rPr>
          <w:rFonts w:eastAsia="Times New Roman"/>
        </w:rPr>
        <w:t xml:space="preserve">по 145,0 млн. лв. на година. Чрез тези средства ще се осигури финансирането и изпълнението на дейностите </w:t>
      </w:r>
      <w:r w:rsidRPr="00EF6E3A">
        <w:rPr>
          <w:rFonts w:eastAsia="Times New Roman"/>
        </w:rPr>
        <w:t xml:space="preserve">по текущо поддържане и експлоатация на железопътната инфраструктура. </w:t>
      </w:r>
    </w:p>
    <w:p w:rsidR="00EF6E3A" w:rsidRDefault="00EF6E3A" w:rsidP="002226EC">
      <w:pPr>
        <w:spacing w:before="120" w:after="0"/>
        <w:rPr>
          <w:rFonts w:eastAsia="Times New Roman"/>
        </w:rPr>
      </w:pPr>
      <w:r w:rsidRPr="00EF6E3A">
        <w:rPr>
          <w:rFonts w:eastAsia="Times New Roman"/>
        </w:rPr>
        <w:t>Предвидените средства за субсидии са съобразени с тенденциите и възможностите за реализиране на приходи от други дейности на управителя на железопътната инфраструктура, както и с очакванията по отношение на размера на инфраструктурните такси за го</w:t>
      </w:r>
      <w:r>
        <w:rPr>
          <w:rFonts w:eastAsia="Times New Roman"/>
        </w:rPr>
        <w:t>дините от периода 2020-2022 г.</w:t>
      </w:r>
    </w:p>
    <w:p w:rsidR="00852AD0" w:rsidRPr="00CC6510" w:rsidRDefault="00852AD0" w:rsidP="002226EC">
      <w:pPr>
        <w:numPr>
          <w:ilvl w:val="0"/>
          <w:numId w:val="5"/>
        </w:numPr>
        <w:spacing w:before="120" w:after="0"/>
        <w:rPr>
          <w:rFonts w:eastAsia="Times New Roman"/>
          <w:b/>
          <w:i/>
        </w:rPr>
      </w:pPr>
      <w:r w:rsidRPr="00CC6510">
        <w:rPr>
          <w:rFonts w:eastAsia="Times New Roman"/>
          <w:b/>
          <w:i/>
        </w:rPr>
        <w:t>„БДЖ-Пътнически превози</w:t>
      </w:r>
      <w:r w:rsidR="00264ABB">
        <w:rPr>
          <w:rFonts w:eastAsia="Times New Roman"/>
          <w:b/>
          <w:i/>
        </w:rPr>
        <w:t>“</w:t>
      </w:r>
      <w:r w:rsidRPr="00CC6510">
        <w:rPr>
          <w:rFonts w:eastAsia="Times New Roman"/>
          <w:b/>
          <w:i/>
        </w:rPr>
        <w:t xml:space="preserve"> ЕООД </w:t>
      </w:r>
    </w:p>
    <w:p w:rsidR="008A2079" w:rsidRPr="008A2079" w:rsidRDefault="008A2079" w:rsidP="002226EC">
      <w:pPr>
        <w:spacing w:before="120" w:after="0"/>
        <w:rPr>
          <w:rFonts w:eastAsia="Times New Roman"/>
        </w:rPr>
      </w:pPr>
      <w:r w:rsidRPr="008A2079">
        <w:rPr>
          <w:rFonts w:eastAsia="Times New Roman"/>
        </w:rPr>
        <w:t>Средствата за субсидии се предоставят на „БДЖ-Пътнически превози“ ЕООД за осигуряване изпълнението на възложеното му задължение за извършване на обществени превозни услуги по договор, сключен между министъра на транспорта, информационните технологии и съобщенията и дружеството, като те се предоставят чрез бюджета на Министерство</w:t>
      </w:r>
      <w:r w:rsidR="00FF05F6">
        <w:rPr>
          <w:rFonts w:eastAsia="Times New Roman"/>
        </w:rPr>
        <w:t>то</w:t>
      </w:r>
      <w:r w:rsidRPr="008A2079">
        <w:rPr>
          <w:rFonts w:eastAsia="Times New Roman"/>
        </w:rPr>
        <w:t xml:space="preserve"> на транспорта, информационните технологии и съобщенията.</w:t>
      </w:r>
      <w:r>
        <w:rPr>
          <w:rFonts w:eastAsia="Times New Roman"/>
        </w:rPr>
        <w:t xml:space="preserve"> За периода 2020-2022</w:t>
      </w:r>
      <w:r w:rsidRPr="008A2079">
        <w:rPr>
          <w:rFonts w:eastAsia="Times New Roman"/>
        </w:rPr>
        <w:t xml:space="preserve"> г. се предвижда да бъдат в размер </w:t>
      </w:r>
      <w:r w:rsidRPr="001A13B3">
        <w:rPr>
          <w:rFonts w:eastAsia="Times New Roman"/>
        </w:rPr>
        <w:t xml:space="preserve">на </w:t>
      </w:r>
      <w:r w:rsidR="00CB42DA" w:rsidRPr="001A13B3">
        <w:rPr>
          <w:rFonts w:eastAsia="Times New Roman"/>
        </w:rPr>
        <w:t xml:space="preserve">175,0 </w:t>
      </w:r>
      <w:r w:rsidRPr="001A13B3">
        <w:rPr>
          <w:rFonts w:eastAsia="Times New Roman"/>
        </w:rPr>
        <w:t xml:space="preserve">млн. лв. </w:t>
      </w:r>
      <w:r w:rsidRPr="008A2079">
        <w:rPr>
          <w:rFonts w:eastAsia="Times New Roman"/>
        </w:rPr>
        <w:t>на година.</w:t>
      </w:r>
    </w:p>
    <w:p w:rsidR="000A0E3C" w:rsidRPr="00CC6510" w:rsidRDefault="000A0E3C" w:rsidP="002226EC">
      <w:pPr>
        <w:spacing w:before="120" w:after="0"/>
        <w:rPr>
          <w:rFonts w:eastAsia="Times New Roman"/>
        </w:rPr>
      </w:pPr>
      <w:r w:rsidRPr="00366DF2">
        <w:rPr>
          <w:rFonts w:eastAsia="Times New Roman"/>
          <w:b/>
          <w:color w:val="852010" w:themeColor="accent3" w:themeShade="BF"/>
        </w:rPr>
        <w:t xml:space="preserve">Капиталовите трансфери </w:t>
      </w:r>
      <w:r w:rsidRPr="00CC6510">
        <w:rPr>
          <w:rFonts w:eastAsia="Times New Roman"/>
        </w:rPr>
        <w:t>в сектора на транспорта са насочени към:</w:t>
      </w:r>
    </w:p>
    <w:p w:rsidR="000A0E3C" w:rsidRDefault="000A0E3C" w:rsidP="002226EC">
      <w:pPr>
        <w:numPr>
          <w:ilvl w:val="0"/>
          <w:numId w:val="5"/>
        </w:numPr>
        <w:spacing w:before="120" w:after="0"/>
        <w:rPr>
          <w:rFonts w:eastAsia="Times New Roman"/>
          <w:b/>
          <w:i/>
        </w:rPr>
      </w:pPr>
      <w:r w:rsidRPr="00CC6510">
        <w:rPr>
          <w:rFonts w:eastAsia="Times New Roman"/>
          <w:b/>
          <w:i/>
        </w:rPr>
        <w:t>Национална компания „Железопътна инфраструктура”</w:t>
      </w:r>
    </w:p>
    <w:p w:rsidR="00CB42DA" w:rsidRPr="00CA4264" w:rsidRDefault="00CB42DA" w:rsidP="00CB42DA">
      <w:pPr>
        <w:spacing w:before="120" w:after="0"/>
        <w:rPr>
          <w:rFonts w:eastAsia="Times New Roman"/>
        </w:rPr>
      </w:pPr>
      <w:r w:rsidRPr="00CA4264">
        <w:rPr>
          <w:rFonts w:eastAsia="Times New Roman"/>
        </w:rPr>
        <w:t>Цялостната инвестиционна програма на Национална компа</w:t>
      </w:r>
      <w:r w:rsidR="00264ABB">
        <w:rPr>
          <w:rFonts w:eastAsia="Times New Roman"/>
        </w:rPr>
        <w:t>ния „Железопътна инфраструктура“</w:t>
      </w:r>
      <w:r w:rsidRPr="00CA4264">
        <w:rPr>
          <w:rFonts w:eastAsia="Times New Roman"/>
        </w:rPr>
        <w:t>, свързана с изграждането, рехабилитацията и развитието на железопътната инфраструктура, се осъществява със средства от Оперативна програма „Транспорт и транспортна инфраструктура</w:t>
      </w:r>
      <w:r w:rsidR="00264ABB">
        <w:rPr>
          <w:rFonts w:eastAsia="Times New Roman"/>
        </w:rPr>
        <w:t>“</w:t>
      </w:r>
      <w:r w:rsidRPr="00CA4264">
        <w:rPr>
          <w:rFonts w:eastAsia="Times New Roman"/>
        </w:rPr>
        <w:t xml:space="preserve"> 2014-2020 г. и Механизма за свързване на Европа и със средства, предвидени в централния бюджет под формата на капиталови трансфери. </w:t>
      </w:r>
    </w:p>
    <w:p w:rsidR="00CB42DA" w:rsidRPr="00CA4264" w:rsidRDefault="00CB42DA" w:rsidP="00CB42DA">
      <w:pPr>
        <w:spacing w:before="120" w:after="0"/>
        <w:rPr>
          <w:rFonts w:eastAsia="Times New Roman"/>
        </w:rPr>
      </w:pPr>
      <w:r w:rsidRPr="00CA4264">
        <w:rPr>
          <w:rFonts w:eastAsia="Times New Roman"/>
        </w:rPr>
        <w:t>На този етап, инвестиционната програма е насочена към ускорена реализация на проекти, свързани с европейските транспортни оси и коридори на територията на страната, с оглед привеждане на инфраструктурата в съответствие с европейските норми, изисквания и стандарти, и повишаване на качеството и нивото на безопасност на железопътните превози.</w:t>
      </w:r>
    </w:p>
    <w:p w:rsidR="00CB42DA" w:rsidRPr="00CA4264" w:rsidRDefault="00CB42DA" w:rsidP="00CB42DA">
      <w:pPr>
        <w:spacing w:before="120" w:after="0"/>
        <w:rPr>
          <w:rFonts w:eastAsia="Times New Roman"/>
        </w:rPr>
      </w:pPr>
      <w:r w:rsidRPr="00CA4264">
        <w:rPr>
          <w:rFonts w:eastAsia="Times New Roman"/>
        </w:rPr>
        <w:t xml:space="preserve">Със средствата за капиталови трансфери се финансират проектите от железопътната инфраструктура, за които не се осигуряват средства от европейски източници - Оперативна програма „Транспорт и транспортна инфраструктура” 2014-2020 г. и Механизма за свързване на Европа. В основната си част капиталовите трансфери се насочват за поддържане на техническото и експлоатационното състояние на съществуващата железопътна инфраструктура и съоръженията по сигнализация и безопасно управление на превозната дейност. </w:t>
      </w:r>
    </w:p>
    <w:p w:rsidR="00CB42DA" w:rsidRPr="00CA4264" w:rsidRDefault="00CB42DA" w:rsidP="00CB42DA">
      <w:pPr>
        <w:spacing w:before="120" w:after="0"/>
        <w:rPr>
          <w:rFonts w:eastAsia="Times New Roman"/>
        </w:rPr>
      </w:pPr>
      <w:r w:rsidRPr="00CA4264">
        <w:rPr>
          <w:rFonts w:eastAsia="Times New Roman"/>
        </w:rPr>
        <w:t>Освен това, през периода 2020-2022 г. е предвидена възможност част от капиталовите трансфери да се насочват и за осигуряване на собствения принос на бенефициента – Национална компания „Железопътна инфраструктура” по Механизма за свързване на Европа, както и към възстановяване на предоставената временна финансова помощ на предприятието в изпълнение на ПМС № 62/2016 г. за одобряване на допълнителни плащания от централния бюджет по бюджета на МТИТС за 2016 г. за приключването на инвестиционни проекти на Национална компания „Железопътна инфраструктура” по Оперативна програма „Транспорт“ 2007-2013 г.</w:t>
      </w:r>
    </w:p>
    <w:p w:rsidR="00CB42DA" w:rsidRPr="00CA4264" w:rsidRDefault="00CB42DA" w:rsidP="00CB42DA">
      <w:pPr>
        <w:spacing w:before="120" w:after="0"/>
        <w:rPr>
          <w:rFonts w:eastAsia="Times New Roman"/>
        </w:rPr>
      </w:pPr>
      <w:r w:rsidRPr="00CA4264">
        <w:rPr>
          <w:rFonts w:eastAsia="Times New Roman"/>
        </w:rPr>
        <w:t xml:space="preserve">За периода 2020-2022 г. се предвиждат средства за капиталови трансфери от държавния бюджет в размер на </w:t>
      </w:r>
      <w:r w:rsidRPr="00264ABB">
        <w:t>120,0</w:t>
      </w:r>
      <w:r w:rsidRPr="00264ABB">
        <w:rPr>
          <w:rFonts w:eastAsia="Times New Roman"/>
        </w:rPr>
        <w:t xml:space="preserve"> млн. лв. на </w:t>
      </w:r>
      <w:r w:rsidRPr="00CA4264">
        <w:rPr>
          <w:rFonts w:eastAsia="Times New Roman"/>
        </w:rPr>
        <w:t xml:space="preserve">година и </w:t>
      </w:r>
      <w:r w:rsidRPr="00A97B9C">
        <w:rPr>
          <w:rFonts w:eastAsia="Times New Roman"/>
        </w:rPr>
        <w:t>запазването</w:t>
      </w:r>
      <w:r w:rsidRPr="00CA4264">
        <w:rPr>
          <w:rFonts w:eastAsia="Times New Roman"/>
        </w:rPr>
        <w:t xml:space="preserve"> им на равнището от 2019 г. Разпределението на средствата в рамките на отделните години от периода 2020-2022 г. следва да се осъществява в съответствие с провежданата от МТИТС политика по отношение на железопътната инфраструктура и предвидените мероприятия и дейности в Годишните програми за изграждане, поддържане, развитие и експлоатация на железопътната инфраструктура.</w:t>
      </w:r>
    </w:p>
    <w:p w:rsidR="00CB42DA" w:rsidRDefault="00CB42DA" w:rsidP="00CB42DA">
      <w:pPr>
        <w:numPr>
          <w:ilvl w:val="0"/>
          <w:numId w:val="5"/>
        </w:numPr>
        <w:spacing w:before="120" w:after="0"/>
        <w:rPr>
          <w:rFonts w:eastAsia="Times New Roman"/>
          <w:b/>
          <w:i/>
        </w:rPr>
      </w:pPr>
      <w:r w:rsidRPr="00CC6510">
        <w:rPr>
          <w:rFonts w:eastAsia="Times New Roman"/>
          <w:b/>
          <w:i/>
        </w:rPr>
        <w:t>„БДЖ – Пътнически превози” ЕООД</w:t>
      </w:r>
    </w:p>
    <w:p w:rsidR="00CB42DA" w:rsidRPr="00264ABB" w:rsidRDefault="00CB42DA" w:rsidP="00CB42DA">
      <w:pPr>
        <w:spacing w:before="120" w:after="0"/>
        <w:rPr>
          <w:rFonts w:eastAsia="Times New Roman"/>
        </w:rPr>
      </w:pPr>
      <w:r w:rsidRPr="00AF6BA6">
        <w:rPr>
          <w:rFonts w:eastAsia="Times New Roman"/>
        </w:rPr>
        <w:t xml:space="preserve">За всяка година от периода 2020-2022 г. се предвиждат средства за капиталови трансфери от държавния бюджет, като са планирани </w:t>
      </w:r>
      <w:r w:rsidRPr="00264ABB">
        <w:rPr>
          <w:rFonts w:eastAsia="Times New Roman"/>
        </w:rPr>
        <w:t xml:space="preserve">съответно </w:t>
      </w:r>
      <w:r w:rsidRPr="00264ABB">
        <w:t>139,0</w:t>
      </w:r>
      <w:r w:rsidRPr="00264ABB">
        <w:rPr>
          <w:rFonts w:eastAsia="Times New Roman"/>
        </w:rPr>
        <w:t xml:space="preserve"> млн. лв. за 2020 г. и по </w:t>
      </w:r>
      <w:r w:rsidRPr="00264ABB">
        <w:t>39,0</w:t>
      </w:r>
      <w:r w:rsidRPr="00264ABB">
        <w:rPr>
          <w:rFonts w:eastAsia="Times New Roman"/>
        </w:rPr>
        <w:t xml:space="preserve"> млн. лв. за 2021 и 2022 г. С предвидените средства за капиталови трансфери ще се даде възможност, макар и частично, да се осигури финансиране за закупуване на най-необходимия подвижен състав, както и за необходими ремонти на съществуваща техника. Разпределението на средствата в рамките на отделните години от периода 2020-2022 г. следва да се осъществява в съответствие с провежданата от МТИТС политика по отношение на железопътния транспорт и предвидените в тази връзка мероприятия и дейности.</w:t>
      </w:r>
    </w:p>
    <w:p w:rsidR="00CB42DA" w:rsidRPr="00264ABB" w:rsidRDefault="00CB42DA" w:rsidP="00CB42DA">
      <w:pPr>
        <w:numPr>
          <w:ilvl w:val="0"/>
          <w:numId w:val="5"/>
        </w:numPr>
        <w:spacing w:before="120" w:after="0"/>
        <w:rPr>
          <w:rFonts w:eastAsia="Times New Roman"/>
          <w:b/>
          <w:i/>
        </w:rPr>
      </w:pPr>
      <w:r w:rsidRPr="00264ABB">
        <w:rPr>
          <w:rFonts w:eastAsia="Times New Roman"/>
          <w:b/>
          <w:i/>
        </w:rPr>
        <w:t xml:space="preserve">ДП „Пристанищна инфраструктура” </w:t>
      </w:r>
    </w:p>
    <w:p w:rsidR="00CB42DA" w:rsidRPr="00264ABB" w:rsidRDefault="00CB42DA" w:rsidP="00CB42DA">
      <w:pPr>
        <w:spacing w:before="120" w:after="0"/>
      </w:pPr>
      <w:r w:rsidRPr="00264ABB">
        <w:t>Капиталовите трансфери през периода 2020-2022 г. се предвижда да бъдат насочени както за ремонтно-възстановителни, рехабилитационни и укрепителни дейности на пристанищната инфраструктура, така и за модернизация на пристанищните съоръжения и дейности, свързани с тяхната проходимост.</w:t>
      </w:r>
    </w:p>
    <w:p w:rsidR="00CB42DA" w:rsidRPr="00264ABB" w:rsidRDefault="00CB42DA" w:rsidP="00CB42DA">
      <w:pPr>
        <w:spacing w:before="120" w:after="0"/>
      </w:pPr>
      <w:r w:rsidRPr="00264ABB">
        <w:t>Размерът на предвидените капиталови трансфери от държавния бюджет за периода 2020-2022 г. е 111,0 млн. лв. за 2020 г., 131,0 млн. лв. за 2021 г. и 11,0 млн. лв. за 2022 г.</w:t>
      </w:r>
    </w:p>
    <w:p w:rsidR="00CB42DA" w:rsidRDefault="00CB42DA" w:rsidP="00CB42DA">
      <w:pPr>
        <w:spacing w:before="120" w:after="0"/>
      </w:pPr>
      <w:r w:rsidRPr="00264ABB">
        <w:t xml:space="preserve">Допълнителните средства за 2020 и 2021 г., в общ размер на 220,0 млн. лв., са за развитие на пристанищната инфраструктура в района на град Варна във връзка със съвременните тенденции за увеличаване на големината на корабите, което поставя определени </w:t>
      </w:r>
      <w:r>
        <w:t>изисквания относно дълбочината на подходите към пристанищните терминали. Тези инвестиционни решения ще позволят бързото изграждане и функциониране на контейнерен терминал, два терминала за зърно, терминал за течни товари (сярна киселина) и терминал за петролни продукти.</w:t>
      </w:r>
    </w:p>
    <w:p w:rsidR="00CB42DA" w:rsidRPr="00CC6510" w:rsidRDefault="00CB42DA" w:rsidP="00CB42DA">
      <w:pPr>
        <w:spacing w:before="120" w:after="0"/>
      </w:pPr>
      <w:r w:rsidRPr="00906CF5">
        <w:t xml:space="preserve">В областта на транспорта са предвидени и </w:t>
      </w:r>
      <w:r w:rsidRPr="00AF6BA6">
        <w:rPr>
          <w:b/>
        </w:rPr>
        <w:t xml:space="preserve">субсидиите за превоз на пътници </w:t>
      </w:r>
      <w:r w:rsidRPr="00AF6BA6">
        <w:t>по нерентабилни линии във вътрешноградския транспорт и транспорта в планински и други райони, както и</w:t>
      </w:r>
      <w:r w:rsidRPr="00AF6BA6">
        <w:rPr>
          <w:b/>
        </w:rPr>
        <w:t xml:space="preserve"> средствата за компенсиране на намалените приходи </w:t>
      </w:r>
      <w:r w:rsidRPr="00AF6BA6">
        <w:t>от прилагането на цени за пътуване, предвидени в нормативните актове за определени категории пътници.</w:t>
      </w:r>
    </w:p>
    <w:p w:rsidR="00CB42DA" w:rsidRPr="00366DF2" w:rsidRDefault="00CB42DA" w:rsidP="003403BF">
      <w:pPr>
        <w:pStyle w:val="ListParagraph"/>
        <w:numPr>
          <w:ilvl w:val="0"/>
          <w:numId w:val="20"/>
        </w:numPr>
        <w:spacing w:before="120" w:after="0"/>
        <w:rPr>
          <w:b/>
          <w:color w:val="852010" w:themeColor="accent3" w:themeShade="BF"/>
        </w:rPr>
      </w:pPr>
      <w:r w:rsidRPr="00366DF2">
        <w:rPr>
          <w:b/>
          <w:color w:val="852010" w:themeColor="accent3" w:themeShade="BF"/>
        </w:rPr>
        <w:t>Субсидии за превоз на пътници по нерентабилни линии във вътрешноградския транспорт и транспорта в планински и други райони</w:t>
      </w:r>
    </w:p>
    <w:p w:rsidR="00CB42DA" w:rsidRDefault="00CB42DA" w:rsidP="00CB42DA">
      <w:pPr>
        <w:spacing w:before="120" w:after="0"/>
      </w:pPr>
      <w:r>
        <w:t>В съответствие с § 4, ал. 1, т. 1 от заключителните разпоредби на Закона за автомобилните превози, в държавния бюджет се предвиждат средства за субсидии за превоз на пътници по нерентабилни линии във вътрешноградския транспорт и транспорта в планински и други райони. Тези превози имат предимно социална насоченост – масови превози до и от работните места в чертите на града, и превози до малки отдалечени селища, осигуряващи връзка с общинския център.</w:t>
      </w:r>
    </w:p>
    <w:p w:rsidR="00CB42DA" w:rsidRDefault="00CB42DA" w:rsidP="00CB42DA">
      <w:pPr>
        <w:spacing w:before="120" w:after="0"/>
      </w:pPr>
      <w:r>
        <w:t>Чрез този вид финансово подпомагане държавата осигурява задоволяване потребностите на населението от пътнически превози при определено гарантирано качествено ниво и достъпни цени, съобразени с покупателната способност, посредством въвеждането на определени задължения за превоз за транспортните оператори. Изпълнението на параметрите за качество, надеждност и достъпни цени на автомобилните превози ще съдейства и за постигане на целите за повишаване на мобилността и комуникациите на населението, минимизиране на регионалните различия, подобряване на заетостта и намаляване на безработицата. В резултат от изпълнението на този социален ангажимент се очаква постигане на основни правителствени приоритети като социално включване и повишаване на жизнения стандарт на населението.</w:t>
      </w:r>
    </w:p>
    <w:p w:rsidR="00CB42DA" w:rsidRPr="00264ABB" w:rsidRDefault="00CB42DA" w:rsidP="00CB42DA">
      <w:pPr>
        <w:spacing w:before="120" w:after="0"/>
      </w:pPr>
      <w:r>
        <w:t xml:space="preserve">За осъществяване на превозите на пътници, в съответствие със сключените договори между автомобилните превозвачи и общините, се предвижда да бъде </w:t>
      </w:r>
      <w:r w:rsidRPr="00A97B9C">
        <w:t>увеличен</w:t>
      </w:r>
      <w:r>
        <w:t xml:space="preserve"> размера на средствата за субсидии за превоз на пътници по нерентабилни линии във </w:t>
      </w:r>
      <w:r w:rsidRPr="00264ABB">
        <w:t xml:space="preserve">вътрешноградския транспорт и транспорта в планински и други райони. </w:t>
      </w:r>
    </w:p>
    <w:p w:rsidR="00CB42DA" w:rsidRPr="00264ABB" w:rsidRDefault="00CB42DA" w:rsidP="00CB42DA">
      <w:pPr>
        <w:spacing w:before="120" w:after="0"/>
      </w:pPr>
      <w:r w:rsidRPr="00264ABB">
        <w:t xml:space="preserve">За 2020 г. средствата се увеличават с 8,0 млн. лв. спрямо нивото от 2019 г., а именно предвидени са 36,0 млн. лв., в т.ч. 11,0 млн. лв. за Столична община - вътрешноградски транспорт и 25,0 млн. лв. за превоз на пътници по нерентабилни линии във вътрешноградския транспорт и транспорта в планински и други райони. </w:t>
      </w:r>
    </w:p>
    <w:p w:rsidR="00CB42DA" w:rsidRDefault="00CB42DA" w:rsidP="00CB42DA">
      <w:pPr>
        <w:spacing w:before="120" w:after="0"/>
      </w:pPr>
      <w:r w:rsidRPr="00264ABB">
        <w:t xml:space="preserve">Размерът на средствата за 2021 г. и 2022 г. се запазва на нивото от 2020 г. – по 36,0 млн. лв. на година, в т.ч. 11,0 млн. лв. за Столична община - вътрешноградски транспорт и 25,0 млн. лв. за превоз на пътници по нерентабилни линии във вътрешноградския </w:t>
      </w:r>
      <w:r w:rsidRPr="00A97B9C">
        <w:t>транспорт и транспорта в планински и други райони.</w:t>
      </w:r>
    </w:p>
    <w:p w:rsidR="00CB42DA" w:rsidRDefault="00CB42DA" w:rsidP="00CB42DA">
      <w:pPr>
        <w:spacing w:before="120" w:after="0"/>
      </w:pPr>
    </w:p>
    <w:p w:rsidR="00CB42DA" w:rsidRPr="00366DF2" w:rsidRDefault="00CB42DA" w:rsidP="003403BF">
      <w:pPr>
        <w:pStyle w:val="ListParagraph"/>
        <w:numPr>
          <w:ilvl w:val="0"/>
          <w:numId w:val="21"/>
        </w:numPr>
        <w:spacing w:before="120" w:after="0"/>
        <w:rPr>
          <w:b/>
          <w:color w:val="852010" w:themeColor="accent3" w:themeShade="BF"/>
        </w:rPr>
      </w:pPr>
      <w:r w:rsidRPr="00366DF2">
        <w:rPr>
          <w:b/>
          <w:color w:val="852010" w:themeColor="accent3" w:themeShade="BF"/>
        </w:rPr>
        <w:t xml:space="preserve">Средства за компенсиране на намалените приходи от прилагането на цени за пътуване, предвидени в нормативните актове за определени категории пътници </w:t>
      </w:r>
    </w:p>
    <w:p w:rsidR="00CB42DA" w:rsidRDefault="00CB42DA" w:rsidP="00CB42DA">
      <w:pPr>
        <w:spacing w:before="120" w:after="0"/>
      </w:pPr>
      <w:r>
        <w:t>Предоставянето на права за безплатни и по намалени цени превози в обществения транспорт /железопътен, автомобилен или друг вид транспорт/ на определени категории правоимащи лица е елемент на провежданата социална политика. Средствата за компенсиране на намалените приходи от прилагането на цени за пътуване, предвидени в нормативните актове за определени категории пътници, се осигуряват ежегодно от държавния бюджет на основание § 4, ал. 1, т. 2 от заключителните разпоредби на Закона за автомобилните превози, чл. 52 от Закона за железопътния транспорт, Закона за Министерството на вътрешните работи, Закона за изпълнение на наказанията и задържането под стража, Закона за съдебната власт, Закона за Държавна агенция „Национална сигурност“, Закона за специалните разузнавателни средства, Закона за защита на класифицираната информация и Закона за противодействие на корупцията и за отнемане на незаконно придобитото имущество.</w:t>
      </w:r>
    </w:p>
    <w:p w:rsidR="00CB42DA" w:rsidRDefault="00CB42DA" w:rsidP="00CB42DA">
      <w:pPr>
        <w:spacing w:before="120" w:after="0"/>
      </w:pPr>
      <w:r>
        <w:t xml:space="preserve">Средствата от държавния бюджет за компенсиране на намалените приходи от прилагането на цени за пътуване, предвидени в нормативните актове за определени категории пътници, са предназначени да покрият разликата между цената на издадените превозни  документи с намаление и тази по редовна тарифа на определени категории пътници, в т.ч. ветерани от войните, военноинвалиди, военнопострадали, лица, получаващи пенсия при условията на глава шеста от Кодекса за социално осигуряване, навършили възраст по чл. 68, ал. 1-3 от същия кодекс, многодетни майки, инвалиди и други правоимащи лица. </w:t>
      </w:r>
    </w:p>
    <w:p w:rsidR="00CB42DA" w:rsidRPr="00264ABB" w:rsidRDefault="00CB42DA" w:rsidP="00CB42DA">
      <w:pPr>
        <w:spacing w:before="120" w:after="0"/>
      </w:pPr>
      <w:r>
        <w:t xml:space="preserve">Предвижда се средствата за </w:t>
      </w:r>
      <w:r w:rsidRPr="00264ABB">
        <w:t xml:space="preserve">компенсации за 2020 г. да бъдат увеличени с 5,3 млн. лв. спрямо нивото от 2019 г. и да са в размер на 74,8 млн. лв., от които 13,0 млн. лв. за пътувания с железопътния транспорт, 45,0 млн. лв. за пътувания с вътрешноградския транспорт и междуселищния автомобилен транспорт и 16,8 млн. лв. за превоз на служители, ползващи право на безплатно пътуване при изпълнение на служебните си задължения в изпълнение на разпоредбите на определени закони. Размерът на средствата за 2021 г. и 2022 г. се запазва на нивото от 2020 г. – по 74,8 млн. лв. на година, при същото разпределение на средствата по категории правоимащи лица. </w:t>
      </w:r>
    </w:p>
    <w:p w:rsidR="00CB42DA" w:rsidRPr="00264ABB" w:rsidRDefault="00CB42DA" w:rsidP="00CB42DA">
      <w:pPr>
        <w:spacing w:before="120" w:after="0"/>
      </w:pPr>
      <w:r w:rsidRPr="00264ABB">
        <w:t xml:space="preserve">Увеличението на средствата за периода 2020-2022 г. в частта за пътуванията с вътрешноградския транспорт и междуселищния автомобилен транспорт, е в размер на 5,0 млн. лв. на година спрямо нивото от 2019 г. </w:t>
      </w:r>
    </w:p>
    <w:p w:rsidR="00CB42DA" w:rsidRPr="00264ABB" w:rsidRDefault="00CB42DA" w:rsidP="00CB42DA">
      <w:pPr>
        <w:spacing w:before="120" w:after="0"/>
      </w:pPr>
      <w:r w:rsidRPr="00264ABB">
        <w:t xml:space="preserve">Средствата за превоз на служители, ползващи право на безплатно пътуване при изпълнение на служебните си задължения в изпълнение на разпоредбите на Закона за Министерството на вътрешните работи, Закона за изпълнение на наказанията и задържането под стража, Закона за съдебната власт, Закона за Държавна агенция „Национална сигурност“, Закона за специалните разузнавателни средства, Закона за защита на класифицираната информация и Закона за противодействие на корупцията и за отнемане на незаконно придобитото имущество, за периода 2020-2022 г. се увеличават с 0,3 млн. лв. на  година, спрямо нивото от 2019 г. </w:t>
      </w:r>
    </w:p>
    <w:p w:rsidR="00CB42DA" w:rsidRDefault="00CB42DA" w:rsidP="00CB42DA">
      <w:pPr>
        <w:spacing w:before="120" w:after="0"/>
      </w:pPr>
      <w:r w:rsidRPr="00AB0D6A">
        <w:t xml:space="preserve">Размерът на средствата за пътувания със железопътен транспорт за периода 2020-2022 </w:t>
      </w:r>
      <w:r>
        <w:t> </w:t>
      </w:r>
      <w:r w:rsidRPr="00AB0D6A">
        <w:t>г. се запазва на нивото от 2019 г.</w:t>
      </w:r>
      <w:r>
        <w:t xml:space="preserve">    </w:t>
      </w:r>
    </w:p>
    <w:p w:rsidR="00AD1AF9" w:rsidRPr="00CC6510" w:rsidRDefault="00AD1AF9" w:rsidP="00AD1AF9">
      <w:pPr>
        <w:pStyle w:val="Heading4"/>
        <w:rPr>
          <w:rFonts w:eastAsia="Times New Roman"/>
        </w:rPr>
      </w:pPr>
      <w:r w:rsidRPr="00CC6510">
        <w:rPr>
          <w:rFonts w:eastAsia="Times New Roman"/>
        </w:rPr>
        <w:t>Политика в областта на съобщенията</w:t>
      </w:r>
    </w:p>
    <w:p w:rsidR="00D932D0" w:rsidRDefault="00D932D0" w:rsidP="00D932D0">
      <w:pPr>
        <w:spacing w:before="120" w:after="0"/>
        <w:rPr>
          <w:rFonts w:eastAsia="Times New Roman"/>
          <w:highlight w:val="yellow"/>
        </w:rPr>
      </w:pPr>
    </w:p>
    <w:p w:rsidR="00642351" w:rsidRPr="00642351" w:rsidRDefault="00642351" w:rsidP="00642351">
      <w:pPr>
        <w:spacing w:before="120" w:after="0"/>
        <w:rPr>
          <w:rFonts w:eastAsia="Times New Roman"/>
        </w:rPr>
      </w:pPr>
      <w:r w:rsidRPr="00642351">
        <w:rPr>
          <w:rFonts w:eastAsia="Times New Roman"/>
        </w:rPr>
        <w:t>Политиката в областта на съобщенията отразява необходимостта от установяване на подходящ баланс между интересите на всички участници на пазара както на електронните съобщителни мрежи и услуги, така и на пощенските услуги от една страна и от друга – хармонизация на законодателството в съответствие с европейската регулаторна рамка в областта на съобщенията при отчитане на националните особености.</w:t>
      </w:r>
    </w:p>
    <w:p w:rsidR="00642351" w:rsidRPr="00642351" w:rsidRDefault="00642351" w:rsidP="00642351">
      <w:pPr>
        <w:spacing w:before="120" w:after="0"/>
        <w:rPr>
          <w:rFonts w:eastAsia="Times New Roman"/>
        </w:rPr>
      </w:pPr>
      <w:r w:rsidRPr="00642351">
        <w:rPr>
          <w:rFonts w:eastAsia="Times New Roman"/>
        </w:rPr>
        <w:t>Държавната политика в областта на съобщенията се изпълнява от Министерството на транспорта, информационните технологии и съобщенията, като за периода 2020-2022 г. е насочена към изпълнението на следните приоритети:</w:t>
      </w:r>
    </w:p>
    <w:p w:rsidR="00642351" w:rsidRPr="00642351" w:rsidRDefault="00642351" w:rsidP="003403BF">
      <w:pPr>
        <w:numPr>
          <w:ilvl w:val="0"/>
          <w:numId w:val="58"/>
        </w:numPr>
        <w:tabs>
          <w:tab w:val="clear" w:pos="720"/>
          <w:tab w:val="num" w:pos="0"/>
          <w:tab w:val="num" w:pos="426"/>
        </w:tabs>
        <w:spacing w:before="120" w:after="0"/>
        <w:rPr>
          <w:rFonts w:eastAsia="Times New Roman"/>
        </w:rPr>
      </w:pPr>
      <w:r w:rsidRPr="00642351">
        <w:rPr>
          <w:rFonts w:eastAsia="Times New Roman"/>
        </w:rPr>
        <w:t>Осигуряване на условия за свободна, лоялна и ефективна конкуренция както на пазара на електронните съобщения, така и на пазара на пощенските услуги, като част от единния вътрешен пазар в ЕС;</w:t>
      </w:r>
    </w:p>
    <w:p w:rsidR="00642351" w:rsidRPr="00642351" w:rsidRDefault="00642351" w:rsidP="003403BF">
      <w:pPr>
        <w:numPr>
          <w:ilvl w:val="0"/>
          <w:numId w:val="58"/>
        </w:numPr>
        <w:tabs>
          <w:tab w:val="clear" w:pos="720"/>
          <w:tab w:val="num" w:pos="0"/>
          <w:tab w:val="num" w:pos="426"/>
        </w:tabs>
        <w:spacing w:before="120" w:after="0"/>
        <w:rPr>
          <w:rFonts w:eastAsia="Times New Roman"/>
        </w:rPr>
      </w:pPr>
      <w:r w:rsidRPr="00642351">
        <w:rPr>
          <w:rFonts w:eastAsia="Times New Roman"/>
        </w:rPr>
        <w:t>Развитие на надеждна и сигурна високоскоростна електронна съобщителна инфраструктура;</w:t>
      </w:r>
    </w:p>
    <w:p w:rsidR="00642351" w:rsidRPr="00642351" w:rsidRDefault="00642351" w:rsidP="003403BF">
      <w:pPr>
        <w:numPr>
          <w:ilvl w:val="0"/>
          <w:numId w:val="58"/>
        </w:numPr>
        <w:tabs>
          <w:tab w:val="clear" w:pos="720"/>
          <w:tab w:val="num" w:pos="0"/>
          <w:tab w:val="num" w:pos="426"/>
        </w:tabs>
        <w:spacing w:before="120" w:after="0"/>
        <w:rPr>
          <w:rFonts w:eastAsia="Times New Roman"/>
        </w:rPr>
      </w:pPr>
      <w:r w:rsidRPr="00642351">
        <w:rPr>
          <w:rFonts w:eastAsia="Times New Roman"/>
        </w:rPr>
        <w:t>Създаване на условия за ускорено изграждане на високоскоростни и свръх високоскоростни електронни съобщителни мрежи;</w:t>
      </w:r>
    </w:p>
    <w:p w:rsidR="00642351" w:rsidRPr="00642351" w:rsidRDefault="00642351" w:rsidP="003403BF">
      <w:pPr>
        <w:numPr>
          <w:ilvl w:val="0"/>
          <w:numId w:val="58"/>
        </w:numPr>
        <w:tabs>
          <w:tab w:val="clear" w:pos="720"/>
          <w:tab w:val="num" w:pos="0"/>
          <w:tab w:val="num" w:pos="426"/>
        </w:tabs>
        <w:spacing w:before="120" w:after="0"/>
        <w:rPr>
          <w:rFonts w:eastAsia="Times New Roman"/>
        </w:rPr>
      </w:pPr>
      <w:r w:rsidRPr="00642351">
        <w:rPr>
          <w:rFonts w:eastAsia="Times New Roman"/>
        </w:rPr>
        <w:t>Преодоляване на изоставането в изграждането и развитието на електронната съобщителна инфраструктура в слабо населени и отдалечени райони чрез подобряване на възможностите за публична интервенция и усъвършенстване на правилата за държавни помощи;</w:t>
      </w:r>
    </w:p>
    <w:p w:rsidR="00642351" w:rsidRPr="00642351" w:rsidRDefault="00642351" w:rsidP="003403BF">
      <w:pPr>
        <w:numPr>
          <w:ilvl w:val="0"/>
          <w:numId w:val="58"/>
        </w:numPr>
        <w:tabs>
          <w:tab w:val="clear" w:pos="720"/>
          <w:tab w:val="num" w:pos="0"/>
          <w:tab w:val="num" w:pos="426"/>
        </w:tabs>
        <w:spacing w:before="120" w:after="0"/>
        <w:rPr>
          <w:rFonts w:eastAsia="Times New Roman"/>
        </w:rPr>
      </w:pPr>
      <w:r w:rsidRPr="00642351">
        <w:rPr>
          <w:rFonts w:eastAsia="Times New Roman"/>
        </w:rPr>
        <w:t>Осигуряване предоставянето на достъпна, надеждна и ефективна универсалната пощенска услуга и нейното съхранение в условията на либерализиран пазар на пощенски услуги и силно разрастване на ползването на достиженията на цифровите технологии за сметка на традиционните пощенски услуги;</w:t>
      </w:r>
    </w:p>
    <w:p w:rsidR="00642351" w:rsidRPr="00642351" w:rsidRDefault="00642351" w:rsidP="003403BF">
      <w:pPr>
        <w:numPr>
          <w:ilvl w:val="0"/>
          <w:numId w:val="58"/>
        </w:numPr>
        <w:tabs>
          <w:tab w:val="clear" w:pos="720"/>
          <w:tab w:val="num" w:pos="0"/>
          <w:tab w:val="num" w:pos="426"/>
        </w:tabs>
        <w:spacing w:before="120" w:after="0"/>
        <w:rPr>
          <w:rFonts w:eastAsia="Times New Roman"/>
        </w:rPr>
      </w:pPr>
      <w:r w:rsidRPr="00642351">
        <w:rPr>
          <w:rFonts w:eastAsia="Times New Roman"/>
        </w:rPr>
        <w:t>Създаване на условия за предоставяне на съвременни, ефективни и качествени пощенски услуги, включително развитие на услугите по доставка на стоки, закупени онлайн, като пощенски пратки;</w:t>
      </w:r>
    </w:p>
    <w:p w:rsidR="00642351" w:rsidRPr="00642351" w:rsidRDefault="00642351" w:rsidP="003403BF">
      <w:pPr>
        <w:numPr>
          <w:ilvl w:val="0"/>
          <w:numId w:val="58"/>
        </w:numPr>
        <w:tabs>
          <w:tab w:val="clear" w:pos="720"/>
          <w:tab w:val="num" w:pos="0"/>
          <w:tab w:val="num" w:pos="426"/>
        </w:tabs>
        <w:spacing w:before="120" w:after="0"/>
        <w:rPr>
          <w:rFonts w:eastAsia="Times New Roman"/>
        </w:rPr>
      </w:pPr>
      <w:r w:rsidRPr="00642351">
        <w:rPr>
          <w:rFonts w:eastAsia="Times New Roman"/>
        </w:rPr>
        <w:t>Защита на правата на потребителите.</w:t>
      </w:r>
    </w:p>
    <w:p w:rsidR="00642351" w:rsidRPr="00264ABB" w:rsidRDefault="00642351" w:rsidP="00642351">
      <w:pPr>
        <w:spacing w:before="120" w:after="0"/>
        <w:rPr>
          <w:rFonts w:eastAsia="Times New Roman"/>
        </w:rPr>
      </w:pPr>
      <w:r w:rsidRPr="00642351">
        <w:rPr>
          <w:rFonts w:eastAsia="Times New Roman"/>
        </w:rPr>
        <w:t xml:space="preserve">За „Български пощи“ ЕАД са разчетени средства по бюджета на Министерството на транспорта, информационните технологии и съобщенията за компенсиране на </w:t>
      </w:r>
      <w:r w:rsidRPr="00264ABB">
        <w:rPr>
          <w:rFonts w:eastAsia="Times New Roman"/>
        </w:rPr>
        <w:t>извършената универсална пощенска услуга, като за 2020 г. планираните средства са в размер на 32,8 млн. лв., а за периода 2021-2022 г. са в размер на 32,0 млн. лв. на година.</w:t>
      </w:r>
    </w:p>
    <w:p w:rsidR="00642351" w:rsidRPr="00264ABB" w:rsidRDefault="00642351" w:rsidP="00642351">
      <w:pPr>
        <w:spacing w:before="120" w:after="0"/>
        <w:rPr>
          <w:rFonts w:eastAsia="Times New Roman"/>
        </w:rPr>
      </w:pPr>
      <w:r w:rsidRPr="00264ABB">
        <w:rPr>
          <w:rFonts w:eastAsia="Times New Roman"/>
        </w:rPr>
        <w:t>Средствата се предоставят под формата на субсидии на „Български пощи“ ЕАД във връзка с изпълнението на задължението за извършване на универсалната пощенска услуга, възложено на дружеството със Закона за пощенските услуги, в случаите когато това задължение води до нетни разходи и представлява несправедлива финансова тежест за него.</w:t>
      </w:r>
    </w:p>
    <w:p w:rsidR="00642351" w:rsidRPr="00264ABB" w:rsidRDefault="00642351" w:rsidP="00642351">
      <w:pPr>
        <w:spacing w:before="120" w:after="0"/>
        <w:rPr>
          <w:rFonts w:eastAsia="Times New Roman"/>
        </w:rPr>
      </w:pPr>
    </w:p>
    <w:p w:rsidR="00642351" w:rsidRPr="00642351" w:rsidRDefault="00642351" w:rsidP="00642351">
      <w:pPr>
        <w:spacing w:before="120" w:after="0"/>
        <w:rPr>
          <w:rFonts w:eastAsia="Times New Roman"/>
        </w:rPr>
      </w:pPr>
      <w:r w:rsidRPr="00264ABB">
        <w:rPr>
          <w:rFonts w:eastAsia="Times New Roman"/>
        </w:rPr>
        <w:t xml:space="preserve">В областта на съобщенията Комисията за регулиране на съобщенията изпълнява регулаторни и контролни функции по Закона за електронните съобщения, Закона за пощенските услуги, Закона за електронните съобщителни мрежи и физическа инфраструктура </w:t>
      </w:r>
      <w:r w:rsidRPr="00264ABB">
        <w:rPr>
          <w:rFonts w:eastAsia="Times New Roman"/>
          <w:lang w:val="ru-RU"/>
        </w:rPr>
        <w:t xml:space="preserve">и </w:t>
      </w:r>
      <w:r w:rsidRPr="00264ABB">
        <w:rPr>
          <w:rFonts w:eastAsia="Times New Roman"/>
        </w:rPr>
        <w:t>Закона за електронния документ и</w:t>
      </w:r>
      <w:r w:rsidR="00E60644" w:rsidRPr="00264ABB">
        <w:rPr>
          <w:rFonts w:eastAsia="Times New Roman"/>
        </w:rPr>
        <w:t xml:space="preserve"> електронните удостоверителни услуги</w:t>
      </w:r>
      <w:r w:rsidRPr="00264ABB">
        <w:rPr>
          <w:rFonts w:eastAsia="Times New Roman"/>
        </w:rPr>
        <w:t>. Комисията, в изпълнение на законите</w:t>
      </w:r>
      <w:r w:rsidR="00BE6943" w:rsidRPr="00264ABB">
        <w:rPr>
          <w:rFonts w:eastAsia="Times New Roman"/>
        </w:rPr>
        <w:t>,</w:t>
      </w:r>
      <w:r w:rsidRPr="00264ABB">
        <w:rPr>
          <w:rFonts w:eastAsia="Times New Roman"/>
        </w:rPr>
        <w:t xml:space="preserve"> на подзаконови</w:t>
      </w:r>
      <w:r w:rsidR="00BE6943" w:rsidRPr="00264ABB">
        <w:rPr>
          <w:rFonts w:eastAsia="Times New Roman"/>
        </w:rPr>
        <w:t>те</w:t>
      </w:r>
      <w:r w:rsidRPr="00264ABB">
        <w:rPr>
          <w:rFonts w:eastAsia="Times New Roman"/>
        </w:rPr>
        <w:t xml:space="preserve"> </w:t>
      </w:r>
      <w:r w:rsidR="00BE6943" w:rsidRPr="00264ABB">
        <w:rPr>
          <w:rFonts w:eastAsia="Times New Roman"/>
        </w:rPr>
        <w:t xml:space="preserve">нормативни актове </w:t>
      </w:r>
      <w:r w:rsidRPr="00264ABB">
        <w:rPr>
          <w:rFonts w:eastAsia="Times New Roman"/>
        </w:rPr>
        <w:t xml:space="preserve">и </w:t>
      </w:r>
      <w:r w:rsidR="00D457F9" w:rsidRPr="00264ABB">
        <w:rPr>
          <w:rFonts w:eastAsia="Times New Roman"/>
        </w:rPr>
        <w:t xml:space="preserve">на </w:t>
      </w:r>
      <w:r w:rsidRPr="00264ABB">
        <w:rPr>
          <w:rFonts w:eastAsia="Times New Roman"/>
        </w:rPr>
        <w:t xml:space="preserve">общи административни актове, както и европейските регламенти, прилага </w:t>
      </w:r>
      <w:r w:rsidRPr="00642351">
        <w:rPr>
          <w:rFonts w:eastAsia="Times New Roman"/>
        </w:rPr>
        <w:t xml:space="preserve">секторната политика в областта на електронните съобщения и пощенските услуги, както и политиката по планиране и разпределение на радиочестотния спектър. </w:t>
      </w:r>
    </w:p>
    <w:p w:rsidR="00642351" w:rsidRDefault="00642351" w:rsidP="002226EC">
      <w:pPr>
        <w:spacing w:before="120" w:after="0"/>
        <w:rPr>
          <w:rFonts w:eastAsia="Times New Roman"/>
        </w:rPr>
      </w:pPr>
      <w:r w:rsidRPr="00642351">
        <w:rPr>
          <w:rFonts w:eastAsia="Times New Roman"/>
        </w:rPr>
        <w:t>Считано от 2020 г. дейността на Комисията за регулиране на съобщенията попада в обхвата на функционална област „Електронни съобщения и пощенски услуги“.</w:t>
      </w:r>
    </w:p>
    <w:p w:rsidR="00642351" w:rsidRDefault="00642351" w:rsidP="002226EC">
      <w:pPr>
        <w:spacing w:before="120" w:after="0"/>
        <w:rPr>
          <w:rFonts w:eastAsia="Times New Roman"/>
        </w:rPr>
      </w:pPr>
    </w:p>
    <w:p w:rsidR="00EE2FAE" w:rsidRDefault="00EE2FAE" w:rsidP="002226EC">
      <w:pPr>
        <w:spacing w:before="120" w:after="0"/>
        <w:rPr>
          <w:rFonts w:eastAsia="Times New Roman"/>
        </w:rPr>
      </w:pPr>
    </w:p>
    <w:p w:rsidR="00EE2FAE" w:rsidRDefault="00EE2FAE" w:rsidP="002226EC">
      <w:pPr>
        <w:spacing w:before="120" w:after="0"/>
        <w:rPr>
          <w:rFonts w:eastAsia="Times New Roman"/>
        </w:rPr>
      </w:pPr>
    </w:p>
    <w:p w:rsidR="00AD1AF9" w:rsidRPr="00FB74BC" w:rsidRDefault="00AD1AF9" w:rsidP="00AD1AF9">
      <w:pPr>
        <w:pStyle w:val="Heading4"/>
        <w:rPr>
          <w:rFonts w:eastAsia="Times New Roman"/>
        </w:rPr>
      </w:pPr>
      <w:r w:rsidRPr="00FB74BC">
        <w:rPr>
          <w:rFonts w:eastAsia="Times New Roman"/>
        </w:rPr>
        <w:t>Политика в областта на информационните технологии</w:t>
      </w:r>
      <w:r w:rsidR="00827E6C">
        <w:rPr>
          <w:rFonts w:eastAsia="Times New Roman"/>
        </w:rPr>
        <w:t xml:space="preserve"> и електронното управление</w:t>
      </w:r>
    </w:p>
    <w:p w:rsidR="00642351" w:rsidRDefault="00642351" w:rsidP="00BA2498">
      <w:pPr>
        <w:spacing w:before="120" w:after="0"/>
        <w:rPr>
          <w:rFonts w:eastAsia="Times New Roman"/>
        </w:rPr>
      </w:pPr>
    </w:p>
    <w:p w:rsidR="00642351" w:rsidRPr="00642351" w:rsidRDefault="00642351" w:rsidP="00642351">
      <w:pPr>
        <w:spacing w:before="120" w:after="0"/>
        <w:rPr>
          <w:rFonts w:eastAsia="Times New Roman"/>
        </w:rPr>
      </w:pPr>
      <w:r w:rsidRPr="00642351">
        <w:rPr>
          <w:rFonts w:eastAsia="Times New Roman"/>
        </w:rPr>
        <w:t xml:space="preserve">Политиката в областта на информационните технологии </w:t>
      </w:r>
      <w:r w:rsidR="00827E6C" w:rsidRPr="00827E6C">
        <w:rPr>
          <w:rFonts w:eastAsia="Times New Roman"/>
        </w:rPr>
        <w:t xml:space="preserve">и електронното управление </w:t>
      </w:r>
      <w:r w:rsidRPr="00642351">
        <w:rPr>
          <w:rFonts w:eastAsia="Times New Roman"/>
        </w:rPr>
        <w:t>е насочена към о</w:t>
      </w:r>
      <w:r w:rsidRPr="00642351">
        <w:rPr>
          <w:rFonts w:eastAsia="Times New Roman"/>
          <w:bCs/>
        </w:rPr>
        <w:t>сигуряването на равнопоставен и широк достъп до ефективни, качествени и сигурни услуги на информационното</w:t>
      </w:r>
      <w:r w:rsidRPr="00642351">
        <w:rPr>
          <w:rFonts w:eastAsia="Times New Roman"/>
        </w:rPr>
        <w:t xml:space="preserve"> </w:t>
      </w:r>
      <w:r w:rsidRPr="00642351">
        <w:rPr>
          <w:rFonts w:eastAsia="Times New Roman"/>
          <w:bCs/>
        </w:rPr>
        <w:t>общество за гражданите, бизнеса и държавното управление,</w:t>
      </w:r>
      <w:r w:rsidRPr="00642351">
        <w:rPr>
          <w:rFonts w:eastAsia="Times New Roman"/>
        </w:rPr>
        <w:t xml:space="preserve"> както и равни възможности за придобиване на умения за използването им, което </w:t>
      </w:r>
      <w:r w:rsidRPr="00642351">
        <w:rPr>
          <w:rFonts w:eastAsia="Times New Roman"/>
          <w:bCs/>
        </w:rPr>
        <w:t xml:space="preserve">може да бъде реализирано само с добре координирани общи усилия на заинтересованите държавни институции и с активното участие на бизнеса и гражданите. В „Стратегията за цифров единен пазар” се подчертава, че цифровият единен пазар трябва да бъде изграден върху надеждни, високоскоростни и достъпни мрежи и услуги за потребителите, при които се гарантират основните права на потребителите на неприкосновеност на личния живот и защита на личните данни, като същевременно се насърчават иновациите. </w:t>
      </w:r>
      <w:r w:rsidRPr="00642351">
        <w:rPr>
          <w:rFonts w:eastAsia="Times New Roman"/>
        </w:rPr>
        <w:t>Отговорни институции за провеждане на политиката в тази област са Министерството на транспорта, информационните технологии и съобщенията и Държавната агенция „Електронно управление“ (ДАЕУ).</w:t>
      </w:r>
    </w:p>
    <w:p w:rsidR="00642351" w:rsidRPr="00642351" w:rsidRDefault="00642351" w:rsidP="00642351">
      <w:pPr>
        <w:spacing w:before="120" w:after="0"/>
        <w:rPr>
          <w:rFonts w:eastAsia="Times New Roman"/>
        </w:rPr>
      </w:pPr>
      <w:r w:rsidRPr="00642351">
        <w:rPr>
          <w:rFonts w:eastAsia="Times New Roman"/>
        </w:rPr>
        <w:t>Държавна</w:t>
      </w:r>
      <w:r w:rsidR="00A5349B">
        <w:rPr>
          <w:rFonts w:eastAsia="Times New Roman"/>
        </w:rPr>
        <w:t>та</w:t>
      </w:r>
      <w:r w:rsidRPr="00642351">
        <w:rPr>
          <w:rFonts w:eastAsia="Times New Roman"/>
        </w:rPr>
        <w:t xml:space="preserve"> агенция „Електронно управление“ осъществява функциите на Национално единно звено за контакти, което отговаря за координацията на въпросите, свързани с мрежовата и информационната сигурност и за трансграничното сътрудничество със съответните органи в други държави-членки. </w:t>
      </w:r>
      <w:r w:rsidR="00044D8D" w:rsidRPr="00044D8D">
        <w:rPr>
          <w:rFonts w:eastAsia="Times New Roman"/>
        </w:rPr>
        <w:t>Държавната агенция</w:t>
      </w:r>
      <w:r w:rsidRPr="00642351">
        <w:rPr>
          <w:rFonts w:eastAsia="Times New Roman"/>
        </w:rPr>
        <w:t xml:space="preserve"> е и национален компетентен орган за административните органи и изпълнява функции на Национален екип за реагиране при инциденти в компютърната сигурност (CSIRT). </w:t>
      </w:r>
      <w:r w:rsidR="00044D8D" w:rsidRPr="00044D8D">
        <w:rPr>
          <w:rFonts w:eastAsia="Times New Roman"/>
        </w:rPr>
        <w:t>Агенцията</w:t>
      </w:r>
      <w:r w:rsidRPr="00642351">
        <w:rPr>
          <w:rFonts w:eastAsia="Times New Roman"/>
        </w:rPr>
        <w:t xml:space="preserve"> упражнява контрол по спазване на изискванията на нормативните актове за мрежова и информационна сигурност, което е предпоставка за повишаване нивото на мрежовата и информационната сигурност в администрацията на изпълнителната власт.</w:t>
      </w:r>
    </w:p>
    <w:p w:rsidR="00BA2498" w:rsidRDefault="00BA2498" w:rsidP="00BA2498">
      <w:pPr>
        <w:spacing w:before="120" w:after="0"/>
        <w:rPr>
          <w:rFonts w:eastAsia="Times New Roman"/>
          <w:highlight w:val="yellow"/>
        </w:rPr>
      </w:pPr>
    </w:p>
    <w:p w:rsidR="00642351" w:rsidRDefault="00AD1AF9" w:rsidP="00AD1AF9">
      <w:pPr>
        <w:rPr>
          <w:rFonts w:eastAsia="Times New Roman"/>
          <w:b/>
          <w:sz w:val="20"/>
          <w:szCs w:val="20"/>
        </w:rPr>
      </w:pPr>
      <w:r w:rsidRPr="00FB74BC">
        <w:rPr>
          <w:rFonts w:eastAsia="Times New Roman"/>
          <w:b/>
          <w:sz w:val="20"/>
          <w:szCs w:val="20"/>
        </w:rPr>
        <w:t>КЛЮЧОВИ ИНДИКАТОРИ ЗА ИЗПЪЛНЕНИЕ И ЦЕЛЕВИ СТОЙНОСТИ</w:t>
      </w:r>
    </w:p>
    <w:p w:rsidR="00BA2498" w:rsidRDefault="00BA2498" w:rsidP="002226EC">
      <w:pPr>
        <w:spacing w:before="120" w:after="0"/>
        <w:rPr>
          <w:rFonts w:eastAsia="Times New Roman"/>
          <w:sz w:val="16"/>
          <w:szCs w:val="16"/>
        </w:rPr>
      </w:pPr>
    </w:p>
    <w:tbl>
      <w:tblPr>
        <w:tblW w:w="0" w:type="auto"/>
        <w:tblLayout w:type="fixed"/>
        <w:tblCellMar>
          <w:left w:w="0" w:type="dxa"/>
          <w:right w:w="0" w:type="dxa"/>
        </w:tblCellMar>
        <w:tblLook w:val="0000" w:firstRow="0" w:lastRow="0" w:firstColumn="0" w:lastColumn="0" w:noHBand="0" w:noVBand="0"/>
      </w:tblPr>
      <w:tblGrid>
        <w:gridCol w:w="4100"/>
        <w:gridCol w:w="1080"/>
        <w:gridCol w:w="980"/>
        <w:gridCol w:w="960"/>
        <w:gridCol w:w="960"/>
        <w:gridCol w:w="960"/>
      </w:tblGrid>
      <w:tr w:rsidR="00642351" w:rsidRPr="009F1DB9" w:rsidTr="004100C6">
        <w:trPr>
          <w:trHeight w:val="277"/>
          <w:tblHeader/>
        </w:trPr>
        <w:tc>
          <w:tcPr>
            <w:tcW w:w="4100" w:type="dxa"/>
            <w:tcBorders>
              <w:top w:val="single" w:sz="4" w:space="0" w:color="auto"/>
            </w:tcBorders>
            <w:shd w:val="clear" w:color="auto" w:fill="auto"/>
            <w:vAlign w:val="center"/>
          </w:tcPr>
          <w:p w:rsidR="00642351" w:rsidRPr="009F1DB9" w:rsidRDefault="00642351" w:rsidP="00E60644">
            <w:pPr>
              <w:spacing w:after="0" w:line="0" w:lineRule="atLeast"/>
              <w:jc w:val="center"/>
              <w:rPr>
                <w:rFonts w:eastAsia="Times New Roman" w:cs="Times New Roman"/>
                <w:b/>
                <w:i/>
                <w:sz w:val="18"/>
                <w:szCs w:val="18"/>
              </w:rPr>
            </w:pPr>
            <w:r w:rsidRPr="009F1DB9">
              <w:rPr>
                <w:rFonts w:eastAsia="Times New Roman" w:cs="Times New Roman"/>
                <w:b/>
                <w:i/>
                <w:sz w:val="18"/>
                <w:szCs w:val="18"/>
              </w:rPr>
              <w:t>Политика в областта на информационните технологии</w:t>
            </w:r>
          </w:p>
        </w:tc>
        <w:tc>
          <w:tcPr>
            <w:tcW w:w="1080" w:type="dxa"/>
            <w:vMerge w:val="restart"/>
            <w:tcBorders>
              <w:top w:val="single" w:sz="4" w:space="0" w:color="auto"/>
            </w:tcBorders>
            <w:shd w:val="clear" w:color="auto" w:fill="F2F2F2"/>
            <w:vAlign w:val="center"/>
          </w:tcPr>
          <w:p w:rsidR="00642351" w:rsidRPr="009F1DB9" w:rsidRDefault="00642351" w:rsidP="000C2EEF">
            <w:pPr>
              <w:spacing w:after="0" w:line="0" w:lineRule="atLeast"/>
              <w:jc w:val="center"/>
              <w:rPr>
                <w:rFonts w:eastAsia="Times New Roman" w:cs="Times New Roman"/>
                <w:sz w:val="18"/>
                <w:szCs w:val="18"/>
              </w:rPr>
            </w:pPr>
            <w:r w:rsidRPr="009F1DB9">
              <w:rPr>
                <w:rFonts w:eastAsia="Times New Roman" w:cs="Times New Roman"/>
                <w:b/>
                <w:sz w:val="18"/>
                <w:szCs w:val="18"/>
              </w:rPr>
              <w:t>Мерна единица</w:t>
            </w:r>
          </w:p>
        </w:tc>
        <w:tc>
          <w:tcPr>
            <w:tcW w:w="980" w:type="dxa"/>
            <w:tcBorders>
              <w:top w:val="single" w:sz="4" w:space="0" w:color="auto"/>
              <w:bottom w:val="single" w:sz="4" w:space="0" w:color="auto"/>
            </w:tcBorders>
            <w:shd w:val="clear" w:color="auto" w:fill="auto"/>
            <w:vAlign w:val="center"/>
          </w:tcPr>
          <w:p w:rsidR="00642351" w:rsidRPr="009F1DB9" w:rsidRDefault="00642351" w:rsidP="000C2EEF">
            <w:pPr>
              <w:spacing w:after="0" w:line="0" w:lineRule="atLeast"/>
              <w:jc w:val="center"/>
              <w:rPr>
                <w:rFonts w:eastAsia="Times New Roman" w:cs="Times New Roman"/>
                <w:sz w:val="18"/>
                <w:szCs w:val="18"/>
              </w:rPr>
            </w:pPr>
          </w:p>
        </w:tc>
        <w:tc>
          <w:tcPr>
            <w:tcW w:w="1920" w:type="dxa"/>
            <w:gridSpan w:val="2"/>
            <w:tcBorders>
              <w:top w:val="single" w:sz="4" w:space="0" w:color="auto"/>
              <w:bottom w:val="single" w:sz="4" w:space="0" w:color="auto"/>
            </w:tcBorders>
            <w:shd w:val="clear" w:color="auto" w:fill="auto"/>
            <w:vAlign w:val="center"/>
          </w:tcPr>
          <w:p w:rsidR="00642351" w:rsidRPr="009F1DB9" w:rsidRDefault="00642351" w:rsidP="000C2EEF">
            <w:pPr>
              <w:spacing w:after="0" w:line="0" w:lineRule="atLeast"/>
              <w:ind w:left="180"/>
              <w:jc w:val="center"/>
              <w:rPr>
                <w:rFonts w:eastAsia="Times New Roman" w:cs="Times New Roman"/>
                <w:b/>
                <w:sz w:val="18"/>
                <w:szCs w:val="18"/>
              </w:rPr>
            </w:pPr>
            <w:r w:rsidRPr="009F1DB9">
              <w:rPr>
                <w:rFonts w:eastAsia="Times New Roman" w:cs="Times New Roman"/>
                <w:b/>
                <w:sz w:val="18"/>
                <w:szCs w:val="18"/>
              </w:rPr>
              <w:t>Целева стойност</w:t>
            </w:r>
          </w:p>
        </w:tc>
        <w:tc>
          <w:tcPr>
            <w:tcW w:w="960" w:type="dxa"/>
            <w:tcBorders>
              <w:top w:val="single" w:sz="4" w:space="0" w:color="auto"/>
              <w:bottom w:val="single" w:sz="4" w:space="0" w:color="auto"/>
            </w:tcBorders>
            <w:shd w:val="clear" w:color="auto" w:fill="auto"/>
            <w:vAlign w:val="center"/>
          </w:tcPr>
          <w:p w:rsidR="00642351" w:rsidRPr="009F1DB9" w:rsidRDefault="00642351" w:rsidP="000C2EEF">
            <w:pPr>
              <w:spacing w:after="0" w:line="0" w:lineRule="atLeast"/>
              <w:jc w:val="center"/>
              <w:rPr>
                <w:rFonts w:eastAsia="Times New Roman" w:cs="Times New Roman"/>
                <w:sz w:val="18"/>
                <w:szCs w:val="18"/>
              </w:rPr>
            </w:pPr>
          </w:p>
        </w:tc>
      </w:tr>
      <w:tr w:rsidR="00642351" w:rsidRPr="009F1DB9" w:rsidTr="004100C6">
        <w:trPr>
          <w:trHeight w:val="276"/>
          <w:tblHeader/>
        </w:trPr>
        <w:tc>
          <w:tcPr>
            <w:tcW w:w="4100" w:type="dxa"/>
            <w:tcBorders>
              <w:bottom w:val="single" w:sz="4" w:space="0" w:color="auto"/>
            </w:tcBorders>
            <w:shd w:val="clear" w:color="auto" w:fill="auto"/>
            <w:vAlign w:val="center"/>
          </w:tcPr>
          <w:p w:rsidR="00642351" w:rsidRPr="009F1DB9" w:rsidRDefault="00642351" w:rsidP="000C2EEF">
            <w:pPr>
              <w:spacing w:after="0" w:line="0" w:lineRule="atLeast"/>
              <w:jc w:val="center"/>
              <w:rPr>
                <w:rFonts w:eastAsia="Times New Roman" w:cs="Times New Roman"/>
                <w:b/>
                <w:sz w:val="18"/>
                <w:szCs w:val="18"/>
              </w:rPr>
            </w:pPr>
            <w:r w:rsidRPr="009F1DB9">
              <w:rPr>
                <w:rFonts w:eastAsia="Times New Roman" w:cs="Times New Roman"/>
                <w:b/>
                <w:sz w:val="18"/>
                <w:szCs w:val="18"/>
              </w:rPr>
              <w:t>Наименование на индикатора</w:t>
            </w:r>
          </w:p>
        </w:tc>
        <w:tc>
          <w:tcPr>
            <w:tcW w:w="1080" w:type="dxa"/>
            <w:vMerge/>
            <w:tcBorders>
              <w:bottom w:val="single" w:sz="4" w:space="0" w:color="auto"/>
            </w:tcBorders>
            <w:shd w:val="clear" w:color="auto" w:fill="F2F2F2"/>
            <w:vAlign w:val="center"/>
          </w:tcPr>
          <w:p w:rsidR="00642351" w:rsidRPr="009F1DB9" w:rsidRDefault="00642351" w:rsidP="000C2EEF">
            <w:pPr>
              <w:spacing w:after="0" w:line="0" w:lineRule="atLeast"/>
              <w:jc w:val="center"/>
              <w:rPr>
                <w:rFonts w:eastAsia="Times New Roman" w:cs="Times New Roman"/>
                <w:b/>
                <w:sz w:val="18"/>
                <w:szCs w:val="18"/>
              </w:rPr>
            </w:pPr>
          </w:p>
        </w:tc>
        <w:tc>
          <w:tcPr>
            <w:tcW w:w="980" w:type="dxa"/>
            <w:tcBorders>
              <w:top w:val="single" w:sz="4" w:space="0" w:color="auto"/>
              <w:bottom w:val="single" w:sz="4" w:space="0" w:color="auto"/>
            </w:tcBorders>
            <w:shd w:val="clear" w:color="auto" w:fill="auto"/>
            <w:vAlign w:val="center"/>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 xml:space="preserve">Програма </w:t>
            </w:r>
            <w:r w:rsidRPr="009F1DB9">
              <w:rPr>
                <w:rFonts w:eastAsia="Times New Roman" w:cs="Times New Roman"/>
                <w:b/>
                <w:i/>
                <w:w w:val="97"/>
                <w:sz w:val="18"/>
                <w:szCs w:val="18"/>
              </w:rPr>
              <w:t>2019 г.</w:t>
            </w:r>
          </w:p>
        </w:tc>
        <w:tc>
          <w:tcPr>
            <w:tcW w:w="960" w:type="dxa"/>
            <w:tcBorders>
              <w:top w:val="single" w:sz="4" w:space="0" w:color="auto"/>
              <w:bottom w:val="single" w:sz="4" w:space="0" w:color="auto"/>
            </w:tcBorders>
            <w:shd w:val="clear" w:color="auto" w:fill="auto"/>
            <w:vAlign w:val="center"/>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Про</w:t>
            </w:r>
            <w:r w:rsidR="00F1198E">
              <w:rPr>
                <w:rFonts w:eastAsia="Times New Roman" w:cs="Times New Roman"/>
                <w:b/>
                <w:i/>
                <w:sz w:val="18"/>
                <w:szCs w:val="18"/>
              </w:rPr>
              <w:t>ект</w:t>
            </w:r>
            <w:r w:rsidRPr="009F1DB9">
              <w:rPr>
                <w:rFonts w:eastAsia="Times New Roman" w:cs="Times New Roman"/>
                <w:b/>
                <w:i/>
                <w:sz w:val="18"/>
                <w:szCs w:val="18"/>
              </w:rPr>
              <w:t xml:space="preserve"> 2020 г.</w:t>
            </w:r>
          </w:p>
        </w:tc>
        <w:tc>
          <w:tcPr>
            <w:tcW w:w="960" w:type="dxa"/>
            <w:tcBorders>
              <w:top w:val="single" w:sz="4" w:space="0" w:color="auto"/>
              <w:bottom w:val="single" w:sz="4" w:space="0" w:color="auto"/>
            </w:tcBorders>
            <w:shd w:val="clear" w:color="auto" w:fill="auto"/>
            <w:vAlign w:val="center"/>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 xml:space="preserve">Прогноза </w:t>
            </w:r>
            <w:r w:rsidRPr="009F1DB9">
              <w:rPr>
                <w:rFonts w:eastAsia="Times New Roman" w:cs="Times New Roman"/>
                <w:b/>
                <w:i/>
                <w:w w:val="97"/>
                <w:sz w:val="18"/>
                <w:szCs w:val="18"/>
              </w:rPr>
              <w:t>2021 г.</w:t>
            </w:r>
          </w:p>
        </w:tc>
        <w:tc>
          <w:tcPr>
            <w:tcW w:w="960" w:type="dxa"/>
            <w:tcBorders>
              <w:top w:val="single" w:sz="4" w:space="0" w:color="auto"/>
              <w:bottom w:val="single" w:sz="4" w:space="0" w:color="auto"/>
            </w:tcBorders>
            <w:shd w:val="clear" w:color="auto" w:fill="auto"/>
            <w:vAlign w:val="center"/>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 xml:space="preserve">Прогноза </w:t>
            </w:r>
            <w:r w:rsidRPr="009F1DB9">
              <w:rPr>
                <w:rFonts w:eastAsia="Times New Roman" w:cs="Times New Roman"/>
                <w:b/>
                <w:i/>
                <w:w w:val="97"/>
                <w:sz w:val="18"/>
                <w:szCs w:val="18"/>
              </w:rPr>
              <w:t>2022 г.</w:t>
            </w:r>
          </w:p>
        </w:tc>
      </w:tr>
      <w:tr w:rsidR="00642351" w:rsidRPr="009F1DB9" w:rsidTr="00B41461">
        <w:trPr>
          <w:trHeight w:val="212"/>
        </w:trPr>
        <w:tc>
          <w:tcPr>
            <w:tcW w:w="4100" w:type="dxa"/>
            <w:tcBorders>
              <w:top w:val="single" w:sz="4" w:space="0" w:color="auto"/>
            </w:tcBorders>
            <w:shd w:val="clear" w:color="auto" w:fill="auto"/>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0D1B2A">
              <w:rPr>
                <w:rFonts w:asciiTheme="majorHAnsi" w:eastAsia="Times New Roman" w:hAnsiTheme="majorHAnsi" w:cstheme="majorHAnsi"/>
                <w:sz w:val="18"/>
                <w:szCs w:val="18"/>
                <w:lang w:eastAsia="en-US"/>
              </w:rPr>
              <w:t>1. *Съставен  индекс за цифрова икономика и</w:t>
            </w:r>
          </w:p>
        </w:tc>
        <w:tc>
          <w:tcPr>
            <w:tcW w:w="1080" w:type="dxa"/>
            <w:tcBorders>
              <w:top w:val="single" w:sz="4" w:space="0" w:color="auto"/>
            </w:tcBorders>
            <w:shd w:val="clear" w:color="auto" w:fill="F2F2F2"/>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0D1B2A">
              <w:rPr>
                <w:rFonts w:asciiTheme="majorHAnsi" w:eastAsia="Times New Roman" w:hAnsiTheme="majorHAnsi" w:cstheme="majorHAnsi"/>
                <w:sz w:val="18"/>
                <w:szCs w:val="18"/>
                <w:lang w:eastAsia="en-US"/>
              </w:rPr>
              <w:t>0- 100</w:t>
            </w:r>
          </w:p>
        </w:tc>
        <w:tc>
          <w:tcPr>
            <w:tcW w:w="980" w:type="dxa"/>
            <w:tcBorders>
              <w:top w:val="single" w:sz="4" w:space="0" w:color="auto"/>
            </w:tcBorders>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0D1B2A">
              <w:rPr>
                <w:rFonts w:asciiTheme="majorHAnsi" w:eastAsia="Times New Roman" w:hAnsiTheme="majorHAnsi" w:cstheme="majorHAnsi"/>
                <w:sz w:val="18"/>
                <w:szCs w:val="18"/>
                <w:lang w:eastAsia="en-US"/>
              </w:rPr>
              <w:t>43</w:t>
            </w:r>
          </w:p>
        </w:tc>
        <w:tc>
          <w:tcPr>
            <w:tcW w:w="960" w:type="dxa"/>
            <w:tcBorders>
              <w:top w:val="single" w:sz="4" w:space="0" w:color="auto"/>
            </w:tcBorders>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0D1B2A">
              <w:rPr>
                <w:rFonts w:asciiTheme="majorHAnsi" w:eastAsia="Times New Roman" w:hAnsiTheme="majorHAnsi" w:cstheme="majorHAnsi"/>
                <w:sz w:val="18"/>
                <w:szCs w:val="18"/>
                <w:lang w:eastAsia="en-US"/>
              </w:rPr>
              <w:t>45</w:t>
            </w:r>
          </w:p>
        </w:tc>
        <w:tc>
          <w:tcPr>
            <w:tcW w:w="960" w:type="dxa"/>
            <w:tcBorders>
              <w:top w:val="single" w:sz="4" w:space="0" w:color="auto"/>
            </w:tcBorders>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0D1B2A">
              <w:rPr>
                <w:rFonts w:asciiTheme="majorHAnsi" w:eastAsia="Times New Roman" w:hAnsiTheme="majorHAnsi" w:cstheme="majorHAnsi"/>
                <w:sz w:val="18"/>
                <w:szCs w:val="18"/>
                <w:lang w:eastAsia="en-US"/>
              </w:rPr>
              <w:t>48</w:t>
            </w:r>
          </w:p>
        </w:tc>
        <w:tc>
          <w:tcPr>
            <w:tcW w:w="960" w:type="dxa"/>
            <w:tcBorders>
              <w:top w:val="single" w:sz="4" w:space="0" w:color="auto"/>
            </w:tcBorders>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r w:rsidRPr="000D1B2A">
              <w:rPr>
                <w:rFonts w:asciiTheme="majorHAnsi" w:eastAsia="Times New Roman" w:hAnsiTheme="majorHAnsi" w:cstheme="majorHAnsi"/>
                <w:sz w:val="18"/>
                <w:szCs w:val="18"/>
                <w:lang w:eastAsia="en-US"/>
              </w:rPr>
              <w:t>55</w:t>
            </w:r>
          </w:p>
        </w:tc>
      </w:tr>
      <w:tr w:rsidR="00642351" w:rsidRPr="009F1DB9" w:rsidTr="000C2EEF">
        <w:trPr>
          <w:trHeight w:val="230"/>
        </w:trPr>
        <w:tc>
          <w:tcPr>
            <w:tcW w:w="4100" w:type="dxa"/>
            <w:shd w:val="clear" w:color="auto" w:fill="auto"/>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0D1B2A">
              <w:rPr>
                <w:rFonts w:asciiTheme="majorHAnsi" w:eastAsia="Times New Roman" w:hAnsiTheme="majorHAnsi" w:cstheme="majorHAnsi"/>
                <w:sz w:val="18"/>
                <w:szCs w:val="18"/>
                <w:lang w:eastAsia="en-US"/>
              </w:rPr>
              <w:t>общество (Digital Economy and Society Index,</w:t>
            </w:r>
          </w:p>
        </w:tc>
        <w:tc>
          <w:tcPr>
            <w:tcW w:w="1080" w:type="dxa"/>
            <w:shd w:val="clear" w:color="auto" w:fill="F2F2F2"/>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980" w:type="dxa"/>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960" w:type="dxa"/>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960" w:type="dxa"/>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960" w:type="dxa"/>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9F1DB9" w:rsidTr="000C2EEF">
        <w:trPr>
          <w:trHeight w:val="230"/>
        </w:trPr>
        <w:tc>
          <w:tcPr>
            <w:tcW w:w="4100" w:type="dxa"/>
            <w:shd w:val="clear" w:color="auto" w:fill="auto"/>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r w:rsidRPr="000D1B2A">
              <w:rPr>
                <w:rFonts w:asciiTheme="majorHAnsi" w:eastAsia="Times New Roman" w:hAnsiTheme="majorHAnsi" w:cstheme="majorHAnsi"/>
                <w:sz w:val="18"/>
                <w:szCs w:val="18"/>
                <w:lang w:eastAsia="en-US"/>
              </w:rPr>
              <w:t>DESI) за България</w:t>
            </w:r>
          </w:p>
        </w:tc>
        <w:tc>
          <w:tcPr>
            <w:tcW w:w="1080" w:type="dxa"/>
            <w:shd w:val="clear" w:color="auto" w:fill="F2F2F2"/>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980" w:type="dxa"/>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960" w:type="dxa"/>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960" w:type="dxa"/>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c>
          <w:tcPr>
            <w:tcW w:w="960" w:type="dxa"/>
            <w:shd w:val="clear" w:color="auto" w:fill="auto"/>
            <w:vAlign w:val="center"/>
          </w:tcPr>
          <w:p w:rsidR="00642351" w:rsidRPr="000D1B2A" w:rsidRDefault="00642351" w:rsidP="000C2EEF">
            <w:pPr>
              <w:widowControl w:val="0"/>
              <w:autoSpaceDE w:val="0"/>
              <w:autoSpaceDN w:val="0"/>
              <w:adjustRightInd w:val="0"/>
              <w:spacing w:after="0"/>
              <w:jc w:val="center"/>
              <w:rPr>
                <w:rFonts w:asciiTheme="majorHAnsi" w:eastAsia="Times New Roman" w:hAnsiTheme="majorHAnsi" w:cstheme="majorHAnsi"/>
                <w:sz w:val="18"/>
                <w:szCs w:val="18"/>
                <w:lang w:eastAsia="en-US"/>
              </w:rPr>
            </w:pPr>
          </w:p>
        </w:tc>
      </w:tr>
      <w:tr w:rsidR="00642351" w:rsidRPr="009F1DB9" w:rsidTr="000C2EEF">
        <w:trPr>
          <w:trHeight w:val="83"/>
        </w:trPr>
        <w:tc>
          <w:tcPr>
            <w:tcW w:w="4100" w:type="dxa"/>
            <w:tcBorders>
              <w:bottom w:val="single" w:sz="8" w:space="0" w:color="auto"/>
            </w:tcBorders>
            <w:shd w:val="clear" w:color="auto" w:fill="auto"/>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1080" w:type="dxa"/>
            <w:tcBorders>
              <w:bottom w:val="single" w:sz="8" w:space="0" w:color="auto"/>
            </w:tcBorders>
            <w:shd w:val="clear" w:color="auto" w:fill="F2F2F2"/>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980" w:type="dxa"/>
            <w:tcBorders>
              <w:bottom w:val="single" w:sz="8" w:space="0" w:color="auto"/>
            </w:tcBorders>
            <w:shd w:val="clear" w:color="auto" w:fill="auto"/>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960" w:type="dxa"/>
            <w:tcBorders>
              <w:bottom w:val="single" w:sz="8" w:space="0" w:color="auto"/>
            </w:tcBorders>
            <w:shd w:val="clear" w:color="auto" w:fill="auto"/>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960" w:type="dxa"/>
            <w:tcBorders>
              <w:bottom w:val="single" w:sz="8" w:space="0" w:color="auto"/>
            </w:tcBorders>
            <w:shd w:val="clear" w:color="auto" w:fill="auto"/>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c>
          <w:tcPr>
            <w:tcW w:w="960" w:type="dxa"/>
            <w:tcBorders>
              <w:bottom w:val="single" w:sz="8" w:space="0" w:color="auto"/>
            </w:tcBorders>
            <w:shd w:val="clear" w:color="auto" w:fill="auto"/>
            <w:vAlign w:val="bottom"/>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lang w:eastAsia="en-US"/>
              </w:rPr>
            </w:pPr>
          </w:p>
        </w:tc>
      </w:tr>
    </w:tbl>
    <w:p w:rsidR="00E60644" w:rsidRPr="00E60644" w:rsidRDefault="00642351" w:rsidP="00E60644">
      <w:pPr>
        <w:spacing w:after="0" w:line="243" w:lineRule="auto"/>
        <w:ind w:left="80" w:right="80"/>
        <w:rPr>
          <w:rFonts w:eastAsia="Times New Roman" w:cs="Arial"/>
          <w:sz w:val="19"/>
          <w:szCs w:val="20"/>
        </w:rPr>
      </w:pPr>
      <w:r w:rsidRPr="00283FBB">
        <w:rPr>
          <w:rFonts w:eastAsia="Times New Roman" w:cs="Arial"/>
          <w:szCs w:val="20"/>
        </w:rPr>
        <w:t>*</w:t>
      </w:r>
      <w:r w:rsidRPr="00283FBB">
        <w:rPr>
          <w:rFonts w:eastAsia="Times New Roman" w:cs="Arial"/>
          <w:sz w:val="19"/>
          <w:szCs w:val="20"/>
        </w:rPr>
        <w:t>Индексът</w:t>
      </w:r>
      <w:r w:rsidRPr="00283FBB">
        <w:rPr>
          <w:rFonts w:eastAsia="Times New Roman" w:cs="Arial"/>
          <w:szCs w:val="20"/>
        </w:rPr>
        <w:t xml:space="preserve"> </w:t>
      </w:r>
      <w:r w:rsidRPr="00283FBB">
        <w:rPr>
          <w:rFonts w:eastAsia="Times New Roman" w:cs="Arial"/>
          <w:sz w:val="19"/>
          <w:szCs w:val="20"/>
        </w:rPr>
        <w:t>DESI</w:t>
      </w:r>
      <w:r w:rsidRPr="00283FBB">
        <w:rPr>
          <w:rFonts w:eastAsia="Times New Roman" w:cs="Arial"/>
          <w:szCs w:val="20"/>
        </w:rPr>
        <w:t xml:space="preserve"> </w:t>
      </w:r>
      <w:r w:rsidRPr="00283FBB">
        <w:rPr>
          <w:rFonts w:eastAsia="Times New Roman" w:cs="Arial"/>
          <w:b/>
          <w:i/>
          <w:sz w:val="19"/>
          <w:szCs w:val="20"/>
        </w:rPr>
        <w:t>(Digital Economy and Society Index)</w:t>
      </w:r>
      <w:r w:rsidRPr="00283FBB">
        <w:rPr>
          <w:rFonts w:eastAsia="Times New Roman" w:cs="Arial"/>
          <w:szCs w:val="20"/>
        </w:rPr>
        <w:t xml:space="preserve"> </w:t>
      </w:r>
      <w:r w:rsidRPr="00283FBB">
        <w:rPr>
          <w:rFonts w:eastAsia="Times New Roman" w:cs="Arial"/>
          <w:sz w:val="19"/>
          <w:szCs w:val="20"/>
        </w:rPr>
        <w:t>измерва степента на навлизане на цифровизацията в</w:t>
      </w:r>
      <w:r w:rsidRPr="00283FBB">
        <w:rPr>
          <w:rFonts w:eastAsia="Times New Roman" w:cs="Arial"/>
          <w:szCs w:val="20"/>
        </w:rPr>
        <w:t xml:space="preserve"> </w:t>
      </w:r>
      <w:r w:rsidRPr="00283FBB">
        <w:rPr>
          <w:rFonts w:eastAsia="Times New Roman" w:cs="Arial"/>
          <w:sz w:val="19"/>
          <w:szCs w:val="20"/>
        </w:rPr>
        <w:t>икономиката и обществото. Той е съставен индекс, който обобщава съответните показатели за цифровизацията в Европа като цяло и държавите</w:t>
      </w:r>
      <w:r w:rsidR="00520971">
        <w:rPr>
          <w:rFonts w:eastAsia="Times New Roman" w:cs="Arial"/>
          <w:sz w:val="19"/>
          <w:szCs w:val="20"/>
        </w:rPr>
        <w:t xml:space="preserve"> </w:t>
      </w:r>
      <w:r w:rsidRPr="00283FBB">
        <w:rPr>
          <w:rFonts w:eastAsia="Times New Roman" w:cs="Arial"/>
          <w:sz w:val="19"/>
          <w:szCs w:val="20"/>
        </w:rPr>
        <w:t xml:space="preserve">членки на ЕС поотделно. Индексът DESI се изчислява като средна стойност на дименсиите на пет тегловни части: 1. Свързаност (25%); 2. Човешки капитал (25%); 3. Използване на интернет (15%); 4. Внедряване на цифрови технологии (20%) и 5. Цифрови обществени услуги (15%) и заема стойности от 0 (min) до 100 (max). Информацията се набира от Европейската комисия от меродавни източници, като Евростат и ежегодни проучвания. </w:t>
      </w:r>
      <w:r w:rsidR="00E60644" w:rsidRPr="00E60644">
        <w:rPr>
          <w:rFonts w:eastAsia="Times New Roman" w:cs="Arial"/>
          <w:sz w:val="19"/>
          <w:szCs w:val="20"/>
        </w:rPr>
        <w:t>Съставен  индекс за цифрова икономика и общество  средно за ЕС: 55 за 2019 г., 57 за 2020 г., 62 за 2021 г. и 65 за 2022 г.</w:t>
      </w:r>
    </w:p>
    <w:p w:rsidR="00642351" w:rsidRPr="00283FBB" w:rsidRDefault="00642351" w:rsidP="00642351">
      <w:pPr>
        <w:spacing w:after="0" w:line="243" w:lineRule="auto"/>
        <w:ind w:left="80" w:right="80"/>
        <w:rPr>
          <w:rFonts w:eastAsia="Times New Roman" w:cs="Arial"/>
          <w:sz w:val="19"/>
          <w:szCs w:val="20"/>
        </w:rPr>
      </w:pPr>
    </w:p>
    <w:p w:rsidR="00E60644" w:rsidRDefault="00E60644" w:rsidP="00642351">
      <w:pPr>
        <w:spacing w:after="0" w:line="237" w:lineRule="auto"/>
        <w:ind w:left="80" w:right="60"/>
        <w:rPr>
          <w:rFonts w:eastAsia="Times New Roman" w:cs="Arial"/>
          <w:szCs w:val="20"/>
        </w:rPr>
      </w:pPr>
    </w:p>
    <w:p w:rsidR="00642351" w:rsidRDefault="00642351" w:rsidP="00642351">
      <w:pPr>
        <w:spacing w:after="0" w:line="237" w:lineRule="auto"/>
        <w:ind w:left="80" w:right="60"/>
        <w:rPr>
          <w:rFonts w:eastAsia="Times New Roman" w:cs="Arial"/>
          <w:szCs w:val="20"/>
        </w:rPr>
      </w:pPr>
      <w:r w:rsidRPr="00283FBB">
        <w:rPr>
          <w:rFonts w:eastAsia="Times New Roman" w:cs="Arial"/>
          <w:szCs w:val="20"/>
        </w:rPr>
        <w:t>Напредъкът в развитието на електронното управление се свързва основно с разработване и надграждане на елементи от инфраструктурата и основните информационни системи, чрез които се осъществява предоставянето на информация и електронни услуги. Основополагащ елемент от цялостната архитектура е и схемата за електронна идентификация.</w:t>
      </w:r>
    </w:p>
    <w:p w:rsidR="00642351" w:rsidRDefault="00642351" w:rsidP="00642351">
      <w:pPr>
        <w:spacing w:after="0" w:line="237" w:lineRule="auto"/>
        <w:ind w:left="80" w:right="60"/>
        <w:rPr>
          <w:rFonts w:eastAsia="Times New Roman" w:cs="Arial"/>
          <w:szCs w:val="20"/>
        </w:rPr>
      </w:pPr>
    </w:p>
    <w:p w:rsidR="00EE2FAE" w:rsidRDefault="00EE2FAE" w:rsidP="00AD1AF9">
      <w:pPr>
        <w:rPr>
          <w:rFonts w:eastAsia="Times New Roman"/>
          <w:b/>
          <w:sz w:val="20"/>
          <w:szCs w:val="20"/>
        </w:rPr>
      </w:pPr>
    </w:p>
    <w:p w:rsidR="003E6F32" w:rsidRDefault="00AD1AF9" w:rsidP="00AD1AF9">
      <w:pPr>
        <w:rPr>
          <w:rFonts w:eastAsia="Times New Roman"/>
          <w:b/>
          <w:sz w:val="20"/>
          <w:szCs w:val="20"/>
        </w:rPr>
      </w:pPr>
      <w:r w:rsidRPr="00FB74BC">
        <w:rPr>
          <w:rFonts w:eastAsia="Times New Roman"/>
          <w:b/>
          <w:sz w:val="20"/>
          <w:szCs w:val="20"/>
        </w:rPr>
        <w:t>КЛЮЧОВИ ИНДИКАТОРИ ЗА ИЗПЪЛНЕНИЕ И ЦЕЛЕВИ СТОЙНОСТИ</w:t>
      </w:r>
    </w:p>
    <w:tbl>
      <w:tblPr>
        <w:tblStyle w:val="TableGrid2"/>
        <w:tblW w:w="9087"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43"/>
        <w:gridCol w:w="1121"/>
        <w:gridCol w:w="1007"/>
        <w:gridCol w:w="991"/>
        <w:gridCol w:w="992"/>
        <w:gridCol w:w="1133"/>
      </w:tblGrid>
      <w:tr w:rsidR="00642351" w:rsidRPr="009F1DB9" w:rsidTr="004100C6">
        <w:trPr>
          <w:trHeight w:val="56"/>
          <w:tblHeader/>
        </w:trPr>
        <w:tc>
          <w:tcPr>
            <w:tcW w:w="3843" w:type="dxa"/>
            <w:tcBorders>
              <w:bottom w:val="nil"/>
            </w:tcBorders>
            <w:vAlign w:val="center"/>
            <w:hideMark/>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Политика в областта на електронното управление</w:t>
            </w:r>
          </w:p>
        </w:tc>
        <w:tc>
          <w:tcPr>
            <w:tcW w:w="1121" w:type="dxa"/>
            <w:vMerge w:val="restart"/>
            <w:tcBorders>
              <w:bottom w:val="nil"/>
            </w:tcBorders>
            <w:shd w:val="clear" w:color="auto" w:fill="F2F2F2" w:themeFill="background1" w:themeFillShade="F2"/>
            <w:vAlign w:val="center"/>
            <w:hideMark/>
          </w:tcPr>
          <w:p w:rsidR="00642351" w:rsidRPr="009F1DB9" w:rsidRDefault="00642351" w:rsidP="000C2EEF">
            <w:pPr>
              <w:spacing w:after="0" w:line="0" w:lineRule="atLeast"/>
              <w:jc w:val="center"/>
              <w:rPr>
                <w:rFonts w:eastAsia="Times New Roman" w:cs="Times New Roman"/>
                <w:b/>
                <w:i/>
                <w:sz w:val="18"/>
                <w:szCs w:val="18"/>
              </w:rPr>
            </w:pPr>
          </w:p>
          <w:p w:rsidR="00642351" w:rsidRPr="00EE04B8" w:rsidRDefault="00642351" w:rsidP="000C2EEF">
            <w:pPr>
              <w:spacing w:after="0" w:line="0" w:lineRule="atLeast"/>
              <w:jc w:val="center"/>
              <w:rPr>
                <w:rFonts w:eastAsia="Times New Roman" w:cs="Times New Roman"/>
                <w:b/>
                <w:sz w:val="18"/>
                <w:szCs w:val="18"/>
              </w:rPr>
            </w:pPr>
            <w:r w:rsidRPr="00EE04B8">
              <w:rPr>
                <w:rFonts w:eastAsia="Times New Roman" w:cs="Times New Roman"/>
                <w:b/>
                <w:sz w:val="18"/>
                <w:szCs w:val="18"/>
              </w:rPr>
              <w:t>Мерна единица</w:t>
            </w:r>
          </w:p>
        </w:tc>
        <w:tc>
          <w:tcPr>
            <w:tcW w:w="4123" w:type="dxa"/>
            <w:gridSpan w:val="4"/>
            <w:tcBorders>
              <w:bottom w:val="single" w:sz="4" w:space="0" w:color="auto"/>
            </w:tcBorders>
            <w:vAlign w:val="center"/>
            <w:hideMark/>
          </w:tcPr>
          <w:p w:rsidR="00642351" w:rsidRPr="00261D54" w:rsidRDefault="00642351" w:rsidP="000C2EEF">
            <w:pPr>
              <w:spacing w:after="0" w:line="0" w:lineRule="atLeast"/>
              <w:ind w:left="162" w:hanging="162"/>
              <w:jc w:val="center"/>
              <w:rPr>
                <w:rFonts w:eastAsia="Times New Roman" w:cs="Times New Roman"/>
                <w:b/>
                <w:sz w:val="18"/>
                <w:szCs w:val="18"/>
              </w:rPr>
            </w:pPr>
            <w:r w:rsidRPr="00261D54">
              <w:rPr>
                <w:rFonts w:eastAsia="Times New Roman" w:cs="Times New Roman"/>
                <w:b/>
                <w:sz w:val="18"/>
                <w:szCs w:val="18"/>
              </w:rPr>
              <w:t>Целева стойност</w:t>
            </w:r>
          </w:p>
        </w:tc>
      </w:tr>
      <w:tr w:rsidR="00642351" w:rsidRPr="009F1DB9" w:rsidTr="004100C6">
        <w:trPr>
          <w:trHeight w:val="64"/>
          <w:tblHeader/>
        </w:trPr>
        <w:tc>
          <w:tcPr>
            <w:tcW w:w="3843" w:type="dxa"/>
            <w:tcBorders>
              <w:top w:val="nil"/>
              <w:bottom w:val="single" w:sz="4" w:space="0" w:color="auto"/>
            </w:tcBorders>
            <w:vAlign w:val="center"/>
            <w:hideMark/>
          </w:tcPr>
          <w:p w:rsidR="00642351" w:rsidRPr="006F2CDA" w:rsidRDefault="00642351" w:rsidP="000C2EEF">
            <w:pPr>
              <w:spacing w:after="0" w:line="0" w:lineRule="atLeast"/>
              <w:jc w:val="center"/>
              <w:rPr>
                <w:rFonts w:eastAsia="Times New Roman" w:cs="Times New Roman"/>
                <w:b/>
                <w:sz w:val="18"/>
                <w:szCs w:val="18"/>
              </w:rPr>
            </w:pPr>
            <w:r w:rsidRPr="006F2CDA">
              <w:rPr>
                <w:rFonts w:eastAsia="Times New Roman" w:cs="Times New Roman"/>
                <w:b/>
                <w:sz w:val="18"/>
                <w:szCs w:val="18"/>
              </w:rPr>
              <w:t>Наименование на индикатора</w:t>
            </w:r>
          </w:p>
        </w:tc>
        <w:tc>
          <w:tcPr>
            <w:tcW w:w="1121" w:type="dxa"/>
            <w:vMerge/>
            <w:tcBorders>
              <w:top w:val="nil"/>
              <w:bottom w:val="single" w:sz="4" w:space="0" w:color="auto"/>
            </w:tcBorders>
            <w:shd w:val="clear" w:color="auto" w:fill="F2F2F2" w:themeFill="background1" w:themeFillShade="F2"/>
            <w:vAlign w:val="center"/>
            <w:hideMark/>
          </w:tcPr>
          <w:p w:rsidR="00642351" w:rsidRPr="009F1DB9" w:rsidRDefault="00642351" w:rsidP="000C2EEF">
            <w:pPr>
              <w:spacing w:after="0" w:line="0" w:lineRule="atLeast"/>
              <w:jc w:val="center"/>
              <w:rPr>
                <w:rFonts w:eastAsia="Times New Roman" w:cs="Times New Roman"/>
                <w:b/>
                <w:i/>
                <w:sz w:val="18"/>
                <w:szCs w:val="18"/>
              </w:rPr>
            </w:pPr>
          </w:p>
        </w:tc>
        <w:tc>
          <w:tcPr>
            <w:tcW w:w="1007" w:type="dxa"/>
            <w:tcBorders>
              <w:top w:val="single" w:sz="4" w:space="0" w:color="auto"/>
              <w:bottom w:val="single" w:sz="4" w:space="0" w:color="auto"/>
            </w:tcBorders>
            <w:vAlign w:val="center"/>
            <w:hideMark/>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Програма 2019 г.</w:t>
            </w:r>
          </w:p>
        </w:tc>
        <w:tc>
          <w:tcPr>
            <w:tcW w:w="991" w:type="dxa"/>
            <w:tcBorders>
              <w:top w:val="single" w:sz="4" w:space="0" w:color="auto"/>
              <w:bottom w:val="single" w:sz="4" w:space="0" w:color="auto"/>
            </w:tcBorders>
            <w:vAlign w:val="center"/>
            <w:hideMark/>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Про</w:t>
            </w:r>
            <w:r w:rsidR="00CE2D55">
              <w:rPr>
                <w:rFonts w:eastAsia="Times New Roman" w:cs="Times New Roman"/>
                <w:b/>
                <w:i/>
                <w:sz w:val="18"/>
                <w:szCs w:val="18"/>
              </w:rPr>
              <w:t>ект</w:t>
            </w:r>
            <w:r w:rsidRPr="009F1DB9">
              <w:rPr>
                <w:rFonts w:eastAsia="Times New Roman" w:cs="Times New Roman"/>
                <w:b/>
                <w:i/>
                <w:sz w:val="18"/>
                <w:szCs w:val="18"/>
              </w:rPr>
              <w:t xml:space="preserve"> 2020 г.</w:t>
            </w:r>
          </w:p>
        </w:tc>
        <w:tc>
          <w:tcPr>
            <w:tcW w:w="992" w:type="dxa"/>
            <w:tcBorders>
              <w:top w:val="single" w:sz="4" w:space="0" w:color="auto"/>
              <w:bottom w:val="single" w:sz="4" w:space="0" w:color="auto"/>
            </w:tcBorders>
            <w:vAlign w:val="center"/>
            <w:hideMark/>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Прогноза 2021 г.</w:t>
            </w:r>
          </w:p>
        </w:tc>
        <w:tc>
          <w:tcPr>
            <w:tcW w:w="1133" w:type="dxa"/>
            <w:tcBorders>
              <w:top w:val="single" w:sz="4" w:space="0" w:color="auto"/>
              <w:bottom w:val="single" w:sz="4" w:space="0" w:color="auto"/>
            </w:tcBorders>
            <w:vAlign w:val="center"/>
            <w:hideMark/>
          </w:tcPr>
          <w:p w:rsidR="00642351" w:rsidRPr="009F1DB9" w:rsidRDefault="00642351" w:rsidP="000C2EEF">
            <w:pPr>
              <w:spacing w:after="0" w:line="0" w:lineRule="atLeast"/>
              <w:jc w:val="center"/>
              <w:rPr>
                <w:rFonts w:eastAsia="Times New Roman" w:cs="Times New Roman"/>
                <w:b/>
                <w:i/>
                <w:sz w:val="18"/>
                <w:szCs w:val="18"/>
              </w:rPr>
            </w:pPr>
            <w:r w:rsidRPr="009F1DB9">
              <w:rPr>
                <w:rFonts w:eastAsia="Times New Roman" w:cs="Times New Roman"/>
                <w:b/>
                <w:i/>
                <w:sz w:val="18"/>
                <w:szCs w:val="18"/>
              </w:rPr>
              <w:t>Прогноза 2022 г.</w:t>
            </w:r>
          </w:p>
        </w:tc>
      </w:tr>
      <w:tr w:rsidR="00642351" w:rsidRPr="009F1DB9" w:rsidTr="00B41461">
        <w:trPr>
          <w:trHeight w:val="56"/>
        </w:trPr>
        <w:tc>
          <w:tcPr>
            <w:tcW w:w="3843" w:type="dxa"/>
            <w:tcBorders>
              <w:top w:val="single" w:sz="4" w:space="0" w:color="auto"/>
              <w:bottom w:val="nil"/>
            </w:tcBorders>
            <w:vAlign w:val="center"/>
            <w:hideMark/>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 xml:space="preserve">1. Функциониращ Център за електронна идентификация и поддържане и развитие на </w:t>
            </w:r>
            <w:r w:rsidR="0083795C">
              <w:rPr>
                <w:rFonts w:asciiTheme="majorHAnsi" w:eastAsia="Times New Roman" w:hAnsiTheme="majorHAnsi" w:cstheme="majorHAnsi"/>
                <w:sz w:val="18"/>
                <w:szCs w:val="18"/>
              </w:rPr>
              <w:t xml:space="preserve"> </w:t>
            </w:r>
            <w:r w:rsidRPr="000D1B2A">
              <w:rPr>
                <w:rFonts w:asciiTheme="majorHAnsi" w:eastAsia="Times New Roman" w:hAnsiTheme="majorHAnsi" w:cstheme="majorHAnsi"/>
                <w:sz w:val="18"/>
                <w:szCs w:val="18"/>
              </w:rPr>
              <w:t>e</w:t>
            </w:r>
            <w:r w:rsidR="0083795C">
              <w:rPr>
                <w:rFonts w:asciiTheme="majorHAnsi" w:eastAsia="Times New Roman" w:hAnsiTheme="majorHAnsi" w:cstheme="majorHAnsi"/>
                <w:sz w:val="18"/>
                <w:szCs w:val="18"/>
              </w:rPr>
              <w:t>-</w:t>
            </w:r>
            <w:r w:rsidRPr="000D1B2A">
              <w:rPr>
                <w:rFonts w:asciiTheme="majorHAnsi" w:eastAsia="Times New Roman" w:hAnsiTheme="majorHAnsi" w:cstheme="majorHAnsi"/>
                <w:sz w:val="18"/>
                <w:szCs w:val="18"/>
              </w:rPr>
              <w:t>IDAS възел за предоставяне на трансгранична електронна идентификация.</w:t>
            </w:r>
          </w:p>
        </w:tc>
        <w:tc>
          <w:tcPr>
            <w:tcW w:w="1121" w:type="dxa"/>
            <w:tcBorders>
              <w:top w:val="single" w:sz="4" w:space="0" w:color="auto"/>
              <w:bottom w:val="nil"/>
            </w:tcBorders>
            <w:shd w:val="clear" w:color="auto" w:fill="F2F2F2" w:themeFill="background1" w:themeFillShade="F2"/>
            <w:vAlign w:val="center"/>
            <w:hideMark/>
          </w:tcPr>
          <w:p w:rsidR="00642351" w:rsidRPr="000D1B2A" w:rsidRDefault="00347827" w:rsidP="000C2EEF">
            <w:pPr>
              <w:widowControl w:val="0"/>
              <w:autoSpaceDE w:val="0"/>
              <w:autoSpaceDN w:val="0"/>
              <w:adjustRightInd w:val="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1007" w:type="dxa"/>
            <w:tcBorders>
              <w:top w:val="single" w:sz="4" w:space="0" w:color="auto"/>
              <w:bottom w:val="nil"/>
            </w:tcBorders>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991" w:type="dxa"/>
            <w:tcBorders>
              <w:top w:val="single" w:sz="4" w:space="0" w:color="auto"/>
              <w:bottom w:val="nil"/>
            </w:tcBorders>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992" w:type="dxa"/>
            <w:tcBorders>
              <w:top w:val="single" w:sz="4" w:space="0" w:color="auto"/>
              <w:bottom w:val="nil"/>
            </w:tcBorders>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c>
          <w:tcPr>
            <w:tcW w:w="1133" w:type="dxa"/>
            <w:tcBorders>
              <w:top w:val="single" w:sz="4" w:space="0" w:color="auto"/>
              <w:bottom w:val="nil"/>
            </w:tcBorders>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w:t>
            </w:r>
          </w:p>
        </w:tc>
      </w:tr>
      <w:tr w:rsidR="00642351" w:rsidRPr="009F1DB9" w:rsidTr="008543D7">
        <w:trPr>
          <w:trHeight w:val="631"/>
        </w:trPr>
        <w:tc>
          <w:tcPr>
            <w:tcW w:w="3843" w:type="dxa"/>
            <w:tcBorders>
              <w:top w:val="nil"/>
            </w:tcBorders>
            <w:vAlign w:val="center"/>
            <w:hideMark/>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2. Присъединени администрации към хоризонталните системи на електронното управление.</w:t>
            </w:r>
          </w:p>
        </w:tc>
        <w:tc>
          <w:tcPr>
            <w:tcW w:w="1121" w:type="dxa"/>
            <w:tcBorders>
              <w:top w:val="nil"/>
            </w:tcBorders>
            <w:shd w:val="clear" w:color="auto" w:fill="F2F2F2" w:themeFill="background1" w:themeFillShade="F2"/>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w:t>
            </w:r>
          </w:p>
        </w:tc>
        <w:tc>
          <w:tcPr>
            <w:tcW w:w="1007" w:type="dxa"/>
            <w:tcBorders>
              <w:top w:val="nil"/>
            </w:tcBorders>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50</w:t>
            </w:r>
          </w:p>
        </w:tc>
        <w:tc>
          <w:tcPr>
            <w:tcW w:w="991" w:type="dxa"/>
            <w:tcBorders>
              <w:top w:val="nil"/>
            </w:tcBorders>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60</w:t>
            </w:r>
          </w:p>
        </w:tc>
        <w:tc>
          <w:tcPr>
            <w:tcW w:w="992" w:type="dxa"/>
            <w:tcBorders>
              <w:top w:val="nil"/>
            </w:tcBorders>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65</w:t>
            </w:r>
          </w:p>
        </w:tc>
        <w:tc>
          <w:tcPr>
            <w:tcW w:w="1133" w:type="dxa"/>
            <w:tcBorders>
              <w:top w:val="nil"/>
            </w:tcBorders>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70</w:t>
            </w:r>
          </w:p>
        </w:tc>
      </w:tr>
      <w:tr w:rsidR="00642351" w:rsidRPr="009F1DB9" w:rsidTr="000C2EEF">
        <w:trPr>
          <w:trHeight w:val="70"/>
        </w:trPr>
        <w:tc>
          <w:tcPr>
            <w:tcW w:w="3843" w:type="dxa"/>
            <w:vAlign w:val="center"/>
            <w:hideMark/>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 Свързани регистри за служебен достъп в държавната администрация.</w:t>
            </w:r>
          </w:p>
        </w:tc>
        <w:tc>
          <w:tcPr>
            <w:tcW w:w="1121" w:type="dxa"/>
            <w:shd w:val="clear" w:color="auto" w:fill="F2F2F2" w:themeFill="background1" w:themeFillShade="F2"/>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w:t>
            </w:r>
          </w:p>
        </w:tc>
        <w:tc>
          <w:tcPr>
            <w:tcW w:w="1007"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50</w:t>
            </w:r>
          </w:p>
        </w:tc>
        <w:tc>
          <w:tcPr>
            <w:tcW w:w="991"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70</w:t>
            </w:r>
          </w:p>
        </w:tc>
        <w:tc>
          <w:tcPr>
            <w:tcW w:w="992"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75</w:t>
            </w:r>
          </w:p>
        </w:tc>
        <w:tc>
          <w:tcPr>
            <w:tcW w:w="1133"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80</w:t>
            </w:r>
          </w:p>
        </w:tc>
      </w:tr>
      <w:tr w:rsidR="00642351" w:rsidRPr="009F1DB9" w:rsidTr="000C2EEF">
        <w:trPr>
          <w:trHeight w:val="66"/>
        </w:trPr>
        <w:tc>
          <w:tcPr>
            <w:tcW w:w="3843" w:type="dxa"/>
            <w:vAlign w:val="center"/>
            <w:hideMark/>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4. Добавени нови точки на свързване на Единната електронна съобщителна мрежа.</w:t>
            </w:r>
          </w:p>
        </w:tc>
        <w:tc>
          <w:tcPr>
            <w:tcW w:w="1121" w:type="dxa"/>
            <w:shd w:val="clear" w:color="auto" w:fill="F2F2F2" w:themeFill="background1" w:themeFillShade="F2"/>
            <w:vAlign w:val="center"/>
            <w:hideMark/>
          </w:tcPr>
          <w:p w:rsidR="00642351" w:rsidRPr="000D1B2A" w:rsidRDefault="00347827" w:rsidP="000C2EEF">
            <w:pPr>
              <w:widowControl w:val="0"/>
              <w:autoSpaceDE w:val="0"/>
              <w:autoSpaceDN w:val="0"/>
              <w:adjustRightInd w:val="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брой</w:t>
            </w:r>
          </w:p>
        </w:tc>
        <w:tc>
          <w:tcPr>
            <w:tcW w:w="1007"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30</w:t>
            </w:r>
          </w:p>
        </w:tc>
        <w:tc>
          <w:tcPr>
            <w:tcW w:w="991"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30</w:t>
            </w:r>
          </w:p>
        </w:tc>
        <w:tc>
          <w:tcPr>
            <w:tcW w:w="992"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30</w:t>
            </w:r>
          </w:p>
        </w:tc>
        <w:tc>
          <w:tcPr>
            <w:tcW w:w="1133"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30</w:t>
            </w:r>
          </w:p>
        </w:tc>
      </w:tr>
      <w:tr w:rsidR="00642351" w:rsidRPr="009F1DB9" w:rsidTr="000C2EEF">
        <w:trPr>
          <w:trHeight w:val="66"/>
        </w:trPr>
        <w:tc>
          <w:tcPr>
            <w:tcW w:w="3843" w:type="dxa"/>
            <w:vAlign w:val="center"/>
            <w:hideMark/>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5. Увеличаване на преносния капацитет на Единната електронна съобщителна мрежа.</w:t>
            </w:r>
          </w:p>
        </w:tc>
        <w:tc>
          <w:tcPr>
            <w:tcW w:w="1121" w:type="dxa"/>
            <w:shd w:val="clear" w:color="auto" w:fill="F2F2F2" w:themeFill="background1" w:themeFillShade="F2"/>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w:t>
            </w:r>
          </w:p>
        </w:tc>
        <w:tc>
          <w:tcPr>
            <w:tcW w:w="1007"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15</w:t>
            </w:r>
          </w:p>
        </w:tc>
        <w:tc>
          <w:tcPr>
            <w:tcW w:w="991"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15</w:t>
            </w:r>
          </w:p>
        </w:tc>
        <w:tc>
          <w:tcPr>
            <w:tcW w:w="992"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15</w:t>
            </w:r>
          </w:p>
        </w:tc>
        <w:tc>
          <w:tcPr>
            <w:tcW w:w="1133"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15</w:t>
            </w:r>
          </w:p>
        </w:tc>
      </w:tr>
      <w:tr w:rsidR="00642351" w:rsidRPr="009F1DB9" w:rsidTr="000C2EEF">
        <w:trPr>
          <w:trHeight w:val="255"/>
        </w:trPr>
        <w:tc>
          <w:tcPr>
            <w:tcW w:w="3843" w:type="dxa"/>
            <w:vAlign w:val="center"/>
            <w:hideMark/>
          </w:tcPr>
          <w:p w:rsidR="00642351" w:rsidRPr="000D1B2A" w:rsidRDefault="00642351" w:rsidP="000C2EEF">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6. Намаляване на инцидентите със значително увреждащо въздействие в мрежовата и информационна сигурност.</w:t>
            </w:r>
          </w:p>
        </w:tc>
        <w:tc>
          <w:tcPr>
            <w:tcW w:w="1121" w:type="dxa"/>
            <w:shd w:val="clear" w:color="auto" w:fill="F2F2F2" w:themeFill="background1" w:themeFillShade="F2"/>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w:t>
            </w:r>
          </w:p>
        </w:tc>
        <w:tc>
          <w:tcPr>
            <w:tcW w:w="1007"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991"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992"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5</w:t>
            </w:r>
          </w:p>
        </w:tc>
        <w:tc>
          <w:tcPr>
            <w:tcW w:w="1133" w:type="dxa"/>
            <w:vAlign w:val="center"/>
            <w:hideMark/>
          </w:tcPr>
          <w:p w:rsidR="00642351" w:rsidRPr="000D1B2A" w:rsidRDefault="00642351" w:rsidP="000C2EEF">
            <w:pPr>
              <w:widowControl w:val="0"/>
              <w:autoSpaceDE w:val="0"/>
              <w:autoSpaceDN w:val="0"/>
              <w:adjustRightInd w:val="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5</w:t>
            </w:r>
          </w:p>
        </w:tc>
      </w:tr>
    </w:tbl>
    <w:p w:rsidR="00642351" w:rsidRDefault="00642351" w:rsidP="0076067E">
      <w:pPr>
        <w:spacing w:before="120" w:after="0"/>
        <w:rPr>
          <w:rFonts w:eastAsia="Times New Roman"/>
          <w:b/>
          <w:sz w:val="18"/>
          <w:szCs w:val="18"/>
        </w:rPr>
      </w:pPr>
    </w:p>
    <w:p w:rsidR="0076067E" w:rsidRPr="004100C6" w:rsidRDefault="00642351" w:rsidP="0076067E">
      <w:pPr>
        <w:spacing w:before="120" w:after="0"/>
        <w:rPr>
          <w:rFonts w:eastAsia="Times New Roman"/>
        </w:rPr>
      </w:pPr>
      <w:r w:rsidRPr="00642351">
        <w:rPr>
          <w:rFonts w:eastAsia="Times New Roman"/>
        </w:rPr>
        <w:t>За изпълнението на задълженията по Регламент (ЕС) № 910/2014 и за предоставяне на трансгранична електронна идентификация Държавната агенция „Електронно управление“ изгражда, поддържа и развива Национален център за електронна идентификация и e-IDAS възел за предоставяне на трансгранична електронна идентификация, ключови елементи от националната схема за електронна идентификация, която е регламентирана в Зако</w:t>
      </w:r>
      <w:r w:rsidR="004100C6">
        <w:rPr>
          <w:rFonts w:eastAsia="Times New Roman"/>
        </w:rPr>
        <w:t>на за електронна</w:t>
      </w:r>
      <w:r w:rsidR="00A5349B">
        <w:rPr>
          <w:rFonts w:eastAsia="Times New Roman"/>
        </w:rPr>
        <w:t>та</w:t>
      </w:r>
      <w:r w:rsidR="004100C6">
        <w:rPr>
          <w:rFonts w:eastAsia="Times New Roman"/>
        </w:rPr>
        <w:t xml:space="preserve"> идентификация.</w:t>
      </w:r>
    </w:p>
    <w:p w:rsidR="00083361" w:rsidRPr="009D2915" w:rsidRDefault="00083361" w:rsidP="00517D0A">
      <w:pPr>
        <w:pStyle w:val="Heading3"/>
        <w:ind w:left="0"/>
      </w:pPr>
      <w:bookmarkStart w:id="503" w:name="_Toc465070483"/>
      <w:bookmarkStart w:id="504" w:name="_Toc465205533"/>
      <w:r w:rsidRPr="009D2915">
        <w:t>Политика в областта на туризма</w:t>
      </w:r>
      <w:bookmarkEnd w:id="503"/>
      <w:bookmarkEnd w:id="504"/>
      <w:r w:rsidRPr="009D2915">
        <w:t xml:space="preserve"> </w:t>
      </w:r>
    </w:p>
    <w:p w:rsidR="00261D54" w:rsidRPr="00261D54" w:rsidRDefault="00261D54" w:rsidP="00261D54">
      <w:pPr>
        <w:spacing w:before="120" w:after="0"/>
        <w:rPr>
          <w:rFonts w:eastAsia="Times New Roman"/>
        </w:rPr>
      </w:pPr>
      <w:r w:rsidRPr="00261D54">
        <w:rPr>
          <w:rFonts w:eastAsia="Times New Roman"/>
        </w:rPr>
        <w:t>Политиката в областта на туризма е в подкрепа на устойчивото икономическо развитие на страната, като провеждането й гарантира повишаване на конкурентоспособността на този сектор в условията на силна конкуренция, за създаване на правилно и реалистично позициониране на българския туристически продукт и оттам за насърчаване на туристическите посещения от чужденци в България.</w:t>
      </w:r>
    </w:p>
    <w:p w:rsidR="00261D54" w:rsidRPr="00261D54" w:rsidRDefault="00261D54" w:rsidP="00261D54">
      <w:pPr>
        <w:spacing w:before="120" w:after="0"/>
        <w:rPr>
          <w:rFonts w:eastAsia="Times New Roman"/>
        </w:rPr>
      </w:pPr>
      <w:r w:rsidRPr="00261D54">
        <w:rPr>
          <w:rFonts w:eastAsia="Times New Roman"/>
        </w:rPr>
        <w:t>Основната цел на провежданата политика е утвърждаване на туризма като ключов за икономиката отрасъл. Държавната политика в областта на туризма се осъществява от Министерството на туризма с подкрепата на туристическите организации и други организации от неправителствения сектор.</w:t>
      </w:r>
    </w:p>
    <w:p w:rsidR="00261D54" w:rsidRPr="00261D54" w:rsidRDefault="00261D54" w:rsidP="00261D54">
      <w:pPr>
        <w:spacing w:before="120" w:after="0"/>
        <w:rPr>
          <w:rFonts w:eastAsia="Times New Roman"/>
        </w:rPr>
      </w:pPr>
      <w:r w:rsidRPr="00261D54">
        <w:rPr>
          <w:rFonts w:eastAsia="Times New Roman"/>
        </w:rPr>
        <w:t>При изпълнение на политиката в областта на туризма предвидените средства за периода 2020-2022 г. са насочени към:</w:t>
      </w:r>
    </w:p>
    <w:p w:rsidR="00261D54" w:rsidRPr="00261D54" w:rsidRDefault="00261D54" w:rsidP="003403BF">
      <w:pPr>
        <w:numPr>
          <w:ilvl w:val="0"/>
          <w:numId w:val="11"/>
        </w:numPr>
        <w:spacing w:before="120" w:after="0"/>
        <w:rPr>
          <w:rFonts w:eastAsia="Times New Roman"/>
        </w:rPr>
      </w:pPr>
      <w:r w:rsidRPr="00261D54">
        <w:rPr>
          <w:rFonts w:eastAsia="Times New Roman"/>
        </w:rPr>
        <w:t>Предприемане на действия, гарантиращи устойчиво целогодишно развитие на туризма чрез диверсификация на националния туристически продукт;</w:t>
      </w:r>
    </w:p>
    <w:p w:rsidR="00261D54" w:rsidRPr="00261D54" w:rsidRDefault="00261D54" w:rsidP="003403BF">
      <w:pPr>
        <w:numPr>
          <w:ilvl w:val="0"/>
          <w:numId w:val="11"/>
        </w:numPr>
        <w:spacing w:before="120" w:after="0"/>
        <w:rPr>
          <w:rFonts w:eastAsia="Times New Roman"/>
        </w:rPr>
      </w:pPr>
      <w:r w:rsidRPr="00261D54">
        <w:rPr>
          <w:rFonts w:eastAsia="Times New Roman"/>
        </w:rPr>
        <w:t>Реализиране на мерки за повишаване на неговото качество и добавена стойност и стимулиране развитието на специализираните видове туризъм;</w:t>
      </w:r>
    </w:p>
    <w:p w:rsidR="00261D54" w:rsidRPr="00261D54" w:rsidRDefault="00261D54" w:rsidP="003403BF">
      <w:pPr>
        <w:numPr>
          <w:ilvl w:val="0"/>
          <w:numId w:val="11"/>
        </w:numPr>
        <w:spacing w:before="120" w:after="0"/>
        <w:rPr>
          <w:rFonts w:eastAsia="Times New Roman"/>
        </w:rPr>
      </w:pPr>
      <w:r w:rsidRPr="00261D54">
        <w:rPr>
          <w:rFonts w:eastAsia="Times New Roman"/>
        </w:rPr>
        <w:t>Провеждане на маркетингова и рекламна политика на националния туристически продукт, която да подобри неговия имидж и позициониране на туристическия пазар;</w:t>
      </w:r>
    </w:p>
    <w:p w:rsidR="00261D54" w:rsidRPr="00261D54" w:rsidRDefault="00261D54" w:rsidP="003403BF">
      <w:pPr>
        <w:numPr>
          <w:ilvl w:val="0"/>
          <w:numId w:val="11"/>
        </w:numPr>
        <w:spacing w:before="120" w:after="0"/>
        <w:rPr>
          <w:rFonts w:eastAsia="Times New Roman"/>
        </w:rPr>
      </w:pPr>
      <w:r w:rsidRPr="00261D54">
        <w:rPr>
          <w:rFonts w:eastAsia="Times New Roman"/>
        </w:rPr>
        <w:t>Привличане на чуждестранни туристи на територията на България;</w:t>
      </w:r>
    </w:p>
    <w:p w:rsidR="00261D54" w:rsidRDefault="00261D54" w:rsidP="003403BF">
      <w:pPr>
        <w:numPr>
          <w:ilvl w:val="0"/>
          <w:numId w:val="11"/>
        </w:numPr>
        <w:spacing w:before="120" w:after="0"/>
        <w:rPr>
          <w:rFonts w:eastAsia="Times New Roman"/>
        </w:rPr>
      </w:pPr>
      <w:r w:rsidRPr="00261D54">
        <w:rPr>
          <w:rFonts w:eastAsia="Times New Roman"/>
        </w:rPr>
        <w:t>Стимулиране на устойчивото развитие на туризма и намаляване на регионалните различия чрез създаване на силни регионални брандове;</w:t>
      </w:r>
    </w:p>
    <w:p w:rsidR="00E60644" w:rsidRPr="00E60644" w:rsidRDefault="00E60644" w:rsidP="00E60644">
      <w:pPr>
        <w:numPr>
          <w:ilvl w:val="0"/>
          <w:numId w:val="11"/>
        </w:numPr>
        <w:spacing w:before="120" w:after="0"/>
        <w:rPr>
          <w:rFonts w:eastAsia="Times New Roman"/>
        </w:rPr>
      </w:pPr>
      <w:r w:rsidRPr="00E60644">
        <w:rPr>
          <w:rFonts w:eastAsia="Times New Roman"/>
        </w:rPr>
        <w:t>Реализиране на мерки за насърчаване на летния туризъм и затвърждаване на позицията на Република България като предпочитана дестинация за организиран летен туризъм на идентифицирани целеви пазари, както и увеличаване на директните пр</w:t>
      </w:r>
      <w:r>
        <w:rPr>
          <w:rFonts w:eastAsia="Times New Roman"/>
        </w:rPr>
        <w:t>одажби на туристическите пакети;</w:t>
      </w:r>
    </w:p>
    <w:p w:rsidR="00261D54" w:rsidRPr="00261D54" w:rsidRDefault="00261D54" w:rsidP="003403BF">
      <w:pPr>
        <w:numPr>
          <w:ilvl w:val="0"/>
          <w:numId w:val="11"/>
        </w:numPr>
        <w:spacing w:before="120" w:after="0"/>
        <w:rPr>
          <w:rFonts w:eastAsia="Times New Roman"/>
        </w:rPr>
      </w:pPr>
      <w:r w:rsidRPr="00261D54">
        <w:rPr>
          <w:rFonts w:eastAsia="Times New Roman"/>
        </w:rPr>
        <w:t>Организиране на процедурите по отдаване на морските плажове на концесия и под наем и последващ контрол по изпълнението на договорите.</w:t>
      </w:r>
    </w:p>
    <w:p w:rsidR="00261D54" w:rsidRDefault="00261D54" w:rsidP="00C84A81">
      <w:pPr>
        <w:spacing w:before="120" w:after="0"/>
        <w:rPr>
          <w:rFonts w:eastAsia="Times New Roman"/>
        </w:rPr>
      </w:pPr>
    </w:p>
    <w:p w:rsidR="00AD1AF9" w:rsidRDefault="00AD1AF9" w:rsidP="00AD1AF9">
      <w:pPr>
        <w:rPr>
          <w:rFonts w:eastAsia="Times New Roman"/>
          <w:b/>
          <w:sz w:val="20"/>
          <w:szCs w:val="20"/>
        </w:rPr>
      </w:pPr>
      <w:r w:rsidRPr="0036665A">
        <w:rPr>
          <w:rFonts w:eastAsia="Times New Roman"/>
          <w:b/>
          <w:sz w:val="20"/>
          <w:szCs w:val="20"/>
        </w:rPr>
        <w:t>КЛЮЧОВИ ИНДИКАТОРИ ЗА ИЗПЪЛНЕНИЕ И ЦЕЛЕВИ СТОЙНОСТИ</w:t>
      </w:r>
    </w:p>
    <w:p w:rsidR="00261D54" w:rsidRDefault="00261D54" w:rsidP="00924139">
      <w:pPr>
        <w:spacing w:before="120" w:after="0"/>
        <w:rPr>
          <w:rFonts w:eastAsia="Times New Roman"/>
          <w:b/>
          <w:sz w:val="18"/>
          <w:szCs w:val="18"/>
        </w:rPr>
      </w:pPr>
    </w:p>
    <w:tbl>
      <w:tblPr>
        <w:tblW w:w="9288" w:type="dxa"/>
        <w:tblInd w:w="55" w:type="dxa"/>
        <w:tblCellMar>
          <w:left w:w="70" w:type="dxa"/>
          <w:right w:w="70" w:type="dxa"/>
        </w:tblCellMar>
        <w:tblLook w:val="04A0" w:firstRow="1" w:lastRow="0" w:firstColumn="1" w:lastColumn="0" w:noHBand="0" w:noVBand="1"/>
      </w:tblPr>
      <w:tblGrid>
        <w:gridCol w:w="3984"/>
        <w:gridCol w:w="1417"/>
        <w:gridCol w:w="1007"/>
        <w:gridCol w:w="960"/>
        <w:gridCol w:w="960"/>
        <w:gridCol w:w="960"/>
      </w:tblGrid>
      <w:tr w:rsidR="00261D54" w:rsidRPr="00C232C6" w:rsidTr="000C2EEF">
        <w:trPr>
          <w:trHeight w:val="56"/>
          <w:tblHeader/>
        </w:trPr>
        <w:tc>
          <w:tcPr>
            <w:tcW w:w="3984" w:type="dxa"/>
            <w:tcBorders>
              <w:top w:val="single" w:sz="4" w:space="0" w:color="auto"/>
              <w:left w:val="nil"/>
              <w:bottom w:val="nil"/>
              <w:right w:val="nil"/>
            </w:tcBorders>
            <w:shd w:val="clear" w:color="auto" w:fill="auto"/>
            <w:vAlign w:val="center"/>
            <w:hideMark/>
          </w:tcPr>
          <w:p w:rsidR="00261D54" w:rsidRPr="00C232C6" w:rsidRDefault="00261D54" w:rsidP="000C2EEF">
            <w:pPr>
              <w:spacing w:after="0" w:line="0" w:lineRule="atLeast"/>
              <w:jc w:val="center"/>
              <w:rPr>
                <w:rFonts w:eastAsia="Times New Roman" w:cs="Times New Roman"/>
                <w:b/>
                <w:i/>
                <w:sz w:val="18"/>
                <w:szCs w:val="18"/>
              </w:rPr>
            </w:pPr>
            <w:r w:rsidRPr="00C232C6">
              <w:rPr>
                <w:rFonts w:eastAsia="Times New Roman" w:cs="Times New Roman"/>
                <w:b/>
                <w:i/>
                <w:sz w:val="18"/>
                <w:szCs w:val="18"/>
              </w:rPr>
              <w:t xml:space="preserve">Политика в областта на устойчивото развитие на туризма </w:t>
            </w:r>
          </w:p>
        </w:tc>
        <w:tc>
          <w:tcPr>
            <w:tcW w:w="1417" w:type="dxa"/>
            <w:vMerge w:val="restart"/>
            <w:tcBorders>
              <w:top w:val="single" w:sz="4" w:space="0" w:color="auto"/>
              <w:left w:val="nil"/>
              <w:bottom w:val="nil"/>
              <w:right w:val="nil"/>
            </w:tcBorders>
            <w:shd w:val="clear" w:color="auto" w:fill="F2F2F2" w:themeFill="background1" w:themeFillShade="F2"/>
            <w:vAlign w:val="center"/>
            <w:hideMark/>
          </w:tcPr>
          <w:p w:rsidR="004100C6" w:rsidRDefault="00261D54" w:rsidP="000C2EEF">
            <w:pPr>
              <w:spacing w:after="0" w:line="0" w:lineRule="atLeast"/>
              <w:jc w:val="center"/>
              <w:rPr>
                <w:rFonts w:eastAsia="Times New Roman" w:cs="Times New Roman"/>
                <w:b/>
                <w:sz w:val="18"/>
                <w:szCs w:val="18"/>
              </w:rPr>
            </w:pPr>
            <w:r w:rsidRPr="00EE04B8">
              <w:rPr>
                <w:rFonts w:eastAsia="Times New Roman" w:cs="Times New Roman"/>
                <w:b/>
                <w:sz w:val="18"/>
                <w:szCs w:val="18"/>
              </w:rPr>
              <w:t xml:space="preserve">Мерна </w:t>
            </w:r>
          </w:p>
          <w:p w:rsidR="00261D54" w:rsidRPr="00EE04B8" w:rsidRDefault="00261D54" w:rsidP="000C2EEF">
            <w:pPr>
              <w:spacing w:after="0" w:line="0" w:lineRule="atLeast"/>
              <w:jc w:val="center"/>
              <w:rPr>
                <w:rFonts w:eastAsia="Times New Roman" w:cs="Times New Roman"/>
                <w:b/>
                <w:sz w:val="18"/>
                <w:szCs w:val="18"/>
              </w:rPr>
            </w:pPr>
            <w:r w:rsidRPr="00EE04B8">
              <w:rPr>
                <w:rFonts w:eastAsia="Times New Roman" w:cs="Times New Roman"/>
                <w:b/>
                <w:sz w:val="18"/>
                <w:szCs w:val="18"/>
              </w:rPr>
              <w:t>единица</w:t>
            </w:r>
          </w:p>
        </w:tc>
        <w:tc>
          <w:tcPr>
            <w:tcW w:w="3887" w:type="dxa"/>
            <w:gridSpan w:val="4"/>
            <w:tcBorders>
              <w:top w:val="single" w:sz="4" w:space="0" w:color="auto"/>
              <w:left w:val="nil"/>
              <w:bottom w:val="single" w:sz="4" w:space="0" w:color="auto"/>
              <w:right w:val="nil"/>
            </w:tcBorders>
            <w:shd w:val="clear" w:color="auto" w:fill="auto"/>
            <w:vAlign w:val="center"/>
            <w:hideMark/>
          </w:tcPr>
          <w:p w:rsidR="00261D54" w:rsidRPr="00261D54" w:rsidRDefault="00261D54" w:rsidP="000C2EEF">
            <w:pPr>
              <w:spacing w:after="0" w:line="0" w:lineRule="atLeast"/>
              <w:jc w:val="center"/>
              <w:rPr>
                <w:rFonts w:eastAsia="Times New Roman" w:cs="Times New Roman"/>
                <w:b/>
                <w:sz w:val="18"/>
                <w:szCs w:val="18"/>
              </w:rPr>
            </w:pPr>
            <w:r w:rsidRPr="00261D54">
              <w:rPr>
                <w:rFonts w:eastAsia="Times New Roman" w:cs="Times New Roman"/>
                <w:b/>
                <w:sz w:val="18"/>
                <w:szCs w:val="18"/>
              </w:rPr>
              <w:t>Целева стойност</w:t>
            </w:r>
          </w:p>
        </w:tc>
      </w:tr>
      <w:tr w:rsidR="00261D54" w:rsidRPr="00C232C6" w:rsidTr="00B41461">
        <w:trPr>
          <w:trHeight w:val="56"/>
          <w:tblHeader/>
        </w:trPr>
        <w:tc>
          <w:tcPr>
            <w:tcW w:w="3984" w:type="dxa"/>
            <w:tcBorders>
              <w:top w:val="nil"/>
              <w:left w:val="nil"/>
              <w:bottom w:val="single" w:sz="4" w:space="0" w:color="auto"/>
              <w:right w:val="nil"/>
            </w:tcBorders>
            <w:shd w:val="clear" w:color="auto" w:fill="auto"/>
            <w:vAlign w:val="center"/>
            <w:hideMark/>
          </w:tcPr>
          <w:p w:rsidR="00261D54" w:rsidRPr="006F2CDA" w:rsidRDefault="00261D54" w:rsidP="000C2EEF">
            <w:pPr>
              <w:spacing w:after="0" w:line="0" w:lineRule="atLeast"/>
              <w:jc w:val="center"/>
              <w:rPr>
                <w:rFonts w:eastAsia="Times New Roman" w:cs="Times New Roman"/>
                <w:b/>
                <w:sz w:val="18"/>
                <w:szCs w:val="18"/>
              </w:rPr>
            </w:pPr>
            <w:r w:rsidRPr="006F2CDA">
              <w:rPr>
                <w:rFonts w:eastAsia="Times New Roman" w:cs="Times New Roman"/>
                <w:b/>
                <w:sz w:val="18"/>
                <w:szCs w:val="18"/>
              </w:rPr>
              <w:t>Наименование на индикатора</w:t>
            </w:r>
          </w:p>
        </w:tc>
        <w:tc>
          <w:tcPr>
            <w:tcW w:w="1417" w:type="dxa"/>
            <w:vMerge/>
            <w:tcBorders>
              <w:top w:val="single" w:sz="4" w:space="0" w:color="auto"/>
              <w:left w:val="nil"/>
              <w:bottom w:val="single" w:sz="4" w:space="0" w:color="auto"/>
              <w:right w:val="nil"/>
            </w:tcBorders>
            <w:shd w:val="clear" w:color="auto" w:fill="F2F2F2" w:themeFill="background1" w:themeFillShade="F2"/>
            <w:vAlign w:val="center"/>
            <w:hideMark/>
          </w:tcPr>
          <w:p w:rsidR="00261D54" w:rsidRPr="00C232C6" w:rsidRDefault="00261D54" w:rsidP="000C2EEF">
            <w:pPr>
              <w:spacing w:after="0" w:line="0" w:lineRule="atLeast"/>
              <w:jc w:val="left"/>
              <w:rPr>
                <w:rFonts w:eastAsia="Times New Roman" w:cs="Times New Roman"/>
                <w:b/>
                <w:i/>
                <w:sz w:val="18"/>
                <w:szCs w:val="18"/>
              </w:rPr>
            </w:pPr>
          </w:p>
        </w:tc>
        <w:tc>
          <w:tcPr>
            <w:tcW w:w="1007" w:type="dxa"/>
            <w:tcBorders>
              <w:top w:val="nil"/>
              <w:left w:val="nil"/>
              <w:bottom w:val="single" w:sz="4" w:space="0" w:color="auto"/>
              <w:right w:val="nil"/>
            </w:tcBorders>
            <w:shd w:val="clear" w:color="auto" w:fill="auto"/>
            <w:vAlign w:val="center"/>
            <w:hideMark/>
          </w:tcPr>
          <w:p w:rsidR="00261D54" w:rsidRPr="00C232C6" w:rsidRDefault="00261D54" w:rsidP="00170A47">
            <w:pPr>
              <w:spacing w:after="0" w:line="0" w:lineRule="atLeast"/>
              <w:jc w:val="center"/>
              <w:rPr>
                <w:rFonts w:eastAsia="Times New Roman" w:cs="Times New Roman"/>
                <w:b/>
                <w:i/>
                <w:sz w:val="18"/>
                <w:szCs w:val="18"/>
              </w:rPr>
            </w:pPr>
            <w:r w:rsidRPr="00C232C6">
              <w:rPr>
                <w:rFonts w:eastAsia="Times New Roman" w:cs="Times New Roman"/>
                <w:b/>
                <w:i/>
                <w:sz w:val="18"/>
                <w:szCs w:val="18"/>
              </w:rPr>
              <w:t>Про</w:t>
            </w:r>
            <w:r w:rsidR="00170A47">
              <w:rPr>
                <w:rFonts w:eastAsia="Times New Roman" w:cs="Times New Roman"/>
                <w:b/>
                <w:i/>
                <w:sz w:val="18"/>
                <w:szCs w:val="18"/>
              </w:rPr>
              <w:t>грама</w:t>
            </w:r>
            <w:r w:rsidRPr="00C232C6">
              <w:rPr>
                <w:rFonts w:eastAsia="Times New Roman" w:cs="Times New Roman"/>
                <w:b/>
                <w:i/>
                <w:sz w:val="18"/>
                <w:szCs w:val="18"/>
              </w:rPr>
              <w:t xml:space="preserve">                2019 г.</w:t>
            </w:r>
          </w:p>
        </w:tc>
        <w:tc>
          <w:tcPr>
            <w:tcW w:w="960" w:type="dxa"/>
            <w:tcBorders>
              <w:top w:val="nil"/>
              <w:left w:val="nil"/>
              <w:bottom w:val="single" w:sz="4" w:space="0" w:color="auto"/>
              <w:right w:val="nil"/>
            </w:tcBorders>
            <w:shd w:val="clear" w:color="auto" w:fill="auto"/>
            <w:vAlign w:val="center"/>
            <w:hideMark/>
          </w:tcPr>
          <w:p w:rsidR="00261D54" w:rsidRPr="00C232C6" w:rsidRDefault="00261D54" w:rsidP="00170A47">
            <w:pPr>
              <w:spacing w:after="0" w:line="0" w:lineRule="atLeast"/>
              <w:jc w:val="center"/>
              <w:rPr>
                <w:rFonts w:eastAsia="Times New Roman" w:cs="Times New Roman"/>
                <w:b/>
                <w:i/>
                <w:sz w:val="18"/>
                <w:szCs w:val="18"/>
              </w:rPr>
            </w:pPr>
            <w:r w:rsidRPr="00C232C6">
              <w:rPr>
                <w:rFonts w:eastAsia="Times New Roman" w:cs="Times New Roman"/>
                <w:b/>
                <w:i/>
                <w:sz w:val="18"/>
                <w:szCs w:val="18"/>
              </w:rPr>
              <w:t>Про</w:t>
            </w:r>
            <w:r w:rsidR="00170A47">
              <w:rPr>
                <w:rFonts w:eastAsia="Times New Roman" w:cs="Times New Roman"/>
                <w:b/>
                <w:i/>
                <w:sz w:val="18"/>
                <w:szCs w:val="18"/>
              </w:rPr>
              <w:t>ект</w:t>
            </w:r>
            <w:r w:rsidRPr="00C232C6">
              <w:rPr>
                <w:rFonts w:eastAsia="Times New Roman" w:cs="Times New Roman"/>
                <w:b/>
                <w:i/>
                <w:sz w:val="18"/>
                <w:szCs w:val="18"/>
              </w:rPr>
              <w:t xml:space="preserve">                    2020 г.</w:t>
            </w:r>
          </w:p>
        </w:tc>
        <w:tc>
          <w:tcPr>
            <w:tcW w:w="960" w:type="dxa"/>
            <w:tcBorders>
              <w:top w:val="nil"/>
              <w:left w:val="nil"/>
              <w:bottom w:val="single" w:sz="4" w:space="0" w:color="auto"/>
              <w:right w:val="nil"/>
            </w:tcBorders>
            <w:shd w:val="clear" w:color="auto" w:fill="auto"/>
            <w:vAlign w:val="center"/>
            <w:hideMark/>
          </w:tcPr>
          <w:p w:rsidR="00261D54" w:rsidRPr="00C232C6" w:rsidRDefault="00261D54" w:rsidP="000C2EEF">
            <w:pPr>
              <w:spacing w:after="0" w:line="0" w:lineRule="atLeast"/>
              <w:jc w:val="center"/>
              <w:rPr>
                <w:rFonts w:eastAsia="Times New Roman" w:cs="Times New Roman"/>
                <w:b/>
                <w:i/>
                <w:sz w:val="18"/>
                <w:szCs w:val="18"/>
              </w:rPr>
            </w:pPr>
            <w:r w:rsidRPr="00C232C6">
              <w:rPr>
                <w:rFonts w:eastAsia="Times New Roman" w:cs="Times New Roman"/>
                <w:b/>
                <w:i/>
                <w:sz w:val="18"/>
                <w:szCs w:val="18"/>
              </w:rPr>
              <w:t>Прогноза 2021 г.</w:t>
            </w:r>
          </w:p>
        </w:tc>
        <w:tc>
          <w:tcPr>
            <w:tcW w:w="960" w:type="dxa"/>
            <w:tcBorders>
              <w:top w:val="nil"/>
              <w:left w:val="nil"/>
              <w:bottom w:val="single" w:sz="4" w:space="0" w:color="auto"/>
              <w:right w:val="nil"/>
            </w:tcBorders>
            <w:shd w:val="clear" w:color="auto" w:fill="auto"/>
            <w:vAlign w:val="center"/>
            <w:hideMark/>
          </w:tcPr>
          <w:p w:rsidR="00261D54" w:rsidRPr="00C232C6" w:rsidRDefault="00261D54" w:rsidP="000C2EEF">
            <w:pPr>
              <w:spacing w:after="0" w:line="0" w:lineRule="atLeast"/>
              <w:jc w:val="center"/>
              <w:rPr>
                <w:rFonts w:eastAsia="Times New Roman" w:cs="Times New Roman"/>
                <w:b/>
                <w:i/>
                <w:sz w:val="18"/>
                <w:szCs w:val="18"/>
              </w:rPr>
            </w:pPr>
            <w:r w:rsidRPr="00C232C6">
              <w:rPr>
                <w:rFonts w:eastAsia="Times New Roman" w:cs="Times New Roman"/>
                <w:b/>
                <w:i/>
                <w:sz w:val="18"/>
                <w:szCs w:val="18"/>
              </w:rPr>
              <w:t>Прогноза 2022 г.</w:t>
            </w:r>
          </w:p>
        </w:tc>
      </w:tr>
      <w:tr w:rsidR="00261D54" w:rsidRPr="00C232C6" w:rsidTr="00B41461">
        <w:trPr>
          <w:trHeight w:val="60"/>
        </w:trPr>
        <w:tc>
          <w:tcPr>
            <w:tcW w:w="3984" w:type="dxa"/>
            <w:tcBorders>
              <w:top w:val="single" w:sz="4" w:space="0" w:color="auto"/>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 Годишен ръст на туристическите посещения от чужденци</w:t>
            </w:r>
          </w:p>
        </w:tc>
        <w:tc>
          <w:tcPr>
            <w:tcW w:w="1417" w:type="dxa"/>
            <w:tcBorders>
              <w:top w:val="single" w:sz="4" w:space="0" w:color="auto"/>
              <w:left w:val="nil"/>
              <w:bottom w:val="nil"/>
              <w:right w:val="nil"/>
            </w:tcBorders>
            <w:shd w:val="clear" w:color="auto" w:fill="F2F2F2" w:themeFill="background1" w:themeFillShade="F2"/>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 спрямо предходната година</w:t>
            </w:r>
          </w:p>
        </w:tc>
        <w:tc>
          <w:tcPr>
            <w:tcW w:w="1007" w:type="dxa"/>
            <w:tcBorders>
              <w:top w:val="single" w:sz="4" w:space="0" w:color="auto"/>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lang w:val="en-US"/>
              </w:rPr>
            </w:pPr>
            <w:r w:rsidRPr="00C232C6">
              <w:rPr>
                <w:rFonts w:asciiTheme="majorHAnsi" w:eastAsia="Times New Roman" w:hAnsiTheme="majorHAnsi" w:cstheme="majorHAnsi"/>
                <w:sz w:val="18"/>
                <w:szCs w:val="18"/>
                <w:lang w:val="en-US"/>
              </w:rPr>
              <w:t>1,0</w:t>
            </w:r>
          </w:p>
        </w:tc>
        <w:tc>
          <w:tcPr>
            <w:tcW w:w="960" w:type="dxa"/>
            <w:tcBorders>
              <w:top w:val="single" w:sz="4" w:space="0" w:color="auto"/>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1,0</w:t>
            </w:r>
          </w:p>
        </w:tc>
        <w:tc>
          <w:tcPr>
            <w:tcW w:w="960" w:type="dxa"/>
            <w:tcBorders>
              <w:top w:val="single" w:sz="4" w:space="0" w:color="auto"/>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1,1</w:t>
            </w:r>
          </w:p>
        </w:tc>
        <w:tc>
          <w:tcPr>
            <w:tcW w:w="960" w:type="dxa"/>
            <w:tcBorders>
              <w:top w:val="single" w:sz="4" w:space="0" w:color="auto"/>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1,3</w:t>
            </w:r>
          </w:p>
        </w:tc>
      </w:tr>
      <w:tr w:rsidR="00261D54" w:rsidRPr="00C232C6" w:rsidTr="000C2EEF">
        <w:trPr>
          <w:trHeight w:val="765"/>
        </w:trPr>
        <w:tc>
          <w:tcPr>
            <w:tcW w:w="3984" w:type="dxa"/>
            <w:tcBorders>
              <w:top w:val="nil"/>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2. Годишен ръст на броя на българските туристи, реализирали нощувки в страната в категоризирани места за настаняване с 10 и повече легла</w:t>
            </w:r>
          </w:p>
        </w:tc>
        <w:tc>
          <w:tcPr>
            <w:tcW w:w="1417" w:type="dxa"/>
            <w:tcBorders>
              <w:top w:val="nil"/>
              <w:left w:val="nil"/>
              <w:bottom w:val="nil"/>
              <w:right w:val="nil"/>
            </w:tcBorders>
            <w:shd w:val="clear" w:color="auto" w:fill="F2F2F2" w:themeFill="background1" w:themeFillShade="F2"/>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 спрямо предходната година</w:t>
            </w:r>
          </w:p>
        </w:tc>
        <w:tc>
          <w:tcPr>
            <w:tcW w:w="1007" w:type="dxa"/>
            <w:tcBorders>
              <w:top w:val="nil"/>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lang w:val="en-US"/>
              </w:rPr>
            </w:pPr>
            <w:r w:rsidRPr="00C232C6">
              <w:rPr>
                <w:rFonts w:asciiTheme="majorHAnsi" w:eastAsia="Times New Roman" w:hAnsiTheme="majorHAnsi" w:cstheme="majorHAnsi"/>
                <w:sz w:val="18"/>
                <w:szCs w:val="18"/>
                <w:lang w:val="en-US"/>
              </w:rPr>
              <w:t>2,0</w:t>
            </w:r>
          </w:p>
        </w:tc>
        <w:tc>
          <w:tcPr>
            <w:tcW w:w="960" w:type="dxa"/>
            <w:tcBorders>
              <w:top w:val="nil"/>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1,0</w:t>
            </w:r>
          </w:p>
        </w:tc>
        <w:tc>
          <w:tcPr>
            <w:tcW w:w="960" w:type="dxa"/>
            <w:tcBorders>
              <w:top w:val="nil"/>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1,0</w:t>
            </w:r>
          </w:p>
        </w:tc>
        <w:tc>
          <w:tcPr>
            <w:tcW w:w="960" w:type="dxa"/>
            <w:tcBorders>
              <w:top w:val="nil"/>
              <w:left w:val="nil"/>
              <w:bottom w:val="nil"/>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1,0</w:t>
            </w:r>
          </w:p>
        </w:tc>
      </w:tr>
      <w:tr w:rsidR="00261D54" w:rsidRPr="00C232C6" w:rsidTr="000C2EEF">
        <w:trPr>
          <w:trHeight w:val="510"/>
        </w:trPr>
        <w:tc>
          <w:tcPr>
            <w:tcW w:w="3984" w:type="dxa"/>
            <w:tcBorders>
              <w:top w:val="nil"/>
              <w:left w:val="nil"/>
              <w:bottom w:val="single" w:sz="4" w:space="0" w:color="auto"/>
              <w:right w:val="nil"/>
            </w:tcBorders>
            <w:shd w:val="clear" w:color="auto" w:fill="auto"/>
            <w:hideMark/>
          </w:tcPr>
          <w:p w:rsidR="00261D54" w:rsidRPr="00C232C6" w:rsidRDefault="00261D54" w:rsidP="000C2EEF">
            <w:pPr>
              <w:widowControl w:val="0"/>
              <w:autoSpaceDE w:val="0"/>
              <w:autoSpaceDN w:val="0"/>
              <w:adjustRightInd w:val="0"/>
              <w:spacing w:after="0"/>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 Принос на туризма и свързани с него икономически дейности към БВП</w:t>
            </w:r>
          </w:p>
        </w:tc>
        <w:tc>
          <w:tcPr>
            <w:tcW w:w="1417" w:type="dxa"/>
            <w:tcBorders>
              <w:top w:val="nil"/>
              <w:left w:val="nil"/>
              <w:bottom w:val="single" w:sz="4" w:space="0" w:color="auto"/>
              <w:right w:val="nil"/>
            </w:tcBorders>
            <w:shd w:val="clear" w:color="auto" w:fill="F2F2F2" w:themeFill="background1" w:themeFillShade="F2"/>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 xml:space="preserve">дял от </w:t>
            </w:r>
            <w:r w:rsidRPr="00C232C6">
              <w:rPr>
                <w:rFonts w:asciiTheme="majorHAnsi" w:eastAsia="Times New Roman" w:hAnsiTheme="majorHAnsi" w:cstheme="majorHAnsi"/>
                <w:sz w:val="18"/>
                <w:szCs w:val="18"/>
              </w:rPr>
              <w:br/>
              <w:t>БВП в %</w:t>
            </w:r>
          </w:p>
        </w:tc>
        <w:tc>
          <w:tcPr>
            <w:tcW w:w="1007" w:type="dxa"/>
            <w:tcBorders>
              <w:top w:val="nil"/>
              <w:left w:val="nil"/>
              <w:bottom w:val="single" w:sz="4" w:space="0" w:color="auto"/>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lang w:val="en-US"/>
              </w:rPr>
            </w:pPr>
            <w:r w:rsidRPr="00C232C6">
              <w:rPr>
                <w:rFonts w:asciiTheme="majorHAnsi" w:eastAsia="Times New Roman" w:hAnsiTheme="majorHAnsi" w:cstheme="majorHAnsi"/>
                <w:sz w:val="18"/>
                <w:szCs w:val="18"/>
              </w:rPr>
              <w:t>11,</w:t>
            </w:r>
            <w:r w:rsidRPr="00C232C6">
              <w:rPr>
                <w:rFonts w:asciiTheme="majorHAnsi" w:eastAsia="Times New Roman" w:hAnsiTheme="majorHAnsi" w:cstheme="majorHAnsi"/>
                <w:sz w:val="18"/>
                <w:szCs w:val="18"/>
                <w:lang w:val="en-US"/>
              </w:rPr>
              <w:t>6</w:t>
            </w:r>
          </w:p>
        </w:tc>
        <w:tc>
          <w:tcPr>
            <w:tcW w:w="960" w:type="dxa"/>
            <w:tcBorders>
              <w:top w:val="nil"/>
              <w:left w:val="nil"/>
              <w:bottom w:val="single" w:sz="4" w:space="0" w:color="auto"/>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11,7</w:t>
            </w:r>
          </w:p>
        </w:tc>
        <w:tc>
          <w:tcPr>
            <w:tcW w:w="960" w:type="dxa"/>
            <w:tcBorders>
              <w:top w:val="nil"/>
              <w:left w:val="nil"/>
              <w:bottom w:val="single" w:sz="4" w:space="0" w:color="auto"/>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11,8</w:t>
            </w:r>
          </w:p>
        </w:tc>
        <w:tc>
          <w:tcPr>
            <w:tcW w:w="960" w:type="dxa"/>
            <w:tcBorders>
              <w:top w:val="nil"/>
              <w:left w:val="nil"/>
              <w:bottom w:val="single" w:sz="4" w:space="0" w:color="auto"/>
              <w:right w:val="nil"/>
            </w:tcBorders>
            <w:shd w:val="clear" w:color="auto" w:fill="auto"/>
            <w:hideMark/>
          </w:tcPr>
          <w:p w:rsidR="00261D54" w:rsidRPr="00C232C6" w:rsidRDefault="00261D54"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11,9</w:t>
            </w:r>
          </w:p>
        </w:tc>
      </w:tr>
    </w:tbl>
    <w:p w:rsidR="00924139" w:rsidRPr="00924139" w:rsidRDefault="00924139" w:rsidP="00AD1AF9">
      <w:pPr>
        <w:rPr>
          <w:rFonts w:eastAsia="Times New Roman"/>
          <w:b/>
          <w:sz w:val="20"/>
          <w:szCs w:val="20"/>
        </w:rPr>
      </w:pPr>
    </w:p>
    <w:p w:rsidR="002E0672" w:rsidRDefault="002E0672" w:rsidP="00C9206F">
      <w:pPr>
        <w:pStyle w:val="Heading3"/>
        <w:ind w:left="0"/>
      </w:pPr>
      <w:bookmarkStart w:id="505" w:name="_Toc465070477"/>
      <w:bookmarkStart w:id="506" w:name="_Toc465205527"/>
      <w:r w:rsidRPr="002E0672">
        <w:t>Политика в областта на селското стопанство</w:t>
      </w:r>
      <w:bookmarkEnd w:id="505"/>
      <w:bookmarkEnd w:id="506"/>
    </w:p>
    <w:p w:rsidR="000C2EEF" w:rsidRDefault="000C2EEF" w:rsidP="00520BE2">
      <w:pPr>
        <w:spacing w:before="120" w:after="0"/>
      </w:pPr>
    </w:p>
    <w:p w:rsidR="000C2EEF" w:rsidRPr="005F66A5" w:rsidRDefault="000C2EEF" w:rsidP="000C2EEF">
      <w:pPr>
        <w:rPr>
          <w:rFonts w:eastAsia="Times New Roman" w:cs="Times New Roman"/>
        </w:rPr>
      </w:pPr>
      <w:r w:rsidRPr="005F66A5">
        <w:rPr>
          <w:rFonts w:eastAsia="Times New Roman" w:cs="Times New Roman"/>
        </w:rPr>
        <w:t>Предизвикателствата пред съвременното селско стопанство налагат прилагане на аграрна политика, насочена към повишаване на ефективността и конкурентоспособността на земеделското производство, устойчиво използване и управление на природните ресурси, увеличаване на икономическата активност и нарастване на заетостта в селските райони.</w:t>
      </w:r>
    </w:p>
    <w:p w:rsidR="000C2EEF" w:rsidRDefault="000C2EEF" w:rsidP="00520BE2">
      <w:pPr>
        <w:spacing w:before="120" w:after="0"/>
      </w:pPr>
    </w:p>
    <w:p w:rsidR="00AD1AF9" w:rsidRPr="00737280" w:rsidRDefault="00AD1AF9" w:rsidP="00AD1AF9">
      <w:pPr>
        <w:pStyle w:val="Heading4"/>
        <w:rPr>
          <w:rFonts w:eastAsia="Times New Roman"/>
        </w:rPr>
      </w:pPr>
      <w:r w:rsidRPr="00737280">
        <w:rPr>
          <w:rFonts w:eastAsia="Times New Roman"/>
        </w:rPr>
        <w:t>Политика в областта на земеделието и селските райони</w:t>
      </w:r>
    </w:p>
    <w:p w:rsidR="000C2EEF" w:rsidRDefault="000C2EEF" w:rsidP="00520BE2">
      <w:pPr>
        <w:spacing w:before="120" w:after="0"/>
      </w:pPr>
    </w:p>
    <w:p w:rsidR="000C2EEF" w:rsidRPr="000C2EEF" w:rsidRDefault="000C2EEF" w:rsidP="000C2EEF">
      <w:pPr>
        <w:spacing w:before="120" w:after="0"/>
      </w:pPr>
      <w:r w:rsidRPr="000C2EEF">
        <w:t>Прилаганата политика обхваща дейности в подкрепа на ефективното използване и опазване на земеделските земи и водите, съхраняване и подобряване на генетичните ресурси в растениевъдството и животновъдството и развитие на потенциала на двата подсектора за производство на конкурентоспособна продукция, развитие на научните изследвания в аграрната сфера, предоставяне на качествено научно обслужване и консултации на земеделските производители, стабилизиране на пазарите на земеделска продукция и гарантиране на доходите на производителите, сигурност и безопасност по веригата на предлагане на храни.</w:t>
      </w:r>
    </w:p>
    <w:p w:rsidR="000C2EEF" w:rsidRPr="000C2EEF" w:rsidRDefault="000C2EEF" w:rsidP="000C2EEF">
      <w:pPr>
        <w:spacing w:before="120" w:after="0"/>
      </w:pPr>
      <w:r w:rsidRPr="000C2EEF">
        <w:t>Планираните средства в тази област са насочени към:</w:t>
      </w:r>
    </w:p>
    <w:p w:rsidR="000C2EEF" w:rsidRPr="000C2EEF" w:rsidRDefault="000C2EEF" w:rsidP="003403BF">
      <w:pPr>
        <w:numPr>
          <w:ilvl w:val="0"/>
          <w:numId w:val="13"/>
        </w:numPr>
        <w:spacing w:before="120" w:after="0"/>
      </w:pPr>
      <w:r w:rsidRPr="000C2EEF">
        <w:t>Развитие на аграрния отрасъл за осигуряване на хранителна сигурност и за производство на продукти с висока добавена стойност при устойчиво управление на природните ресурси;</w:t>
      </w:r>
    </w:p>
    <w:p w:rsidR="000C2EEF" w:rsidRPr="000C2EEF" w:rsidRDefault="000C2EEF" w:rsidP="003403BF">
      <w:pPr>
        <w:numPr>
          <w:ilvl w:val="0"/>
          <w:numId w:val="13"/>
        </w:numPr>
        <w:spacing w:before="120" w:after="0"/>
      </w:pPr>
      <w:r w:rsidRPr="000C2EEF">
        <w:t>Мобилизиране на потенциала на селските райони за постигане на балансирано социално и териториално развитие.</w:t>
      </w:r>
    </w:p>
    <w:p w:rsidR="000C2EEF" w:rsidRPr="000C2EEF" w:rsidRDefault="000C2EEF" w:rsidP="000C2EEF">
      <w:pPr>
        <w:spacing w:before="120" w:after="0"/>
      </w:pPr>
      <w:r w:rsidRPr="000C2EEF">
        <w:t>Принос за прилагане на политиката, освен структурите в системата на Министерството на земеделието, храните и горите, имат Държавен фонд „Земеделие“ (ДФЗ),  Агенция „Митници“,  неправителствени и браншови организации.</w:t>
      </w:r>
    </w:p>
    <w:p w:rsidR="000C2EEF" w:rsidRPr="000C2EEF" w:rsidRDefault="000C2EEF" w:rsidP="000C2EEF">
      <w:pPr>
        <w:spacing w:before="120" w:after="0"/>
      </w:pPr>
      <w:r w:rsidRPr="000C2EEF">
        <w:t>Отговорността за разпределението на публичните разходи за политиката в областта на земеделието и селските райони е на Министерството на земеделието, храните и горите и се осъществява чрез бюджета на министерството, бюджета на ДФЗ и сметките за средства от Европейския съюз.</w:t>
      </w:r>
    </w:p>
    <w:p w:rsidR="006B4AC3" w:rsidRDefault="006B4AC3" w:rsidP="008079EE">
      <w:pPr>
        <w:pStyle w:val="ListParagraph"/>
        <w:numPr>
          <w:ilvl w:val="0"/>
          <w:numId w:val="0"/>
        </w:numPr>
        <w:tabs>
          <w:tab w:val="left" w:pos="142"/>
        </w:tabs>
        <w:spacing w:after="240"/>
      </w:pPr>
    </w:p>
    <w:p w:rsidR="00FB7F50" w:rsidRDefault="00FB7F50" w:rsidP="00FB7F50">
      <w:pPr>
        <w:rPr>
          <w:rFonts w:eastAsia="Times New Roman"/>
          <w:b/>
          <w:sz w:val="20"/>
          <w:szCs w:val="20"/>
        </w:rPr>
      </w:pPr>
      <w:r w:rsidRPr="0036665A">
        <w:rPr>
          <w:rFonts w:eastAsia="Times New Roman"/>
          <w:b/>
          <w:sz w:val="20"/>
          <w:szCs w:val="20"/>
        </w:rPr>
        <w:t>КЛЮЧОВИ ИНДИКАТОРИ ЗА ИЗПЪЛНЕНИЕ И ЦЕЛЕВИ СТОЙНОСТИ</w:t>
      </w:r>
    </w:p>
    <w:tbl>
      <w:tblPr>
        <w:tblW w:w="4856" w:type="pct"/>
        <w:jc w:val="center"/>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2723"/>
        <w:gridCol w:w="944"/>
        <w:gridCol w:w="1166"/>
        <w:gridCol w:w="1307"/>
        <w:gridCol w:w="1328"/>
        <w:gridCol w:w="1341"/>
      </w:tblGrid>
      <w:tr w:rsidR="000C2EEF" w:rsidRPr="005F66A5" w:rsidTr="004100C6">
        <w:trPr>
          <w:trHeight w:val="255"/>
          <w:tblHeader/>
          <w:jc w:val="center"/>
        </w:trPr>
        <w:tc>
          <w:tcPr>
            <w:tcW w:w="1545" w:type="pct"/>
            <w:tcBorders>
              <w:bottom w:val="nil"/>
            </w:tcBorders>
            <w:shd w:val="clear" w:color="auto" w:fill="auto"/>
            <w:vAlign w:val="center"/>
          </w:tcPr>
          <w:p w:rsidR="000C2EEF" w:rsidRPr="005F66A5" w:rsidRDefault="000C2EEF" w:rsidP="000C2EEF">
            <w:pPr>
              <w:spacing w:after="0" w:line="0" w:lineRule="atLeast"/>
              <w:jc w:val="center"/>
              <w:rPr>
                <w:rFonts w:eastAsia="Times New Roman" w:cs="Times New Roman"/>
                <w:b/>
                <w:i/>
                <w:sz w:val="18"/>
                <w:szCs w:val="18"/>
              </w:rPr>
            </w:pPr>
            <w:r w:rsidRPr="005F66A5">
              <w:rPr>
                <w:rFonts w:eastAsia="Times New Roman" w:cs="Times New Roman"/>
                <w:b/>
                <w:i/>
                <w:sz w:val="18"/>
                <w:szCs w:val="18"/>
              </w:rPr>
              <w:t>Политика в областта на земеделието и селските райони</w:t>
            </w:r>
          </w:p>
        </w:tc>
        <w:tc>
          <w:tcPr>
            <w:tcW w:w="536" w:type="pct"/>
            <w:vMerge w:val="restart"/>
            <w:tcBorders>
              <w:bottom w:val="nil"/>
            </w:tcBorders>
            <w:shd w:val="clear" w:color="auto" w:fill="F2F2F2" w:themeFill="background1" w:themeFillShade="F2"/>
            <w:vAlign w:val="center"/>
          </w:tcPr>
          <w:p w:rsidR="000C2EEF" w:rsidRPr="006F2CDA" w:rsidRDefault="000C2EEF" w:rsidP="000C2EEF">
            <w:pPr>
              <w:spacing w:line="0" w:lineRule="atLeast"/>
              <w:jc w:val="center"/>
              <w:rPr>
                <w:rFonts w:eastAsia="Times New Roman" w:cs="Times New Roman"/>
                <w:b/>
                <w:sz w:val="18"/>
                <w:szCs w:val="18"/>
              </w:rPr>
            </w:pPr>
            <w:r w:rsidRPr="006F2CDA">
              <w:rPr>
                <w:rFonts w:eastAsia="Times New Roman" w:cs="Times New Roman"/>
                <w:b/>
                <w:sz w:val="18"/>
                <w:szCs w:val="18"/>
              </w:rPr>
              <w:t>Мерна единица</w:t>
            </w:r>
          </w:p>
        </w:tc>
        <w:tc>
          <w:tcPr>
            <w:tcW w:w="2919" w:type="pct"/>
            <w:gridSpan w:val="4"/>
            <w:tcBorders>
              <w:bottom w:val="single" w:sz="4" w:space="0" w:color="auto"/>
            </w:tcBorders>
            <w:shd w:val="clear" w:color="auto" w:fill="auto"/>
            <w:vAlign w:val="center"/>
          </w:tcPr>
          <w:p w:rsidR="000C2EEF" w:rsidRPr="00882474" w:rsidRDefault="000C2EEF" w:rsidP="000C2EEF">
            <w:pPr>
              <w:spacing w:after="0" w:line="0" w:lineRule="atLeast"/>
              <w:ind w:left="162" w:hanging="162"/>
              <w:jc w:val="center"/>
              <w:rPr>
                <w:rFonts w:eastAsia="Times New Roman" w:cs="Times New Roman"/>
                <w:b/>
                <w:sz w:val="18"/>
                <w:szCs w:val="18"/>
              </w:rPr>
            </w:pPr>
            <w:r w:rsidRPr="00882474">
              <w:rPr>
                <w:rFonts w:eastAsia="Times New Roman" w:cs="Times New Roman"/>
                <w:b/>
                <w:sz w:val="18"/>
                <w:szCs w:val="18"/>
              </w:rPr>
              <w:t>Целева стойност</w:t>
            </w:r>
          </w:p>
        </w:tc>
      </w:tr>
      <w:tr w:rsidR="000C2EEF" w:rsidRPr="005F66A5" w:rsidTr="004100C6">
        <w:trPr>
          <w:trHeight w:val="450"/>
          <w:tblHeader/>
          <w:jc w:val="center"/>
        </w:trPr>
        <w:tc>
          <w:tcPr>
            <w:tcW w:w="1545" w:type="pct"/>
            <w:tcBorders>
              <w:top w:val="nil"/>
              <w:bottom w:val="single" w:sz="4" w:space="0" w:color="auto"/>
            </w:tcBorders>
            <w:shd w:val="clear" w:color="auto" w:fill="auto"/>
            <w:vAlign w:val="center"/>
          </w:tcPr>
          <w:p w:rsidR="000C2EEF" w:rsidRPr="00882474" w:rsidRDefault="000C2EEF" w:rsidP="000C2EEF">
            <w:pPr>
              <w:spacing w:after="0" w:line="0" w:lineRule="atLeast"/>
              <w:jc w:val="center"/>
              <w:rPr>
                <w:rFonts w:eastAsia="Times New Roman" w:cs="Times New Roman"/>
                <w:b/>
                <w:sz w:val="18"/>
                <w:szCs w:val="18"/>
              </w:rPr>
            </w:pPr>
            <w:r w:rsidRPr="00882474">
              <w:rPr>
                <w:rFonts w:eastAsia="Times New Roman" w:cs="Times New Roman"/>
                <w:b/>
                <w:sz w:val="18"/>
                <w:szCs w:val="18"/>
              </w:rPr>
              <w:t>Наименование на индикатора</w:t>
            </w:r>
          </w:p>
        </w:tc>
        <w:tc>
          <w:tcPr>
            <w:tcW w:w="536" w:type="pct"/>
            <w:vMerge/>
            <w:tcBorders>
              <w:top w:val="nil"/>
              <w:bottom w:val="single" w:sz="4" w:space="0" w:color="auto"/>
            </w:tcBorders>
            <w:shd w:val="clear" w:color="auto" w:fill="F2F2F2" w:themeFill="background1" w:themeFillShade="F2"/>
            <w:vAlign w:val="center"/>
          </w:tcPr>
          <w:p w:rsidR="000C2EEF" w:rsidRPr="005F66A5" w:rsidRDefault="000C2EEF" w:rsidP="000C2EEF">
            <w:pPr>
              <w:spacing w:line="0" w:lineRule="atLeast"/>
              <w:jc w:val="center"/>
              <w:rPr>
                <w:rFonts w:eastAsia="Times New Roman" w:cs="Times New Roman"/>
                <w:b/>
                <w:i/>
                <w:sz w:val="18"/>
                <w:szCs w:val="18"/>
              </w:rPr>
            </w:pPr>
          </w:p>
        </w:tc>
        <w:tc>
          <w:tcPr>
            <w:tcW w:w="662" w:type="pct"/>
            <w:tcBorders>
              <w:top w:val="single" w:sz="4" w:space="0" w:color="auto"/>
              <w:bottom w:val="single" w:sz="4" w:space="0" w:color="auto"/>
            </w:tcBorders>
            <w:shd w:val="clear" w:color="auto" w:fill="auto"/>
            <w:vAlign w:val="center"/>
          </w:tcPr>
          <w:p w:rsidR="000C2EEF" w:rsidRPr="005F66A5" w:rsidRDefault="000C2EEF" w:rsidP="000C2EEF">
            <w:pPr>
              <w:spacing w:after="0" w:line="0" w:lineRule="atLeast"/>
              <w:jc w:val="center"/>
              <w:rPr>
                <w:rFonts w:eastAsia="Times New Roman" w:cs="Times New Roman"/>
                <w:b/>
                <w:i/>
                <w:sz w:val="18"/>
                <w:szCs w:val="18"/>
              </w:rPr>
            </w:pPr>
            <w:r w:rsidRPr="005F66A5">
              <w:rPr>
                <w:rFonts w:eastAsia="Times New Roman" w:cs="Times New Roman"/>
                <w:b/>
                <w:i/>
                <w:sz w:val="18"/>
                <w:szCs w:val="18"/>
              </w:rPr>
              <w:t>Програма 2019 г.</w:t>
            </w:r>
          </w:p>
        </w:tc>
        <w:tc>
          <w:tcPr>
            <w:tcW w:w="742" w:type="pct"/>
            <w:tcBorders>
              <w:top w:val="single" w:sz="4" w:space="0" w:color="auto"/>
              <w:bottom w:val="single" w:sz="4" w:space="0" w:color="auto"/>
            </w:tcBorders>
            <w:shd w:val="clear" w:color="auto" w:fill="auto"/>
            <w:vAlign w:val="center"/>
          </w:tcPr>
          <w:p w:rsidR="000C2EEF" w:rsidRPr="005F66A5" w:rsidRDefault="000C2EEF" w:rsidP="000C2EEF">
            <w:pPr>
              <w:spacing w:after="0" w:line="0" w:lineRule="atLeast"/>
              <w:jc w:val="center"/>
              <w:rPr>
                <w:rFonts w:eastAsia="Times New Roman" w:cs="Times New Roman"/>
                <w:b/>
                <w:i/>
                <w:sz w:val="18"/>
                <w:szCs w:val="18"/>
              </w:rPr>
            </w:pPr>
            <w:r w:rsidRPr="005F66A5">
              <w:rPr>
                <w:rFonts w:eastAsia="Times New Roman" w:cs="Times New Roman"/>
                <w:b/>
                <w:i/>
                <w:sz w:val="18"/>
                <w:szCs w:val="18"/>
              </w:rPr>
              <w:t>Проект</w:t>
            </w:r>
          </w:p>
          <w:p w:rsidR="000C2EEF" w:rsidRPr="005F66A5" w:rsidRDefault="000C2EEF" w:rsidP="000C2EEF">
            <w:pPr>
              <w:spacing w:after="0" w:line="0" w:lineRule="atLeast"/>
              <w:jc w:val="center"/>
              <w:rPr>
                <w:rFonts w:eastAsia="Times New Roman" w:cs="Times New Roman"/>
                <w:b/>
                <w:i/>
                <w:sz w:val="18"/>
                <w:szCs w:val="18"/>
              </w:rPr>
            </w:pPr>
            <w:r w:rsidRPr="005F66A5">
              <w:rPr>
                <w:rFonts w:eastAsia="Times New Roman" w:cs="Times New Roman"/>
                <w:b/>
                <w:i/>
                <w:sz w:val="18"/>
                <w:szCs w:val="18"/>
              </w:rPr>
              <w:t>2020 г.</w:t>
            </w:r>
          </w:p>
        </w:tc>
        <w:tc>
          <w:tcPr>
            <w:tcW w:w="754" w:type="pct"/>
            <w:tcBorders>
              <w:top w:val="single" w:sz="4" w:space="0" w:color="auto"/>
              <w:bottom w:val="single" w:sz="4" w:space="0" w:color="auto"/>
            </w:tcBorders>
            <w:shd w:val="clear" w:color="auto" w:fill="auto"/>
            <w:vAlign w:val="center"/>
          </w:tcPr>
          <w:p w:rsidR="000C2EEF" w:rsidRPr="005F66A5" w:rsidRDefault="000C2EEF" w:rsidP="000C2EEF">
            <w:pPr>
              <w:spacing w:after="0" w:line="0" w:lineRule="atLeast"/>
              <w:ind w:left="-55" w:firstLine="55"/>
              <w:jc w:val="center"/>
              <w:rPr>
                <w:rFonts w:eastAsia="Times New Roman" w:cs="Times New Roman"/>
                <w:b/>
                <w:i/>
                <w:sz w:val="18"/>
                <w:szCs w:val="18"/>
              </w:rPr>
            </w:pPr>
            <w:r w:rsidRPr="005F66A5">
              <w:rPr>
                <w:rFonts w:eastAsia="Times New Roman" w:cs="Times New Roman"/>
                <w:b/>
                <w:i/>
                <w:sz w:val="18"/>
                <w:szCs w:val="18"/>
              </w:rPr>
              <w:t xml:space="preserve">Прогноза </w:t>
            </w:r>
          </w:p>
          <w:p w:rsidR="000C2EEF" w:rsidRPr="005F66A5" w:rsidRDefault="000C2EEF" w:rsidP="000C2EEF">
            <w:pPr>
              <w:spacing w:after="0" w:line="0" w:lineRule="atLeast"/>
              <w:ind w:left="-55" w:firstLine="55"/>
              <w:jc w:val="center"/>
              <w:rPr>
                <w:rFonts w:eastAsia="Times New Roman" w:cs="Times New Roman"/>
                <w:b/>
                <w:i/>
                <w:sz w:val="18"/>
                <w:szCs w:val="18"/>
              </w:rPr>
            </w:pPr>
            <w:r w:rsidRPr="005F66A5">
              <w:rPr>
                <w:rFonts w:eastAsia="Times New Roman" w:cs="Times New Roman"/>
                <w:b/>
                <w:i/>
                <w:sz w:val="18"/>
                <w:szCs w:val="18"/>
              </w:rPr>
              <w:t>2021 г.</w:t>
            </w:r>
          </w:p>
        </w:tc>
        <w:tc>
          <w:tcPr>
            <w:tcW w:w="761" w:type="pct"/>
            <w:tcBorders>
              <w:top w:val="single" w:sz="4" w:space="0" w:color="auto"/>
              <w:bottom w:val="single" w:sz="4" w:space="0" w:color="auto"/>
            </w:tcBorders>
            <w:shd w:val="clear" w:color="auto" w:fill="auto"/>
            <w:vAlign w:val="center"/>
          </w:tcPr>
          <w:p w:rsidR="000C2EEF" w:rsidRPr="005F66A5" w:rsidRDefault="000C2EEF" w:rsidP="000C2EEF">
            <w:pPr>
              <w:spacing w:after="0" w:line="0" w:lineRule="atLeast"/>
              <w:jc w:val="center"/>
              <w:rPr>
                <w:rFonts w:eastAsia="Times New Roman" w:cs="Times New Roman"/>
                <w:b/>
                <w:i/>
                <w:sz w:val="18"/>
                <w:szCs w:val="18"/>
              </w:rPr>
            </w:pPr>
            <w:r w:rsidRPr="005F66A5">
              <w:rPr>
                <w:rFonts w:eastAsia="Times New Roman" w:cs="Times New Roman"/>
                <w:b/>
                <w:i/>
                <w:sz w:val="18"/>
                <w:szCs w:val="18"/>
              </w:rPr>
              <w:t xml:space="preserve">Прогноза </w:t>
            </w:r>
          </w:p>
          <w:p w:rsidR="000C2EEF" w:rsidRPr="005F66A5" w:rsidRDefault="000C2EEF" w:rsidP="000C2EEF">
            <w:pPr>
              <w:spacing w:after="0" w:line="0" w:lineRule="atLeast"/>
              <w:jc w:val="center"/>
              <w:rPr>
                <w:rFonts w:eastAsia="Times New Roman" w:cs="Times New Roman"/>
                <w:b/>
                <w:i/>
                <w:sz w:val="18"/>
                <w:szCs w:val="18"/>
              </w:rPr>
            </w:pPr>
            <w:r w:rsidRPr="005F66A5">
              <w:rPr>
                <w:rFonts w:eastAsia="Times New Roman" w:cs="Times New Roman"/>
                <w:b/>
                <w:i/>
                <w:sz w:val="18"/>
                <w:szCs w:val="18"/>
              </w:rPr>
              <w:t>2022 г.</w:t>
            </w:r>
          </w:p>
        </w:tc>
      </w:tr>
      <w:tr w:rsidR="000C2EEF" w:rsidRPr="005F66A5" w:rsidTr="00B41461">
        <w:trPr>
          <w:trHeight w:val="255"/>
          <w:jc w:val="center"/>
        </w:trPr>
        <w:tc>
          <w:tcPr>
            <w:tcW w:w="1545" w:type="pct"/>
            <w:tcBorders>
              <w:top w:val="single" w:sz="4" w:space="0" w:color="auto"/>
              <w:bottom w:val="nil"/>
            </w:tcBorders>
            <w:shd w:val="clear" w:color="auto" w:fill="auto"/>
          </w:tcPr>
          <w:p w:rsidR="000C2EEF" w:rsidRPr="005F66A5" w:rsidRDefault="000C2EEF" w:rsidP="000C2EEF">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 Минимален размер на Използваната земеделска площ (ИЗП)</w:t>
            </w:r>
          </w:p>
        </w:tc>
        <w:tc>
          <w:tcPr>
            <w:tcW w:w="536" w:type="pct"/>
            <w:tcBorders>
              <w:top w:val="single" w:sz="4" w:space="0" w:color="auto"/>
              <w:bottom w:val="nil"/>
            </w:tcBorders>
            <w:shd w:val="clear" w:color="auto" w:fill="F2F2F2" w:themeFill="background1" w:themeFillShade="F2"/>
          </w:tcPr>
          <w:p w:rsidR="000C2EEF" w:rsidRPr="005F66A5" w:rsidRDefault="000C2EEF" w:rsidP="00347827">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млн. ха</w:t>
            </w:r>
          </w:p>
        </w:tc>
        <w:tc>
          <w:tcPr>
            <w:tcW w:w="662" w:type="pct"/>
            <w:tcBorders>
              <w:top w:val="single" w:sz="4" w:space="0" w:color="auto"/>
              <w:bottom w:val="nil"/>
            </w:tcBorders>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w:t>
            </w:r>
          </w:p>
        </w:tc>
        <w:tc>
          <w:tcPr>
            <w:tcW w:w="742" w:type="pct"/>
            <w:tcBorders>
              <w:top w:val="single" w:sz="4" w:space="0" w:color="auto"/>
              <w:bottom w:val="nil"/>
            </w:tcBorders>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w:t>
            </w:r>
          </w:p>
        </w:tc>
        <w:tc>
          <w:tcPr>
            <w:tcW w:w="754" w:type="pct"/>
            <w:tcBorders>
              <w:top w:val="single" w:sz="4" w:space="0" w:color="auto"/>
              <w:bottom w:val="nil"/>
            </w:tcBorders>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w:t>
            </w:r>
          </w:p>
        </w:tc>
        <w:tc>
          <w:tcPr>
            <w:tcW w:w="761" w:type="pct"/>
            <w:tcBorders>
              <w:top w:val="single" w:sz="4" w:space="0" w:color="auto"/>
              <w:bottom w:val="nil"/>
            </w:tcBorders>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w:t>
            </w:r>
          </w:p>
        </w:tc>
      </w:tr>
      <w:tr w:rsidR="000C2EEF" w:rsidRPr="005F66A5" w:rsidTr="003A1BE2">
        <w:trPr>
          <w:trHeight w:val="255"/>
          <w:jc w:val="center"/>
        </w:trPr>
        <w:tc>
          <w:tcPr>
            <w:tcW w:w="1545" w:type="pct"/>
            <w:tcBorders>
              <w:top w:val="nil"/>
            </w:tcBorders>
            <w:shd w:val="clear" w:color="auto" w:fill="auto"/>
          </w:tcPr>
          <w:p w:rsidR="000C2EEF" w:rsidRPr="005F66A5" w:rsidRDefault="000C2EEF" w:rsidP="000C2EEF">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2. Брутна добавена стойност от отрасъл Селско стопанство</w:t>
            </w:r>
          </w:p>
        </w:tc>
        <w:tc>
          <w:tcPr>
            <w:tcW w:w="536" w:type="pct"/>
            <w:tcBorders>
              <w:top w:val="nil"/>
            </w:tcBorders>
            <w:shd w:val="clear" w:color="auto" w:fill="F2F2F2" w:themeFill="background1" w:themeFillShade="F2"/>
          </w:tcPr>
          <w:p w:rsidR="000C2EEF" w:rsidRPr="005F66A5" w:rsidRDefault="000C2EEF" w:rsidP="00347827">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млн. лева</w:t>
            </w:r>
          </w:p>
        </w:tc>
        <w:tc>
          <w:tcPr>
            <w:tcW w:w="662" w:type="pct"/>
            <w:tcBorders>
              <w:top w:val="nil"/>
            </w:tcBorders>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3 400</w:t>
            </w:r>
          </w:p>
        </w:tc>
        <w:tc>
          <w:tcPr>
            <w:tcW w:w="742" w:type="pct"/>
            <w:tcBorders>
              <w:top w:val="nil"/>
            </w:tcBorders>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3 450</w:t>
            </w:r>
          </w:p>
        </w:tc>
        <w:tc>
          <w:tcPr>
            <w:tcW w:w="754" w:type="pct"/>
            <w:tcBorders>
              <w:top w:val="nil"/>
            </w:tcBorders>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3 500</w:t>
            </w:r>
          </w:p>
        </w:tc>
        <w:tc>
          <w:tcPr>
            <w:tcW w:w="761" w:type="pct"/>
            <w:tcBorders>
              <w:top w:val="nil"/>
            </w:tcBorders>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3 550</w:t>
            </w:r>
          </w:p>
        </w:tc>
      </w:tr>
      <w:tr w:rsidR="000C2EEF" w:rsidRPr="005F66A5" w:rsidTr="000C2EEF">
        <w:trPr>
          <w:trHeight w:val="255"/>
          <w:jc w:val="center"/>
        </w:trPr>
        <w:tc>
          <w:tcPr>
            <w:tcW w:w="1545" w:type="pct"/>
            <w:shd w:val="clear" w:color="auto" w:fill="auto"/>
          </w:tcPr>
          <w:p w:rsidR="000C2EEF" w:rsidRPr="005F66A5" w:rsidRDefault="000C2EEF" w:rsidP="000C2EEF">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 Производителност на труда в отрасъл Селско стопанство – БДС/ГРЕ*</w:t>
            </w:r>
          </w:p>
        </w:tc>
        <w:tc>
          <w:tcPr>
            <w:tcW w:w="536" w:type="pct"/>
            <w:shd w:val="clear" w:color="auto" w:fill="F2F2F2" w:themeFill="background1" w:themeFillShade="F2"/>
          </w:tcPr>
          <w:p w:rsidR="000C2EEF" w:rsidRPr="005F66A5" w:rsidRDefault="000C2EEF" w:rsidP="00347827">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хил. лева/ГРЕ</w:t>
            </w:r>
          </w:p>
        </w:tc>
        <w:tc>
          <w:tcPr>
            <w:tcW w:w="662" w:type="pct"/>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14,2</w:t>
            </w:r>
          </w:p>
        </w:tc>
        <w:tc>
          <w:tcPr>
            <w:tcW w:w="742" w:type="pct"/>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14,4</w:t>
            </w:r>
          </w:p>
        </w:tc>
        <w:tc>
          <w:tcPr>
            <w:tcW w:w="754" w:type="pct"/>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14,6</w:t>
            </w:r>
          </w:p>
        </w:tc>
        <w:tc>
          <w:tcPr>
            <w:tcW w:w="761" w:type="pct"/>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14,8</w:t>
            </w:r>
          </w:p>
        </w:tc>
      </w:tr>
      <w:tr w:rsidR="000C2EEF" w:rsidRPr="005F66A5" w:rsidTr="000C2EEF">
        <w:trPr>
          <w:trHeight w:val="270"/>
          <w:jc w:val="center"/>
        </w:trPr>
        <w:tc>
          <w:tcPr>
            <w:tcW w:w="1545" w:type="pct"/>
            <w:shd w:val="clear" w:color="auto" w:fill="auto"/>
          </w:tcPr>
          <w:p w:rsidR="000C2EEF" w:rsidRPr="005F66A5" w:rsidRDefault="000C2EEF" w:rsidP="000C2EEF">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4. Предприемачески доход в отрасъл Селско стопанство</w:t>
            </w:r>
          </w:p>
        </w:tc>
        <w:tc>
          <w:tcPr>
            <w:tcW w:w="536" w:type="pct"/>
            <w:shd w:val="clear" w:color="auto" w:fill="F2F2F2" w:themeFill="background1" w:themeFillShade="F2"/>
          </w:tcPr>
          <w:p w:rsidR="000C2EEF" w:rsidRPr="005F66A5" w:rsidRDefault="000C2EEF" w:rsidP="00347827">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млн. лева</w:t>
            </w:r>
          </w:p>
        </w:tc>
        <w:tc>
          <w:tcPr>
            <w:tcW w:w="662" w:type="pct"/>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2 300</w:t>
            </w:r>
          </w:p>
        </w:tc>
        <w:tc>
          <w:tcPr>
            <w:tcW w:w="742" w:type="pct"/>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2 350</w:t>
            </w:r>
          </w:p>
        </w:tc>
        <w:tc>
          <w:tcPr>
            <w:tcW w:w="754" w:type="pct"/>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2 400</w:t>
            </w:r>
          </w:p>
        </w:tc>
        <w:tc>
          <w:tcPr>
            <w:tcW w:w="761" w:type="pct"/>
            <w:shd w:val="clear" w:color="auto" w:fill="auto"/>
          </w:tcPr>
          <w:p w:rsidR="000C2EEF" w:rsidRPr="005F66A5" w:rsidRDefault="000C2EEF" w:rsidP="000C2EEF">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2 450</w:t>
            </w:r>
          </w:p>
        </w:tc>
      </w:tr>
    </w:tbl>
    <w:p w:rsidR="00FB7F50" w:rsidRDefault="00FB7F50" w:rsidP="005F0C7F">
      <w:pPr>
        <w:pStyle w:val="NoSpacing"/>
        <w:rPr>
          <w:sz w:val="18"/>
          <w:szCs w:val="18"/>
        </w:rPr>
      </w:pPr>
      <w:r w:rsidRPr="005F0C7F">
        <w:rPr>
          <w:rFonts w:eastAsia="Calibri"/>
          <w:b/>
          <w:sz w:val="18"/>
          <w:szCs w:val="18"/>
        </w:rPr>
        <w:t>*</w:t>
      </w:r>
      <w:r w:rsidRPr="005F0C7F">
        <w:rPr>
          <w:rFonts w:eastAsia="Calibri"/>
          <w:sz w:val="18"/>
          <w:szCs w:val="18"/>
        </w:rPr>
        <w:t xml:space="preserve"> БДС/ГРЕ - Брутна добавена стойност/Годишни работни единици (еквивалент на пълна годишна заетост в селското стопанство)</w:t>
      </w:r>
      <w:r w:rsidR="00DE1F60" w:rsidRPr="005F0C7F">
        <w:rPr>
          <w:sz w:val="18"/>
          <w:szCs w:val="18"/>
        </w:rPr>
        <w:t xml:space="preserve"> </w:t>
      </w:r>
    </w:p>
    <w:p w:rsidR="006E5E17" w:rsidRDefault="006E5E17" w:rsidP="005F0C7F">
      <w:pPr>
        <w:pStyle w:val="NoSpacing"/>
        <w:rPr>
          <w:sz w:val="18"/>
          <w:szCs w:val="18"/>
        </w:rPr>
      </w:pPr>
    </w:p>
    <w:p w:rsidR="00882474" w:rsidRPr="005F66A5" w:rsidRDefault="00882474" w:rsidP="00882474">
      <w:pPr>
        <w:spacing w:before="240"/>
        <w:rPr>
          <w:rFonts w:eastAsia="Times New Roman" w:cs="Times New Roman"/>
        </w:rPr>
      </w:pPr>
      <w:r w:rsidRPr="005F66A5">
        <w:rPr>
          <w:rFonts w:eastAsia="Times New Roman" w:cs="Times New Roman"/>
        </w:rPr>
        <w:t>За периода 20</w:t>
      </w:r>
      <w:r w:rsidRPr="007D6981">
        <w:rPr>
          <w:rFonts w:eastAsia="Times New Roman" w:cs="Times New Roman"/>
          <w:lang w:val="ru-RU"/>
        </w:rPr>
        <w:t>20</w:t>
      </w:r>
      <w:r w:rsidRPr="005F66A5">
        <w:rPr>
          <w:rFonts w:eastAsia="Times New Roman" w:cs="Times New Roman"/>
        </w:rPr>
        <w:t>-202</w:t>
      </w:r>
      <w:r w:rsidRPr="007D6981">
        <w:rPr>
          <w:rFonts w:eastAsia="Times New Roman" w:cs="Times New Roman"/>
          <w:lang w:val="ru-RU"/>
        </w:rPr>
        <w:t>2</w:t>
      </w:r>
      <w:r w:rsidRPr="005F66A5">
        <w:rPr>
          <w:rFonts w:eastAsia="Times New Roman" w:cs="Times New Roman"/>
        </w:rPr>
        <w:t xml:space="preserve"> г. по бюджета на Министерството на земеделието, храните и горите са предвидени средства в размер на 19,0 млн. лв. годишно за извършване на обществена услуга за защита от вредното въздействие на водите, възложена на „Напоителни системи“ ЕАД.</w:t>
      </w:r>
    </w:p>
    <w:p w:rsidR="00882474" w:rsidRPr="005F66A5" w:rsidRDefault="00882474" w:rsidP="00882474">
      <w:pPr>
        <w:rPr>
          <w:rFonts w:eastAsia="Times New Roman" w:cs="Times New Roman"/>
        </w:rPr>
      </w:pPr>
      <w:r w:rsidRPr="005F66A5">
        <w:rPr>
          <w:rFonts w:eastAsia="Times New Roman" w:cs="Times New Roman"/>
          <w:b/>
        </w:rPr>
        <w:t>Държавен фонд „Земеделие“</w:t>
      </w:r>
      <w:r w:rsidRPr="005F66A5">
        <w:rPr>
          <w:rFonts w:eastAsia="Times New Roman" w:cs="Times New Roman"/>
        </w:rPr>
        <w:t xml:space="preserve"> участва в прилагането на политиката на МЗХГ в областта на земеделието и селските райони. Фондът работи за постигане на дългосрочната визия на Република България за изграждане на конкурентно, ефективно и устойчиво селско стопанство, защита на пазара на земеделски продукти от сътресения и подобряване качеството на живот в селските райони.</w:t>
      </w:r>
    </w:p>
    <w:p w:rsidR="00882474" w:rsidRPr="005F66A5" w:rsidRDefault="00882474" w:rsidP="00882474">
      <w:pPr>
        <w:rPr>
          <w:rFonts w:eastAsia="Times New Roman" w:cs="Times New Roman"/>
        </w:rPr>
      </w:pPr>
      <w:r w:rsidRPr="005F66A5">
        <w:rPr>
          <w:rFonts w:eastAsia="Times New Roman" w:cs="Times New Roman"/>
        </w:rPr>
        <w:t>ДФЗ отговаря за разпределението на публичните разходи за политиката, които разходва пряко чрез бюджета си и чрез сметката за средства от Европейския съюз, одобрени с годишния закон за държавния бюджет на Република България.</w:t>
      </w:r>
    </w:p>
    <w:p w:rsidR="00882474" w:rsidRPr="005F66A5" w:rsidRDefault="00882474" w:rsidP="00882474">
      <w:pPr>
        <w:rPr>
          <w:rFonts w:eastAsia="Times New Roman" w:cs="Times New Roman"/>
        </w:rPr>
      </w:pPr>
      <w:r w:rsidRPr="005F66A5">
        <w:rPr>
          <w:rFonts w:eastAsia="Times New Roman" w:cs="Times New Roman"/>
        </w:rPr>
        <w:t>За изпълнението на политиката допринасят и взаимоотношенията на ДФЗ освен с МЗХГ и с други институции: институциите на Европейския съюз, разплащателните агенции на други държави-членки на ЕС и други.</w:t>
      </w:r>
      <w:r w:rsidRPr="005F66A5" w:rsidDel="007C2071">
        <w:rPr>
          <w:rFonts w:eastAsia="Times New Roman" w:cs="Times New Roman"/>
        </w:rPr>
        <w:t xml:space="preserve"> </w:t>
      </w:r>
      <w:r w:rsidRPr="005F66A5">
        <w:rPr>
          <w:rFonts w:eastAsia="Times New Roman" w:cs="Times New Roman"/>
        </w:rPr>
        <w:t>Ключови индикатори в областта на земеделието и селските райони в частта на ДФЗ са:</w:t>
      </w:r>
    </w:p>
    <w:p w:rsidR="00882474" w:rsidRPr="005F66A5" w:rsidRDefault="00882474" w:rsidP="003403BF">
      <w:pPr>
        <w:numPr>
          <w:ilvl w:val="0"/>
          <w:numId w:val="23"/>
        </w:numPr>
        <w:rPr>
          <w:rFonts w:eastAsia="Times New Roman" w:cs="Times New Roman"/>
          <w:i/>
        </w:rPr>
      </w:pPr>
      <w:r w:rsidRPr="005F66A5">
        <w:rPr>
          <w:rFonts w:eastAsia="Times New Roman" w:cs="Times New Roman"/>
          <w:i/>
        </w:rPr>
        <w:t>Изпълнение на бюджета по ПРСР 2014-2020 съгласно правилото N+3</w:t>
      </w:r>
    </w:p>
    <w:p w:rsidR="00882474" w:rsidRPr="005F66A5" w:rsidRDefault="00882474" w:rsidP="00882474">
      <w:pPr>
        <w:rPr>
          <w:rFonts w:eastAsia="Times New Roman" w:cs="Times New Roman"/>
        </w:rPr>
      </w:pPr>
      <w:r w:rsidRPr="005F66A5">
        <w:rPr>
          <w:rFonts w:eastAsia="Times New Roman" w:cs="Times New Roman"/>
        </w:rPr>
        <w:t xml:space="preserve">Съгласно европейското законодателство бюджетът на всяка програма за развитие на селските райони е разделен по години от 2014 до 2020 г., като средствата за всяка година могат да бъдат разплатени единствено в рамките на следващите три години. </w:t>
      </w:r>
    </w:p>
    <w:p w:rsidR="00882474" w:rsidRPr="005F66A5" w:rsidRDefault="00882474" w:rsidP="003403BF">
      <w:pPr>
        <w:numPr>
          <w:ilvl w:val="0"/>
          <w:numId w:val="23"/>
        </w:numPr>
        <w:rPr>
          <w:rFonts w:eastAsia="Times New Roman" w:cs="Times New Roman"/>
          <w:i/>
        </w:rPr>
      </w:pPr>
      <w:r w:rsidRPr="005F66A5">
        <w:rPr>
          <w:rFonts w:eastAsia="Times New Roman" w:cs="Times New Roman"/>
          <w:i/>
        </w:rPr>
        <w:t xml:space="preserve">Изпълнение на мерките за подкрепа на пазара и на организациите на производителите; </w:t>
      </w:r>
    </w:p>
    <w:p w:rsidR="00882474" w:rsidRPr="005F66A5" w:rsidRDefault="00882474" w:rsidP="003403BF">
      <w:pPr>
        <w:numPr>
          <w:ilvl w:val="0"/>
          <w:numId w:val="23"/>
        </w:numPr>
        <w:rPr>
          <w:rFonts w:eastAsia="Times New Roman" w:cs="Times New Roman"/>
          <w:i/>
        </w:rPr>
      </w:pPr>
      <w:r w:rsidRPr="005F66A5">
        <w:rPr>
          <w:rFonts w:eastAsia="Times New Roman" w:cs="Times New Roman"/>
          <w:i/>
        </w:rPr>
        <w:t xml:space="preserve">Изпълнение на директните плащания към земеделските производители; </w:t>
      </w:r>
    </w:p>
    <w:p w:rsidR="00882474" w:rsidRPr="005F66A5" w:rsidRDefault="00882474" w:rsidP="003403BF">
      <w:pPr>
        <w:numPr>
          <w:ilvl w:val="0"/>
          <w:numId w:val="23"/>
        </w:numPr>
        <w:rPr>
          <w:rFonts w:eastAsia="Times New Roman" w:cs="Times New Roman"/>
          <w:i/>
        </w:rPr>
      </w:pPr>
      <w:r w:rsidRPr="005F66A5">
        <w:rPr>
          <w:rFonts w:eastAsia="Times New Roman" w:cs="Times New Roman"/>
          <w:i/>
        </w:rPr>
        <w:t xml:space="preserve">Изпълнение на индикатора държавни помощи - осъществява се чрез предоставяне на безвъзмездна финансова помощ на земеделските стопани със средства от националния бюджет; </w:t>
      </w:r>
    </w:p>
    <w:p w:rsidR="00882474" w:rsidRPr="005F66A5" w:rsidRDefault="00882474" w:rsidP="003403BF">
      <w:pPr>
        <w:numPr>
          <w:ilvl w:val="0"/>
          <w:numId w:val="23"/>
        </w:numPr>
        <w:rPr>
          <w:rFonts w:eastAsia="Times New Roman" w:cs="Times New Roman"/>
          <w:i/>
        </w:rPr>
      </w:pPr>
      <w:r w:rsidRPr="005F66A5">
        <w:rPr>
          <w:rFonts w:eastAsia="Times New Roman" w:cs="Times New Roman"/>
          <w:i/>
        </w:rPr>
        <w:t>Изпълнение на схемите за преходна национална помощ - целта им е да приближи нивото на подкрепа на българските производители с останалите държави-членки и да повиши конкурентоспособността им.</w:t>
      </w:r>
    </w:p>
    <w:p w:rsidR="00882474" w:rsidRPr="005F66A5" w:rsidRDefault="00882474" w:rsidP="00882474">
      <w:pPr>
        <w:rPr>
          <w:rFonts w:eastAsia="Times New Roman" w:cs="Times New Roman"/>
        </w:rPr>
      </w:pPr>
      <w:r w:rsidRPr="005F66A5">
        <w:rPr>
          <w:rFonts w:eastAsia="Times New Roman" w:cs="Times New Roman"/>
        </w:rPr>
        <w:t xml:space="preserve">Чрез посочените индикатори може да се оцени финансовата подкрепа, обвързана с постигането на следните цели: </w:t>
      </w:r>
    </w:p>
    <w:p w:rsidR="00882474" w:rsidRPr="005F66A5" w:rsidRDefault="00882474" w:rsidP="003403BF">
      <w:pPr>
        <w:numPr>
          <w:ilvl w:val="0"/>
          <w:numId w:val="14"/>
        </w:numPr>
        <w:spacing w:after="120"/>
        <w:ind w:left="709" w:hanging="284"/>
        <w:rPr>
          <w:rFonts w:eastAsia="Times New Roman" w:cs="Times New Roman"/>
        </w:rPr>
      </w:pPr>
      <w:r w:rsidRPr="005F66A5">
        <w:rPr>
          <w:rFonts w:eastAsia="Times New Roman" w:cs="Times New Roman"/>
        </w:rPr>
        <w:t>ефективно усвояване на средства от Европейския фонд за гарантиране на земеделието и Европейския земеделски фонд за развитие на селските райони чрез добро административно и финансово управление и контрол;</w:t>
      </w:r>
    </w:p>
    <w:p w:rsidR="00882474" w:rsidRPr="005F66A5" w:rsidRDefault="00882474" w:rsidP="003403BF">
      <w:pPr>
        <w:numPr>
          <w:ilvl w:val="0"/>
          <w:numId w:val="14"/>
        </w:numPr>
        <w:spacing w:after="120"/>
        <w:ind w:left="709" w:hanging="284"/>
        <w:rPr>
          <w:rFonts w:eastAsia="Times New Roman" w:cs="Times New Roman"/>
        </w:rPr>
      </w:pPr>
      <w:r w:rsidRPr="005F66A5">
        <w:rPr>
          <w:rFonts w:eastAsia="Times New Roman" w:cs="Times New Roman"/>
        </w:rPr>
        <w:t xml:space="preserve">създаване на ефективно, конкурентоспособно и пазарно-ориентирано земеделие; </w:t>
      </w:r>
    </w:p>
    <w:p w:rsidR="00882474" w:rsidRPr="005F66A5" w:rsidRDefault="00882474" w:rsidP="003403BF">
      <w:pPr>
        <w:numPr>
          <w:ilvl w:val="0"/>
          <w:numId w:val="14"/>
        </w:numPr>
        <w:spacing w:after="120"/>
        <w:ind w:left="709" w:hanging="284"/>
        <w:rPr>
          <w:rFonts w:eastAsia="Times New Roman" w:cs="Times New Roman"/>
        </w:rPr>
      </w:pPr>
      <w:r w:rsidRPr="005F66A5">
        <w:rPr>
          <w:rFonts w:eastAsia="Times New Roman" w:cs="Times New Roman"/>
        </w:rPr>
        <w:t>стабилизиране на пазарите на земеделски продукти чрез оказване на пазарна финансова подкрепа;</w:t>
      </w:r>
    </w:p>
    <w:p w:rsidR="00882474" w:rsidRPr="005F66A5" w:rsidRDefault="00882474" w:rsidP="003403BF">
      <w:pPr>
        <w:numPr>
          <w:ilvl w:val="0"/>
          <w:numId w:val="14"/>
        </w:numPr>
        <w:spacing w:after="120"/>
        <w:ind w:left="709" w:hanging="284"/>
        <w:rPr>
          <w:rFonts w:eastAsia="Times New Roman" w:cs="Times New Roman"/>
        </w:rPr>
      </w:pPr>
      <w:r w:rsidRPr="005F66A5">
        <w:rPr>
          <w:rFonts w:eastAsia="Times New Roman" w:cs="Times New Roman"/>
        </w:rPr>
        <w:t>повишаване на доходите на производителите чрез директни плащания на площ и държавни помощи;</w:t>
      </w:r>
    </w:p>
    <w:p w:rsidR="00882474" w:rsidRPr="005F66A5" w:rsidRDefault="00882474" w:rsidP="003403BF">
      <w:pPr>
        <w:numPr>
          <w:ilvl w:val="0"/>
          <w:numId w:val="14"/>
        </w:numPr>
        <w:spacing w:after="120"/>
        <w:ind w:left="709" w:hanging="284"/>
        <w:rPr>
          <w:rFonts w:eastAsia="Times New Roman" w:cs="Times New Roman"/>
        </w:rPr>
      </w:pPr>
      <w:r w:rsidRPr="005F66A5">
        <w:rPr>
          <w:rFonts w:eastAsia="Times New Roman" w:cs="Times New Roman"/>
        </w:rPr>
        <w:t>устойчиво развитие на селскостопанския отрасъл;</w:t>
      </w:r>
    </w:p>
    <w:p w:rsidR="00882474" w:rsidRPr="005F66A5" w:rsidRDefault="00882474" w:rsidP="003403BF">
      <w:pPr>
        <w:numPr>
          <w:ilvl w:val="0"/>
          <w:numId w:val="14"/>
        </w:numPr>
        <w:spacing w:after="120"/>
        <w:ind w:left="709" w:hanging="284"/>
        <w:rPr>
          <w:rFonts w:eastAsia="Times New Roman" w:cs="Times New Roman"/>
        </w:rPr>
      </w:pPr>
      <w:r w:rsidRPr="005F66A5">
        <w:rPr>
          <w:rFonts w:eastAsia="Times New Roman" w:cs="Times New Roman"/>
        </w:rPr>
        <w:t>подобряване качеството на живот и разнообразяване на икономиката в селските райони.</w:t>
      </w:r>
    </w:p>
    <w:p w:rsidR="00882474" w:rsidRPr="005F66A5" w:rsidRDefault="00882474" w:rsidP="00882474">
      <w:pPr>
        <w:tabs>
          <w:tab w:val="left" w:pos="426"/>
        </w:tabs>
        <w:rPr>
          <w:rFonts w:eastAsia="Times New Roman" w:cs="Times New Roman"/>
        </w:rPr>
      </w:pPr>
      <w:r w:rsidRPr="005F66A5">
        <w:rPr>
          <w:rFonts w:eastAsia="Times New Roman" w:cs="Times New Roman"/>
        </w:rPr>
        <w:t xml:space="preserve">В областта на </w:t>
      </w:r>
      <w:r w:rsidRPr="005F66A5">
        <w:rPr>
          <w:rFonts w:eastAsia="Times New Roman" w:cs="Times New Roman"/>
          <w:b/>
        </w:rPr>
        <w:t>селското стопанство и земеделие</w:t>
      </w:r>
      <w:r w:rsidR="00643F0B">
        <w:rPr>
          <w:rFonts w:eastAsia="Times New Roman" w:cs="Times New Roman"/>
          <w:b/>
        </w:rPr>
        <w:t>то</w:t>
      </w:r>
      <w:r w:rsidRPr="005F66A5">
        <w:rPr>
          <w:rFonts w:eastAsia="Times New Roman" w:cs="Times New Roman"/>
        </w:rPr>
        <w:t xml:space="preserve"> се предоставят на бенефициенти по програмите и мерките за държавно подпомагане следните основни услуги:</w:t>
      </w:r>
    </w:p>
    <w:p w:rsidR="00882474" w:rsidRPr="005F66A5" w:rsidRDefault="00882474" w:rsidP="003403BF">
      <w:pPr>
        <w:numPr>
          <w:ilvl w:val="0"/>
          <w:numId w:val="15"/>
        </w:numPr>
        <w:ind w:left="284" w:hanging="284"/>
        <w:rPr>
          <w:rFonts w:eastAsia="Times New Roman" w:cs="Times New Roman"/>
          <w:b/>
        </w:rPr>
      </w:pPr>
      <w:r w:rsidRPr="005F66A5">
        <w:rPr>
          <w:rFonts w:eastAsia="Times New Roman" w:cs="Times New Roman"/>
          <w:b/>
        </w:rPr>
        <w:t>Схеми за преходна национална помощ</w:t>
      </w:r>
    </w:p>
    <w:p w:rsidR="00882474" w:rsidRPr="005F66A5" w:rsidRDefault="00882474" w:rsidP="00882474">
      <w:pPr>
        <w:rPr>
          <w:rFonts w:eastAsia="Times New Roman" w:cs="Times New Roman"/>
        </w:rPr>
      </w:pPr>
      <w:r w:rsidRPr="005F66A5">
        <w:rPr>
          <w:rFonts w:eastAsia="Times New Roman" w:cs="Times New Roman"/>
        </w:rPr>
        <w:t>Целта на преходната национална помощ е да приближи нивото на подкрепа на българските производители с останалите държави  членки и да повиши конкурентоспособността им, да предостави възможност за последователност в политиката и подпомагане с максимална продължителност с национални средства на сектор „Тютюн”, да осигури допълнително подпомагане на говедовъдството и отглеждането на овце и кози. Прилагането на схемите изисква осъществяването на ежегодна нотификация до Европейската комисия и се финансира от националния бюджет.</w:t>
      </w:r>
    </w:p>
    <w:p w:rsidR="00882474" w:rsidRPr="005F66A5" w:rsidRDefault="00882474" w:rsidP="00882474">
      <w:pPr>
        <w:rPr>
          <w:rFonts w:eastAsia="Times New Roman" w:cs="Times New Roman"/>
        </w:rPr>
      </w:pPr>
      <w:r w:rsidRPr="005F66A5">
        <w:rPr>
          <w:rFonts w:eastAsia="Times New Roman" w:cs="Times New Roman"/>
        </w:rPr>
        <w:t>През програмния период 2015-2020 г. могат да  бъдат прилагани следните схеми за преходна национална помощ:</w:t>
      </w:r>
    </w:p>
    <w:p w:rsidR="00882474" w:rsidRPr="005F66A5" w:rsidRDefault="00882474" w:rsidP="006F2CDA">
      <w:pPr>
        <w:numPr>
          <w:ilvl w:val="0"/>
          <w:numId w:val="16"/>
        </w:numPr>
        <w:spacing w:before="120" w:after="0"/>
        <w:ind w:left="709" w:hanging="283"/>
        <w:rPr>
          <w:rFonts w:eastAsia="Times New Roman" w:cs="Times New Roman"/>
        </w:rPr>
      </w:pPr>
      <w:r w:rsidRPr="005F66A5">
        <w:rPr>
          <w:rFonts w:eastAsia="Times New Roman" w:cs="Times New Roman"/>
        </w:rPr>
        <w:t>Схема за преходна национална помощ за земеделска земя на хектар;</w:t>
      </w:r>
    </w:p>
    <w:p w:rsidR="00882474" w:rsidRPr="005F66A5" w:rsidRDefault="00882474" w:rsidP="006F2CDA">
      <w:pPr>
        <w:numPr>
          <w:ilvl w:val="0"/>
          <w:numId w:val="16"/>
        </w:numPr>
        <w:spacing w:before="120" w:after="0"/>
        <w:ind w:left="709" w:hanging="283"/>
        <w:rPr>
          <w:rFonts w:eastAsia="Times New Roman" w:cs="Times New Roman"/>
        </w:rPr>
      </w:pPr>
      <w:r w:rsidRPr="005F66A5">
        <w:rPr>
          <w:rFonts w:eastAsia="Times New Roman" w:cs="Times New Roman"/>
        </w:rPr>
        <w:t>Схема за преходна национална помощ за тютюн, необвързана с производството;</w:t>
      </w:r>
    </w:p>
    <w:p w:rsidR="00882474" w:rsidRPr="005F66A5" w:rsidRDefault="00882474" w:rsidP="006F2CDA">
      <w:pPr>
        <w:numPr>
          <w:ilvl w:val="0"/>
          <w:numId w:val="16"/>
        </w:numPr>
        <w:spacing w:before="120" w:after="0"/>
        <w:ind w:left="709" w:hanging="283"/>
        <w:rPr>
          <w:rFonts w:eastAsia="Times New Roman" w:cs="Times New Roman"/>
        </w:rPr>
      </w:pPr>
      <w:r w:rsidRPr="005F66A5">
        <w:rPr>
          <w:rFonts w:eastAsia="Times New Roman" w:cs="Times New Roman"/>
        </w:rPr>
        <w:t>Схема за преходна национална помощ за говеда, необвързана с производството;</w:t>
      </w:r>
    </w:p>
    <w:p w:rsidR="00882474" w:rsidRPr="005F66A5" w:rsidRDefault="00882474" w:rsidP="006F2CDA">
      <w:pPr>
        <w:numPr>
          <w:ilvl w:val="0"/>
          <w:numId w:val="16"/>
        </w:numPr>
        <w:spacing w:before="120" w:after="0"/>
        <w:ind w:left="709" w:hanging="283"/>
        <w:rPr>
          <w:rFonts w:eastAsia="Times New Roman" w:cs="Times New Roman"/>
        </w:rPr>
      </w:pPr>
      <w:r w:rsidRPr="005F66A5">
        <w:rPr>
          <w:rFonts w:eastAsia="Times New Roman" w:cs="Times New Roman"/>
        </w:rPr>
        <w:t>Схема за преходна национална помощ за овце-майки и/или кози-майки, обвързана с производството.</w:t>
      </w:r>
    </w:p>
    <w:p w:rsidR="00882474" w:rsidRPr="005F66A5" w:rsidRDefault="00882474" w:rsidP="006F2CDA">
      <w:pPr>
        <w:spacing w:before="120" w:after="0"/>
        <w:ind w:left="568"/>
        <w:rPr>
          <w:rFonts w:eastAsia="Times New Roman" w:cs="Times New Roman"/>
        </w:rPr>
      </w:pPr>
    </w:p>
    <w:p w:rsidR="00882474" w:rsidRPr="005F66A5" w:rsidRDefault="00882474" w:rsidP="003403BF">
      <w:pPr>
        <w:numPr>
          <w:ilvl w:val="0"/>
          <w:numId w:val="15"/>
        </w:numPr>
        <w:ind w:left="284" w:hanging="284"/>
        <w:rPr>
          <w:rFonts w:eastAsia="Times New Roman" w:cs="Times New Roman"/>
          <w:b/>
        </w:rPr>
      </w:pPr>
      <w:r w:rsidRPr="005F66A5">
        <w:rPr>
          <w:rFonts w:eastAsia="Times New Roman" w:cs="Times New Roman"/>
          <w:b/>
        </w:rPr>
        <w:t>Държавни помощи</w:t>
      </w:r>
    </w:p>
    <w:p w:rsidR="00882474" w:rsidRPr="005F66A5" w:rsidRDefault="00882474" w:rsidP="00882474">
      <w:pPr>
        <w:rPr>
          <w:rFonts w:eastAsia="Times New Roman" w:cs="Times New Roman"/>
        </w:rPr>
      </w:pPr>
      <w:r w:rsidRPr="005F66A5">
        <w:rPr>
          <w:rFonts w:eastAsia="Times New Roman" w:cs="Times New Roman"/>
          <w:b/>
        </w:rPr>
        <w:t>2.1.</w:t>
      </w:r>
      <w:r w:rsidRPr="005F66A5">
        <w:rPr>
          <w:rFonts w:eastAsia="Times New Roman" w:cs="Times New Roman"/>
        </w:rPr>
        <w:t xml:space="preserve"> Държавен фонд „Земеделие” осъществява държавно подпомагане, в т.ч. безвъзмездна помощ и краткосрочно кредитиране със средства от националния бюджет. Прилаганите към момента схеми за държавни помощи в селското стопанство са нотифицирани от Министерството на земеделието, храните и горите и са одобрени от Европейската комисия на база на действащото законодателство на ЕС в областта на държавните помощи.</w:t>
      </w:r>
    </w:p>
    <w:p w:rsidR="00882474" w:rsidRPr="005F66A5" w:rsidRDefault="00882474" w:rsidP="00882474">
      <w:pPr>
        <w:rPr>
          <w:rFonts w:eastAsia="Times New Roman" w:cs="Times New Roman"/>
        </w:rPr>
      </w:pPr>
      <w:r w:rsidRPr="005F66A5">
        <w:rPr>
          <w:rFonts w:eastAsia="Times New Roman" w:cs="Times New Roman"/>
        </w:rPr>
        <w:t>Предвижда се подпомагането на земеделските стопани през периода 20</w:t>
      </w:r>
      <w:r w:rsidRPr="007D6981">
        <w:rPr>
          <w:rFonts w:eastAsia="Times New Roman" w:cs="Times New Roman"/>
          <w:lang w:val="ru-RU"/>
        </w:rPr>
        <w:t>20</w:t>
      </w:r>
      <w:r w:rsidRPr="005F66A5">
        <w:rPr>
          <w:rFonts w:eastAsia="Times New Roman" w:cs="Times New Roman"/>
        </w:rPr>
        <w:t>-202</w:t>
      </w:r>
      <w:r w:rsidRPr="007D6981">
        <w:rPr>
          <w:rFonts w:eastAsia="Times New Roman" w:cs="Times New Roman"/>
          <w:lang w:val="ru-RU"/>
        </w:rPr>
        <w:t xml:space="preserve">2 </w:t>
      </w:r>
      <w:r w:rsidRPr="005F66A5">
        <w:rPr>
          <w:rFonts w:eastAsia="Times New Roman" w:cs="Times New Roman"/>
        </w:rPr>
        <w:t>г. да се определя на базата на промените в европейското законодателство, като тенденцията е да се запазят досега действащите държавни помощи.</w:t>
      </w:r>
    </w:p>
    <w:p w:rsidR="00882474" w:rsidRDefault="00882474" w:rsidP="00882474">
      <w:pPr>
        <w:rPr>
          <w:rFonts w:eastAsia="Times New Roman" w:cs="Times New Roman"/>
        </w:rPr>
      </w:pPr>
      <w:r w:rsidRPr="005F66A5">
        <w:rPr>
          <w:rFonts w:eastAsia="Times New Roman" w:cs="Times New Roman"/>
        </w:rPr>
        <w:t>Политиката на подпомагане се определя както от специфичните нужди в отделните подсектори на земеделието, така и от интересите на земеделските стопани, като се следва принципът на анализ на необходимостта от държавно подпомагане в дадена област при спазване на нормите на европейското и националното право в областта на държавните помощи.</w:t>
      </w:r>
    </w:p>
    <w:p w:rsidR="00882474" w:rsidRPr="005F66A5" w:rsidRDefault="00882474" w:rsidP="00882474">
      <w:pPr>
        <w:rPr>
          <w:rFonts w:eastAsia="Times New Roman" w:cs="Times New Roman"/>
        </w:rPr>
      </w:pPr>
      <w:r w:rsidRPr="005F66A5">
        <w:rPr>
          <w:rFonts w:eastAsia="Times New Roman" w:cs="Times New Roman"/>
        </w:rPr>
        <w:t>Разширяването на подпомагането в сектор растениевъдство може да се окаже естествен процес, породен от стремежа на растениевъдите за осигуряване на размер на държавна помощ, сходен с този за животновъдството.</w:t>
      </w:r>
    </w:p>
    <w:p w:rsidR="00882474" w:rsidRPr="005F66A5" w:rsidRDefault="00882474" w:rsidP="00882474">
      <w:pPr>
        <w:rPr>
          <w:rFonts w:eastAsia="Times New Roman" w:cs="Times New Roman"/>
        </w:rPr>
      </w:pPr>
      <w:r w:rsidRPr="005F66A5">
        <w:rPr>
          <w:rFonts w:eastAsia="Times New Roman" w:cs="Times New Roman"/>
        </w:rPr>
        <w:t>Допълнителен инструмент за подкрепа на земеделските стопани при извънредни случаи или в случаи, за които не се прилагат схеми на държавни помощи</w:t>
      </w:r>
      <w:r w:rsidR="00A30D81">
        <w:rPr>
          <w:rFonts w:eastAsia="Times New Roman" w:cs="Times New Roman"/>
        </w:rPr>
        <w:t>,</w:t>
      </w:r>
      <w:r w:rsidRPr="005F66A5">
        <w:rPr>
          <w:rFonts w:eastAsia="Times New Roman" w:cs="Times New Roman"/>
        </w:rPr>
        <w:t xml:space="preserve"> е подпомагането по линия на de minimis помощите. Тези помощи може да се използват при необходимост през периода 2020-2022 г. в качеството им на резервно подпомагане.</w:t>
      </w:r>
    </w:p>
    <w:p w:rsidR="00882474" w:rsidRPr="005F66A5" w:rsidRDefault="00882474" w:rsidP="00882474">
      <w:pPr>
        <w:rPr>
          <w:rFonts w:eastAsia="Times New Roman" w:cs="Times New Roman"/>
          <w:b/>
        </w:rPr>
      </w:pPr>
      <w:r w:rsidRPr="005F66A5">
        <w:rPr>
          <w:rFonts w:eastAsia="Times New Roman" w:cs="Times New Roman"/>
          <w:b/>
        </w:rPr>
        <w:t>2.2. Държавни помощи с инвестиционен характер</w:t>
      </w:r>
    </w:p>
    <w:p w:rsidR="00882474" w:rsidRPr="005F66A5" w:rsidRDefault="00882474" w:rsidP="00882474">
      <w:pPr>
        <w:rPr>
          <w:rFonts w:eastAsia="Times New Roman" w:cs="Times New Roman"/>
        </w:rPr>
      </w:pPr>
      <w:r w:rsidRPr="005F66A5">
        <w:rPr>
          <w:rFonts w:eastAsia="Times New Roman" w:cs="Times New Roman"/>
        </w:rPr>
        <w:t xml:space="preserve">Държавен фонд „Земеделие” осъществява дейността по администриране на нотифицираните от управляващия орган Министерството на земеделието, храните и горите и одобрени от Европейската комисия схеми на държавните помощи с инвестиционен характер. </w:t>
      </w:r>
    </w:p>
    <w:p w:rsidR="00882474" w:rsidRPr="005F66A5" w:rsidRDefault="00882474" w:rsidP="00882474">
      <w:pPr>
        <w:rPr>
          <w:rFonts w:eastAsia="Times New Roman" w:cs="Times New Roman"/>
          <w:b/>
        </w:rPr>
      </w:pPr>
      <w:r w:rsidRPr="005F66A5">
        <w:rPr>
          <w:rFonts w:eastAsia="Times New Roman" w:cs="Times New Roman"/>
          <w:b/>
        </w:rPr>
        <w:t>2.3. Помощ под формата на отстъпка от стойността на акциза върху газьола, използван в първичното селскостопанско производство</w:t>
      </w:r>
    </w:p>
    <w:p w:rsidR="00882474" w:rsidRPr="005F66A5" w:rsidRDefault="00882474" w:rsidP="00882474">
      <w:pPr>
        <w:rPr>
          <w:rFonts w:eastAsia="Times New Roman" w:cs="Times New Roman"/>
        </w:rPr>
      </w:pPr>
      <w:r w:rsidRPr="005F66A5">
        <w:rPr>
          <w:rFonts w:eastAsia="Times New Roman" w:cs="Times New Roman"/>
        </w:rPr>
        <w:t>Помощта е одобрена от Европейската комисия със срок на прилагане 2015-2020 г.</w:t>
      </w:r>
    </w:p>
    <w:p w:rsidR="00882474" w:rsidRPr="005F66A5" w:rsidRDefault="00882474" w:rsidP="00882474">
      <w:pPr>
        <w:rPr>
          <w:rFonts w:eastAsia="Times New Roman" w:cs="Times New Roman"/>
        </w:rPr>
      </w:pPr>
      <w:r w:rsidRPr="005F66A5">
        <w:rPr>
          <w:rFonts w:eastAsia="Times New Roman" w:cs="Times New Roman"/>
        </w:rPr>
        <w:t xml:space="preserve">Мярката представлява схема за подпомагане на земеделските стопани, регистрирани по реда на Закона за подпомагане на земеделските производители и цели създаване на облекчени условия за използваното от тях гориво за механизирани дейности в първичното селскостопанско производство – сектори Растениевъдство и Животновъдство, чрез прилагане на намалена акцизна ставка на газьола. </w:t>
      </w:r>
    </w:p>
    <w:p w:rsidR="00882474" w:rsidRPr="005F66A5" w:rsidRDefault="00882474" w:rsidP="00882474">
      <w:pPr>
        <w:rPr>
          <w:rFonts w:eastAsia="Times New Roman" w:cs="Times New Roman"/>
        </w:rPr>
      </w:pPr>
      <w:r w:rsidRPr="005F66A5">
        <w:rPr>
          <w:rFonts w:eastAsia="Times New Roman" w:cs="Times New Roman"/>
        </w:rPr>
        <w:t>Общият размер на помощта се утвърждава със закона за държавния бюджет на Република България за съответната година, като не може да надвишава 84,0 млн. лв. годишно и се разпределя между земеделските стопани на база определена индивидуална годишна квота за всеки стопанин.</w:t>
      </w:r>
    </w:p>
    <w:p w:rsidR="00882474" w:rsidRPr="005F66A5" w:rsidRDefault="00882474" w:rsidP="003403BF">
      <w:pPr>
        <w:numPr>
          <w:ilvl w:val="0"/>
          <w:numId w:val="15"/>
        </w:numPr>
        <w:ind w:left="284" w:hanging="284"/>
        <w:rPr>
          <w:rFonts w:eastAsia="Times New Roman" w:cs="Times New Roman"/>
          <w:b/>
        </w:rPr>
      </w:pPr>
      <w:r w:rsidRPr="005F66A5">
        <w:rPr>
          <w:rFonts w:eastAsia="Times New Roman" w:cs="Times New Roman"/>
          <w:b/>
        </w:rPr>
        <w:t>Данък върху добавената стойност по схемите и мерките на Селскостопански пазарни механизми</w:t>
      </w:r>
    </w:p>
    <w:p w:rsidR="00882474" w:rsidRPr="005F66A5" w:rsidRDefault="00882474" w:rsidP="00882474">
      <w:pPr>
        <w:rPr>
          <w:rFonts w:eastAsia="Times New Roman" w:cs="Times New Roman"/>
        </w:rPr>
      </w:pPr>
      <w:r w:rsidRPr="005F66A5">
        <w:rPr>
          <w:rFonts w:eastAsia="Times New Roman" w:cs="Times New Roman"/>
        </w:rPr>
        <w:t>Предвиждат се и средства за изплащане на данъка върху добавената стойност по следните схеми и мерки:</w:t>
      </w:r>
    </w:p>
    <w:p w:rsidR="00882474" w:rsidRPr="005F66A5" w:rsidRDefault="00882474" w:rsidP="00882474">
      <w:pPr>
        <w:ind w:firstLine="284"/>
        <w:rPr>
          <w:rFonts w:eastAsia="Times New Roman" w:cs="Times New Roman"/>
          <w:b/>
        </w:rPr>
      </w:pPr>
      <w:r w:rsidRPr="005F66A5">
        <w:rPr>
          <w:rFonts w:eastAsia="Times New Roman" w:cs="Times New Roman"/>
          <w:b/>
        </w:rPr>
        <w:t>- Схема „Училищен плод” и Схема „Училищно мляко“</w:t>
      </w:r>
    </w:p>
    <w:p w:rsidR="00882474" w:rsidRPr="005F66A5" w:rsidRDefault="00882474" w:rsidP="00882474">
      <w:pPr>
        <w:rPr>
          <w:rFonts w:eastAsia="Times New Roman" w:cs="Times New Roman"/>
        </w:rPr>
      </w:pPr>
      <w:r w:rsidRPr="005F66A5">
        <w:rPr>
          <w:rFonts w:eastAsia="Times New Roman" w:cs="Times New Roman"/>
        </w:rPr>
        <w:t>Помощите са предназначени за деца и ученици, посещаващи редовно учебните заведения, признати съгласно Закона за предучилищното и училищното образование. Учебните заведения са най-подходящата среда за въздействие върху хранителните навици на децата на етапа, в който те се формират.</w:t>
      </w:r>
    </w:p>
    <w:p w:rsidR="00882474" w:rsidRPr="005F66A5" w:rsidRDefault="00882474" w:rsidP="00882474">
      <w:pPr>
        <w:rPr>
          <w:rFonts w:eastAsia="Times New Roman" w:cs="Times New Roman"/>
        </w:rPr>
      </w:pPr>
      <w:r w:rsidRPr="005F66A5">
        <w:rPr>
          <w:rFonts w:eastAsia="Times New Roman" w:cs="Times New Roman"/>
        </w:rPr>
        <w:t>Бенефициенти по схемите могат да бъдат учебни заведения, общини и търговски дружества и кооперации. Одобрените заявители по схемата извършват доставка на пресни плодове и зеленчуци/мляко и млечни продукти в учебните заведения и детски градини на територията на цялата страна през учебната година.</w:t>
      </w:r>
    </w:p>
    <w:p w:rsidR="00882474" w:rsidRPr="005F66A5" w:rsidRDefault="00882474" w:rsidP="00882474">
      <w:pPr>
        <w:ind w:firstLine="284"/>
        <w:rPr>
          <w:rFonts w:eastAsia="Times New Roman" w:cs="Times New Roman"/>
          <w:b/>
        </w:rPr>
      </w:pPr>
      <w:r w:rsidRPr="005F66A5">
        <w:rPr>
          <w:rFonts w:eastAsia="Times New Roman" w:cs="Times New Roman"/>
          <w:b/>
        </w:rPr>
        <w:t>- Интервенционно изкупуване и съхранение на зърно</w:t>
      </w:r>
    </w:p>
    <w:p w:rsidR="00882474" w:rsidRPr="005F66A5" w:rsidRDefault="00882474" w:rsidP="00882474">
      <w:pPr>
        <w:rPr>
          <w:rFonts w:eastAsia="Times New Roman" w:cs="Times New Roman"/>
        </w:rPr>
      </w:pPr>
      <w:r w:rsidRPr="005F66A5">
        <w:rPr>
          <w:rFonts w:eastAsia="Times New Roman" w:cs="Times New Roman"/>
        </w:rPr>
        <w:t>Интервенцията на пазара на полски култури обхваща изкупуване, съхранение и продажби на зърно и ориз. Тя се влияе от движението на зърнения пазар и реколтата за съответната година. Ежегодно в периода 1 ноември – 31 май се отваря автоматично схемата за изкупуване на обикновена пшеница на фиксирана цена, а откриването на интервенция за останалите продукти става след решение на ЕК, ако ситуацията на пазара налага това. Настоящата ситуация на пазара не предполага изкупуването на интервенционни количества зърно и ориз. Последната кампания по интервенционно изкупуване на зърно е проведена през 2010/2011 г., а натрупаните интервенционни запаси в страната са изчистени през 2012 г. чрез предоставянето им за програма „Благотворителни операции”. Сумата по покупката се възстановява от ЕК при продажбата на зърно, която най-вероятно ще се реализира най-рано през следваща пазарна година.</w:t>
      </w:r>
    </w:p>
    <w:p w:rsidR="00882474" w:rsidRPr="005F66A5" w:rsidRDefault="00882474" w:rsidP="003403BF">
      <w:pPr>
        <w:numPr>
          <w:ilvl w:val="0"/>
          <w:numId w:val="15"/>
        </w:numPr>
        <w:ind w:left="284" w:hanging="284"/>
        <w:rPr>
          <w:rFonts w:eastAsia="Times New Roman" w:cs="Times New Roman"/>
          <w:b/>
        </w:rPr>
      </w:pPr>
      <w:r w:rsidRPr="005F66A5">
        <w:rPr>
          <w:rFonts w:eastAsia="Times New Roman" w:cs="Times New Roman"/>
          <w:b/>
        </w:rPr>
        <w:t>Схеми за извънредни помощи в сектора на млякото</w:t>
      </w:r>
    </w:p>
    <w:p w:rsidR="00882474" w:rsidRPr="005F66A5" w:rsidRDefault="00882474" w:rsidP="00882474">
      <w:pPr>
        <w:rPr>
          <w:rFonts w:eastAsia="Times New Roman" w:cs="Times New Roman"/>
        </w:rPr>
      </w:pPr>
      <w:r w:rsidRPr="005F66A5">
        <w:rPr>
          <w:rFonts w:eastAsia="Times New Roman" w:cs="Times New Roman"/>
        </w:rPr>
        <w:t>След 2015 г. Европейската комисия ежегодно приема мерки за регулиране на кризите в сектора на млякото и млечното животновъдство.</w:t>
      </w:r>
    </w:p>
    <w:p w:rsidR="00882474" w:rsidRPr="00882474" w:rsidRDefault="00882474" w:rsidP="00882474">
      <w:pPr>
        <w:rPr>
          <w:rFonts w:eastAsia="Times New Roman" w:cs="Times New Roman"/>
          <w:iCs/>
        </w:rPr>
      </w:pPr>
      <w:r w:rsidRPr="005F66A5">
        <w:rPr>
          <w:rFonts w:eastAsia="Times New Roman" w:cs="Times New Roman"/>
          <w:iCs/>
        </w:rPr>
        <w:t>По бюджета на ДФЗ за периода 2020-2022 г. са предвидени общо средства в размер на 300,4 млн. лв. годишно за изплащане на държавни помощи, преходна национална помощ за тютюн, преходна национална помощ за животни, схеми за извънредна помощ на земеделски стопани по селскостопански пазарни механизми, средства за ДДС пазарни мерки и национални доплащания за предходни кампании.</w:t>
      </w:r>
    </w:p>
    <w:p w:rsidR="006E5E17" w:rsidRPr="00091E42" w:rsidRDefault="006E5E17" w:rsidP="006E5E17">
      <w:pPr>
        <w:spacing w:before="120" w:after="0"/>
        <w:rPr>
          <w:rFonts w:eastAsia="Times New Roman" w:cs="Times New Roman"/>
          <w:iCs/>
        </w:rPr>
      </w:pPr>
    </w:p>
    <w:p w:rsidR="006E5E17" w:rsidRPr="00091E42" w:rsidRDefault="006E5E17" w:rsidP="006E5E17">
      <w:pPr>
        <w:keepNext/>
        <w:keepLines/>
        <w:numPr>
          <w:ilvl w:val="3"/>
          <w:numId w:val="0"/>
        </w:numPr>
        <w:spacing w:before="120" w:after="0"/>
        <w:ind w:left="864" w:hanging="864"/>
        <w:outlineLvl w:val="3"/>
        <w:rPr>
          <w:rFonts w:eastAsia="Times New Roman" w:cs="Times New Roman"/>
          <w:b/>
          <w:bCs/>
          <w:iCs/>
          <w:color w:val="852010"/>
        </w:rPr>
      </w:pPr>
      <w:r>
        <w:rPr>
          <w:rFonts w:eastAsia="Times New Roman" w:cs="Times New Roman"/>
          <w:b/>
          <w:bCs/>
          <w:iCs/>
          <w:color w:val="852010"/>
        </w:rPr>
        <w:t xml:space="preserve">2.17.2. </w:t>
      </w:r>
      <w:r w:rsidRPr="00091E42">
        <w:rPr>
          <w:rFonts w:eastAsia="Times New Roman" w:cs="Times New Roman"/>
          <w:b/>
          <w:bCs/>
          <w:iCs/>
          <w:color w:val="852010"/>
        </w:rPr>
        <w:t>Политика в областта на рибарството и аквакултурите</w:t>
      </w:r>
    </w:p>
    <w:p w:rsidR="00882474" w:rsidRDefault="00882474" w:rsidP="006E5E17">
      <w:pPr>
        <w:spacing w:before="120" w:after="0"/>
        <w:rPr>
          <w:rFonts w:eastAsia="Times New Roman" w:cs="Times New Roman"/>
        </w:rPr>
      </w:pPr>
    </w:p>
    <w:p w:rsidR="00882474" w:rsidRPr="005F66A5" w:rsidRDefault="00882474" w:rsidP="00882474">
      <w:pPr>
        <w:rPr>
          <w:rFonts w:eastAsia="Times New Roman" w:cs="Times New Roman"/>
        </w:rPr>
      </w:pPr>
      <w:r w:rsidRPr="005F66A5">
        <w:rPr>
          <w:rFonts w:eastAsia="Times New Roman" w:cs="Times New Roman"/>
        </w:rPr>
        <w:t>Политиката в сектор „Рибарство” (сектор „Рибарство” включва дейностите, свързани с риболов с цел търговия, любителски риболов, аквакултури и рибопреработвателната промишленост) следва да допринася за:</w:t>
      </w:r>
    </w:p>
    <w:p w:rsidR="00882474" w:rsidRPr="005F66A5" w:rsidRDefault="00882474" w:rsidP="003403BF">
      <w:pPr>
        <w:numPr>
          <w:ilvl w:val="0"/>
          <w:numId w:val="59"/>
        </w:numPr>
        <w:spacing w:after="120"/>
        <w:ind w:left="426" w:hanging="284"/>
        <w:rPr>
          <w:rFonts w:eastAsia="Times New Roman" w:cs="Times New Roman"/>
        </w:rPr>
      </w:pPr>
      <w:r w:rsidRPr="005F66A5">
        <w:rPr>
          <w:rFonts w:eastAsia="Times New Roman" w:cs="Times New Roman"/>
        </w:rPr>
        <w:t>поддържане и възстановяване на биооразнообразието във водните екосистеми чрез прилагане на екосистемен подход към управлението на рибарството и аквакултурите;</w:t>
      </w:r>
    </w:p>
    <w:p w:rsidR="00882474" w:rsidRPr="005F66A5" w:rsidRDefault="00882474" w:rsidP="003403BF">
      <w:pPr>
        <w:numPr>
          <w:ilvl w:val="0"/>
          <w:numId w:val="59"/>
        </w:numPr>
        <w:spacing w:after="120"/>
        <w:ind w:left="426" w:hanging="284"/>
        <w:rPr>
          <w:rFonts w:eastAsia="Times New Roman" w:cs="Times New Roman"/>
        </w:rPr>
      </w:pPr>
      <w:r w:rsidRPr="005F66A5">
        <w:rPr>
          <w:rFonts w:eastAsia="Times New Roman" w:cs="Times New Roman"/>
        </w:rPr>
        <w:t>осигуряване на условия за устойчива експлоатация на морските биологични ресурси, основаваща се на подхода на предпазливост;</w:t>
      </w:r>
    </w:p>
    <w:p w:rsidR="00882474" w:rsidRPr="005F66A5" w:rsidRDefault="00882474" w:rsidP="003403BF">
      <w:pPr>
        <w:numPr>
          <w:ilvl w:val="0"/>
          <w:numId w:val="59"/>
        </w:numPr>
        <w:spacing w:after="120"/>
        <w:ind w:left="426" w:hanging="284"/>
        <w:rPr>
          <w:rFonts w:eastAsia="Times New Roman" w:cs="Times New Roman"/>
        </w:rPr>
      </w:pPr>
      <w:r w:rsidRPr="005F66A5">
        <w:rPr>
          <w:rFonts w:eastAsia="Times New Roman" w:cs="Times New Roman"/>
        </w:rPr>
        <w:t>създаване на достъпна храна за населението, популяризираща здравословен модел на хранене;</w:t>
      </w:r>
    </w:p>
    <w:p w:rsidR="00882474" w:rsidRPr="005F66A5" w:rsidRDefault="00882474" w:rsidP="003403BF">
      <w:pPr>
        <w:numPr>
          <w:ilvl w:val="0"/>
          <w:numId w:val="59"/>
        </w:numPr>
        <w:spacing w:after="120"/>
        <w:ind w:left="426" w:hanging="284"/>
        <w:rPr>
          <w:rFonts w:eastAsia="Times New Roman" w:cs="Times New Roman"/>
        </w:rPr>
      </w:pPr>
      <w:r w:rsidRPr="005F66A5">
        <w:rPr>
          <w:rFonts w:eastAsia="Times New Roman" w:cs="Times New Roman"/>
        </w:rPr>
        <w:t>прилагане на европейските стандарти по отношение на производство, преработка и маркетинг на риба от стопански риболов и аквакултури;</w:t>
      </w:r>
    </w:p>
    <w:p w:rsidR="00882474" w:rsidRPr="005F66A5" w:rsidRDefault="00882474" w:rsidP="003403BF">
      <w:pPr>
        <w:numPr>
          <w:ilvl w:val="0"/>
          <w:numId w:val="59"/>
        </w:numPr>
        <w:spacing w:after="120"/>
        <w:ind w:left="426" w:hanging="284"/>
        <w:rPr>
          <w:rFonts w:eastAsia="Times New Roman" w:cs="Times New Roman"/>
        </w:rPr>
      </w:pPr>
      <w:r w:rsidRPr="005F66A5">
        <w:rPr>
          <w:rFonts w:eastAsia="Times New Roman" w:cs="Times New Roman"/>
        </w:rPr>
        <w:t>превръщане на сектор „Рибарство” в модерен и конкурентоспособен сектор, с помощта на прилагането на иновационни дейности, подпомогнати от научни разработки;</w:t>
      </w:r>
    </w:p>
    <w:p w:rsidR="00882474" w:rsidRPr="005F66A5" w:rsidRDefault="00882474" w:rsidP="003403BF">
      <w:pPr>
        <w:numPr>
          <w:ilvl w:val="0"/>
          <w:numId w:val="59"/>
        </w:numPr>
        <w:spacing w:after="120"/>
        <w:ind w:left="426" w:hanging="284"/>
        <w:rPr>
          <w:rFonts w:eastAsia="Times New Roman" w:cs="Times New Roman"/>
        </w:rPr>
      </w:pPr>
      <w:r w:rsidRPr="005F66A5">
        <w:rPr>
          <w:rFonts w:eastAsia="Times New Roman" w:cs="Times New Roman"/>
        </w:rPr>
        <w:t>превръщане на сектор „Рибарство” в гъвкав саморегулиращ се икономически сектор в резултат на изградено партньорство и съвместни дейности между частните предприятия, организации и съответните национални институции и европейски структури;</w:t>
      </w:r>
    </w:p>
    <w:p w:rsidR="00882474" w:rsidRPr="005F66A5" w:rsidRDefault="00882474" w:rsidP="003403BF">
      <w:pPr>
        <w:numPr>
          <w:ilvl w:val="0"/>
          <w:numId w:val="59"/>
        </w:numPr>
        <w:spacing w:after="120"/>
        <w:ind w:left="426" w:hanging="284"/>
        <w:rPr>
          <w:rFonts w:eastAsia="Times New Roman" w:cs="Times New Roman"/>
        </w:rPr>
      </w:pPr>
      <w:r w:rsidRPr="005F66A5">
        <w:rPr>
          <w:rFonts w:eastAsia="Times New Roman" w:cs="Times New Roman"/>
        </w:rPr>
        <w:t>превръщане на сектор „Рибарство” в икономически стабилен сектор, посредством повишаване на асортимента, качеството и количеството на произведената продукция от риба, носеща значителни приходи на лицата, ангажирани с риболова и аквакултурите;</w:t>
      </w:r>
    </w:p>
    <w:p w:rsidR="00882474" w:rsidRPr="005F66A5" w:rsidRDefault="00882474" w:rsidP="003403BF">
      <w:pPr>
        <w:numPr>
          <w:ilvl w:val="0"/>
          <w:numId w:val="59"/>
        </w:numPr>
        <w:spacing w:after="120"/>
        <w:ind w:left="426" w:hanging="284"/>
        <w:rPr>
          <w:rFonts w:eastAsia="Times New Roman" w:cs="Times New Roman"/>
        </w:rPr>
      </w:pPr>
      <w:r w:rsidRPr="005F66A5">
        <w:rPr>
          <w:rFonts w:eastAsia="Times New Roman" w:cs="Times New Roman"/>
        </w:rPr>
        <w:t>по-добро интегриране с другите сектори на икономиката (туризъм, услуги и др.).</w:t>
      </w:r>
    </w:p>
    <w:p w:rsidR="00882474" w:rsidRDefault="00882474" w:rsidP="006E5E17">
      <w:pPr>
        <w:rPr>
          <w:rFonts w:eastAsia="Times New Roman" w:cs="Times New Roman"/>
        </w:rPr>
      </w:pPr>
    </w:p>
    <w:p w:rsidR="006E5E17" w:rsidRDefault="006E5E17" w:rsidP="006E5E17">
      <w:pPr>
        <w:rPr>
          <w:b/>
          <w:sz w:val="20"/>
          <w:szCs w:val="20"/>
        </w:rPr>
      </w:pPr>
      <w:r w:rsidRPr="00E41D8F">
        <w:rPr>
          <w:b/>
          <w:sz w:val="20"/>
          <w:szCs w:val="20"/>
        </w:rPr>
        <w:t>КЛЮЧОВИ ИНДИКАТОРИ ЗА ИЗПЪЛНЕНИЕ И ЦЕЛЕВИ СТОЙНОСТИ</w:t>
      </w:r>
    </w:p>
    <w:tbl>
      <w:tblPr>
        <w:tblW w:w="4898" w:type="pct"/>
        <w:tblInd w:w="70" w:type="dxa"/>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3274"/>
        <w:gridCol w:w="941"/>
        <w:gridCol w:w="1164"/>
        <w:gridCol w:w="1304"/>
        <w:gridCol w:w="1325"/>
        <w:gridCol w:w="877"/>
      </w:tblGrid>
      <w:tr w:rsidR="00882474" w:rsidRPr="005F66A5" w:rsidTr="008C1CE3">
        <w:trPr>
          <w:trHeight w:val="255"/>
          <w:tblHeader/>
        </w:trPr>
        <w:tc>
          <w:tcPr>
            <w:tcW w:w="1844" w:type="pct"/>
            <w:tcBorders>
              <w:bottom w:val="nil"/>
            </w:tcBorders>
            <w:shd w:val="clear" w:color="auto" w:fill="auto"/>
            <w:vAlign w:val="center"/>
          </w:tcPr>
          <w:p w:rsidR="00882474" w:rsidRPr="005F66A5" w:rsidRDefault="00882474" w:rsidP="00B178B0">
            <w:pPr>
              <w:spacing w:after="0"/>
              <w:jc w:val="center"/>
              <w:rPr>
                <w:rFonts w:cs="Times New Roman"/>
                <w:i/>
                <w:iCs/>
                <w:sz w:val="18"/>
                <w:szCs w:val="18"/>
              </w:rPr>
            </w:pPr>
            <w:r w:rsidRPr="005F66A5">
              <w:rPr>
                <w:rFonts w:cs="Times New Roman"/>
                <w:b/>
                <w:i/>
                <w:iCs/>
                <w:sz w:val="18"/>
                <w:szCs w:val="18"/>
              </w:rPr>
              <w:t>Политика в областта на рибарството и аквакултурите</w:t>
            </w:r>
          </w:p>
        </w:tc>
        <w:tc>
          <w:tcPr>
            <w:tcW w:w="531" w:type="pct"/>
            <w:vMerge w:val="restart"/>
            <w:tcBorders>
              <w:bottom w:val="nil"/>
            </w:tcBorders>
            <w:shd w:val="clear" w:color="auto" w:fill="F2F2F2" w:themeFill="background1" w:themeFillShade="F2"/>
            <w:vAlign w:val="center"/>
          </w:tcPr>
          <w:p w:rsidR="00882474" w:rsidRPr="005F66A5" w:rsidRDefault="00882474" w:rsidP="00B178B0">
            <w:pPr>
              <w:jc w:val="center"/>
              <w:rPr>
                <w:rFonts w:cs="Times New Roman"/>
                <w:sz w:val="18"/>
                <w:szCs w:val="18"/>
              </w:rPr>
            </w:pPr>
            <w:r w:rsidRPr="005F66A5">
              <w:rPr>
                <w:rFonts w:cs="Times New Roman"/>
                <w:b/>
                <w:bCs/>
                <w:sz w:val="18"/>
                <w:szCs w:val="18"/>
              </w:rPr>
              <w:t>Мерна единица</w:t>
            </w:r>
          </w:p>
        </w:tc>
        <w:tc>
          <w:tcPr>
            <w:tcW w:w="2625" w:type="pct"/>
            <w:gridSpan w:val="4"/>
            <w:tcBorders>
              <w:bottom w:val="single" w:sz="4" w:space="0" w:color="auto"/>
            </w:tcBorders>
            <w:shd w:val="clear" w:color="auto" w:fill="auto"/>
            <w:vAlign w:val="center"/>
          </w:tcPr>
          <w:p w:rsidR="00882474" w:rsidRPr="005F66A5" w:rsidRDefault="00882474" w:rsidP="00B178B0">
            <w:pPr>
              <w:spacing w:after="0"/>
              <w:ind w:left="162" w:hanging="162"/>
              <w:jc w:val="center"/>
              <w:rPr>
                <w:rFonts w:cs="Times New Roman"/>
                <w:b/>
                <w:bCs/>
                <w:sz w:val="18"/>
                <w:szCs w:val="18"/>
              </w:rPr>
            </w:pPr>
            <w:r w:rsidRPr="005F66A5">
              <w:rPr>
                <w:rFonts w:cs="Times New Roman"/>
                <w:b/>
                <w:bCs/>
                <w:sz w:val="18"/>
                <w:szCs w:val="18"/>
              </w:rPr>
              <w:t>Целева стойност</w:t>
            </w:r>
          </w:p>
        </w:tc>
      </w:tr>
      <w:tr w:rsidR="00882474" w:rsidRPr="005F66A5" w:rsidTr="008C1CE3">
        <w:trPr>
          <w:trHeight w:val="450"/>
          <w:tblHeader/>
        </w:trPr>
        <w:tc>
          <w:tcPr>
            <w:tcW w:w="1844" w:type="pct"/>
            <w:tcBorders>
              <w:top w:val="nil"/>
              <w:bottom w:val="single" w:sz="4" w:space="0" w:color="auto"/>
            </w:tcBorders>
            <w:shd w:val="clear" w:color="auto" w:fill="auto"/>
            <w:vAlign w:val="center"/>
          </w:tcPr>
          <w:p w:rsidR="00882474" w:rsidRPr="005F66A5" w:rsidRDefault="00882474" w:rsidP="00B178B0">
            <w:pPr>
              <w:spacing w:after="0"/>
              <w:jc w:val="center"/>
              <w:rPr>
                <w:rFonts w:cs="Times New Roman"/>
                <w:b/>
                <w:bCs/>
                <w:sz w:val="18"/>
                <w:szCs w:val="18"/>
              </w:rPr>
            </w:pPr>
            <w:r w:rsidRPr="005F66A5">
              <w:rPr>
                <w:rFonts w:cs="Times New Roman"/>
                <w:b/>
                <w:bCs/>
                <w:sz w:val="18"/>
                <w:szCs w:val="18"/>
              </w:rPr>
              <w:t>Наименование на индикатора</w:t>
            </w:r>
          </w:p>
        </w:tc>
        <w:tc>
          <w:tcPr>
            <w:tcW w:w="531" w:type="pct"/>
            <w:vMerge/>
            <w:tcBorders>
              <w:top w:val="nil"/>
              <w:bottom w:val="single" w:sz="4" w:space="0" w:color="auto"/>
            </w:tcBorders>
            <w:shd w:val="clear" w:color="auto" w:fill="F2F2F2" w:themeFill="background1" w:themeFillShade="F2"/>
            <w:vAlign w:val="center"/>
          </w:tcPr>
          <w:p w:rsidR="00882474" w:rsidRPr="005F66A5" w:rsidRDefault="00882474" w:rsidP="00B178B0">
            <w:pPr>
              <w:jc w:val="center"/>
              <w:rPr>
                <w:rFonts w:cs="Times New Roman"/>
                <w:b/>
                <w:bCs/>
                <w:sz w:val="18"/>
                <w:szCs w:val="18"/>
              </w:rPr>
            </w:pPr>
          </w:p>
        </w:tc>
        <w:tc>
          <w:tcPr>
            <w:tcW w:w="657" w:type="pct"/>
            <w:tcBorders>
              <w:top w:val="single" w:sz="4" w:space="0" w:color="auto"/>
              <w:bottom w:val="single" w:sz="4" w:space="0" w:color="auto"/>
            </w:tcBorders>
            <w:shd w:val="clear" w:color="auto" w:fill="auto"/>
            <w:vAlign w:val="center"/>
          </w:tcPr>
          <w:p w:rsidR="00882474" w:rsidRPr="005F66A5" w:rsidRDefault="00882474" w:rsidP="00B178B0">
            <w:pPr>
              <w:spacing w:after="0"/>
              <w:jc w:val="center"/>
              <w:rPr>
                <w:rFonts w:cs="Times New Roman"/>
                <w:b/>
                <w:bCs/>
                <w:i/>
                <w:iCs/>
                <w:sz w:val="18"/>
                <w:szCs w:val="18"/>
              </w:rPr>
            </w:pPr>
            <w:r w:rsidRPr="005F66A5">
              <w:rPr>
                <w:rFonts w:cs="Times New Roman"/>
                <w:b/>
                <w:bCs/>
                <w:i/>
                <w:iCs/>
                <w:sz w:val="18"/>
                <w:szCs w:val="18"/>
              </w:rPr>
              <w:t>Програма 201</w:t>
            </w:r>
            <w:r w:rsidRPr="005F66A5">
              <w:rPr>
                <w:rFonts w:cs="Times New Roman"/>
                <w:b/>
                <w:bCs/>
                <w:i/>
                <w:iCs/>
                <w:sz w:val="18"/>
                <w:szCs w:val="18"/>
                <w:lang w:val="en-US"/>
              </w:rPr>
              <w:t>9</w:t>
            </w:r>
            <w:r w:rsidRPr="005F66A5">
              <w:rPr>
                <w:rFonts w:cs="Times New Roman"/>
                <w:b/>
                <w:bCs/>
                <w:i/>
                <w:iCs/>
                <w:sz w:val="18"/>
                <w:szCs w:val="18"/>
              </w:rPr>
              <w:t xml:space="preserve"> г.</w:t>
            </w:r>
          </w:p>
        </w:tc>
        <w:tc>
          <w:tcPr>
            <w:tcW w:w="735" w:type="pct"/>
            <w:tcBorders>
              <w:top w:val="single" w:sz="4" w:space="0" w:color="auto"/>
              <w:bottom w:val="single" w:sz="4" w:space="0" w:color="auto"/>
            </w:tcBorders>
            <w:shd w:val="clear" w:color="auto" w:fill="auto"/>
            <w:vAlign w:val="center"/>
          </w:tcPr>
          <w:p w:rsidR="00882474" w:rsidRPr="005F66A5" w:rsidRDefault="00882474" w:rsidP="00B178B0">
            <w:pPr>
              <w:spacing w:after="0"/>
              <w:jc w:val="center"/>
              <w:rPr>
                <w:rFonts w:cs="Times New Roman"/>
                <w:b/>
                <w:bCs/>
                <w:i/>
                <w:iCs/>
                <w:sz w:val="18"/>
                <w:szCs w:val="18"/>
                <w:lang w:val="en-US"/>
              </w:rPr>
            </w:pPr>
            <w:r w:rsidRPr="005F66A5">
              <w:rPr>
                <w:rFonts w:cs="Times New Roman"/>
                <w:b/>
                <w:bCs/>
                <w:i/>
                <w:iCs/>
                <w:sz w:val="18"/>
                <w:szCs w:val="18"/>
              </w:rPr>
              <w:t>Проект</w:t>
            </w:r>
          </w:p>
          <w:p w:rsidR="00882474" w:rsidRPr="005F66A5" w:rsidRDefault="00882474" w:rsidP="00B178B0">
            <w:pPr>
              <w:spacing w:after="0"/>
              <w:jc w:val="center"/>
              <w:rPr>
                <w:rFonts w:cs="Times New Roman"/>
                <w:b/>
                <w:bCs/>
                <w:i/>
                <w:iCs/>
                <w:sz w:val="18"/>
                <w:szCs w:val="18"/>
              </w:rPr>
            </w:pPr>
            <w:r w:rsidRPr="005F66A5">
              <w:rPr>
                <w:rFonts w:cs="Times New Roman"/>
                <w:b/>
                <w:bCs/>
                <w:i/>
                <w:iCs/>
                <w:sz w:val="18"/>
                <w:szCs w:val="18"/>
              </w:rPr>
              <w:t>20</w:t>
            </w:r>
            <w:r w:rsidRPr="005F66A5">
              <w:rPr>
                <w:rFonts w:cs="Times New Roman"/>
                <w:b/>
                <w:bCs/>
                <w:i/>
                <w:iCs/>
                <w:sz w:val="18"/>
                <w:szCs w:val="18"/>
                <w:lang w:val="en-US"/>
              </w:rPr>
              <w:t>20</w:t>
            </w:r>
            <w:r w:rsidRPr="005F66A5">
              <w:rPr>
                <w:rFonts w:cs="Times New Roman"/>
                <w:b/>
                <w:bCs/>
                <w:i/>
                <w:iCs/>
                <w:sz w:val="18"/>
                <w:szCs w:val="18"/>
              </w:rPr>
              <w:t xml:space="preserve"> г.</w:t>
            </w:r>
          </w:p>
        </w:tc>
        <w:tc>
          <w:tcPr>
            <w:tcW w:w="747" w:type="pct"/>
            <w:tcBorders>
              <w:top w:val="single" w:sz="4" w:space="0" w:color="auto"/>
              <w:bottom w:val="single" w:sz="4" w:space="0" w:color="auto"/>
            </w:tcBorders>
            <w:shd w:val="clear" w:color="auto" w:fill="auto"/>
            <w:vAlign w:val="center"/>
          </w:tcPr>
          <w:p w:rsidR="00882474" w:rsidRPr="005F66A5" w:rsidRDefault="00882474" w:rsidP="00B178B0">
            <w:pPr>
              <w:spacing w:after="0"/>
              <w:ind w:left="-55" w:firstLine="55"/>
              <w:jc w:val="center"/>
              <w:rPr>
                <w:rFonts w:cs="Times New Roman"/>
                <w:b/>
                <w:bCs/>
                <w:i/>
                <w:iCs/>
                <w:sz w:val="18"/>
                <w:szCs w:val="18"/>
                <w:lang w:val="en-US"/>
              </w:rPr>
            </w:pPr>
            <w:r w:rsidRPr="005F66A5">
              <w:rPr>
                <w:rFonts w:cs="Times New Roman"/>
                <w:b/>
                <w:bCs/>
                <w:i/>
                <w:iCs/>
                <w:sz w:val="18"/>
                <w:szCs w:val="18"/>
              </w:rPr>
              <w:t>Прогноза</w:t>
            </w:r>
          </w:p>
          <w:p w:rsidR="00882474" w:rsidRPr="005F66A5" w:rsidRDefault="00882474" w:rsidP="00B178B0">
            <w:pPr>
              <w:spacing w:after="0"/>
              <w:ind w:left="-55" w:firstLine="55"/>
              <w:jc w:val="center"/>
              <w:rPr>
                <w:rFonts w:cs="Times New Roman"/>
                <w:b/>
                <w:bCs/>
                <w:i/>
                <w:iCs/>
                <w:sz w:val="18"/>
                <w:szCs w:val="18"/>
              </w:rPr>
            </w:pPr>
            <w:r w:rsidRPr="005F66A5">
              <w:rPr>
                <w:rFonts w:cs="Times New Roman"/>
                <w:b/>
                <w:bCs/>
                <w:i/>
                <w:iCs/>
                <w:sz w:val="18"/>
                <w:szCs w:val="18"/>
              </w:rPr>
              <w:t>20</w:t>
            </w:r>
            <w:r w:rsidRPr="005F66A5">
              <w:rPr>
                <w:rFonts w:cs="Times New Roman"/>
                <w:b/>
                <w:bCs/>
                <w:i/>
                <w:iCs/>
                <w:sz w:val="18"/>
                <w:szCs w:val="18"/>
                <w:lang w:val="en-US"/>
              </w:rPr>
              <w:t>21</w:t>
            </w:r>
            <w:r w:rsidRPr="005F66A5">
              <w:rPr>
                <w:rFonts w:cs="Times New Roman"/>
                <w:b/>
                <w:bCs/>
                <w:i/>
                <w:iCs/>
                <w:sz w:val="18"/>
                <w:szCs w:val="18"/>
              </w:rPr>
              <w:t xml:space="preserve"> г.</w:t>
            </w:r>
          </w:p>
        </w:tc>
        <w:tc>
          <w:tcPr>
            <w:tcW w:w="486" w:type="pct"/>
            <w:tcBorders>
              <w:top w:val="single" w:sz="4" w:space="0" w:color="auto"/>
              <w:bottom w:val="single" w:sz="4" w:space="0" w:color="auto"/>
            </w:tcBorders>
            <w:shd w:val="clear" w:color="auto" w:fill="auto"/>
            <w:vAlign w:val="center"/>
          </w:tcPr>
          <w:p w:rsidR="00882474" w:rsidRPr="005F66A5" w:rsidRDefault="00882474" w:rsidP="00B178B0">
            <w:pPr>
              <w:spacing w:after="0"/>
              <w:jc w:val="center"/>
              <w:rPr>
                <w:rFonts w:cs="Times New Roman"/>
                <w:b/>
                <w:bCs/>
                <w:i/>
                <w:iCs/>
                <w:sz w:val="18"/>
                <w:szCs w:val="18"/>
                <w:lang w:val="en-US"/>
              </w:rPr>
            </w:pPr>
            <w:r w:rsidRPr="005F66A5">
              <w:rPr>
                <w:rFonts w:cs="Times New Roman"/>
                <w:b/>
                <w:bCs/>
                <w:i/>
                <w:iCs/>
                <w:sz w:val="18"/>
                <w:szCs w:val="18"/>
              </w:rPr>
              <w:t>Прогноза</w:t>
            </w:r>
          </w:p>
          <w:p w:rsidR="00882474" w:rsidRPr="005F66A5" w:rsidRDefault="00882474" w:rsidP="00B178B0">
            <w:pPr>
              <w:spacing w:after="0"/>
              <w:jc w:val="center"/>
              <w:rPr>
                <w:rFonts w:cs="Times New Roman"/>
                <w:b/>
                <w:bCs/>
                <w:i/>
                <w:iCs/>
                <w:sz w:val="18"/>
                <w:szCs w:val="18"/>
              </w:rPr>
            </w:pPr>
            <w:r w:rsidRPr="005F66A5">
              <w:rPr>
                <w:rFonts w:cs="Times New Roman"/>
                <w:b/>
                <w:bCs/>
                <w:i/>
                <w:iCs/>
                <w:sz w:val="18"/>
                <w:szCs w:val="18"/>
              </w:rPr>
              <w:t>202</w:t>
            </w:r>
            <w:r w:rsidRPr="005F66A5">
              <w:rPr>
                <w:rFonts w:cs="Times New Roman"/>
                <w:b/>
                <w:bCs/>
                <w:i/>
                <w:iCs/>
                <w:sz w:val="18"/>
                <w:szCs w:val="18"/>
                <w:lang w:val="en-US"/>
              </w:rPr>
              <w:t>2</w:t>
            </w:r>
            <w:r w:rsidRPr="005F66A5">
              <w:rPr>
                <w:rFonts w:cs="Times New Roman"/>
                <w:b/>
                <w:bCs/>
                <w:i/>
                <w:iCs/>
                <w:sz w:val="18"/>
                <w:szCs w:val="18"/>
              </w:rPr>
              <w:t xml:space="preserve"> г.</w:t>
            </w:r>
          </w:p>
        </w:tc>
      </w:tr>
      <w:tr w:rsidR="00882474" w:rsidRPr="005F66A5" w:rsidTr="00B41461">
        <w:trPr>
          <w:trHeight w:val="445"/>
        </w:trPr>
        <w:tc>
          <w:tcPr>
            <w:tcW w:w="1844" w:type="pct"/>
            <w:tcBorders>
              <w:top w:val="single" w:sz="4" w:space="0" w:color="auto"/>
              <w:bottom w:val="single" w:sz="4" w:space="0" w:color="auto"/>
            </w:tcBorders>
            <w:shd w:val="clear" w:color="auto" w:fill="auto"/>
            <w:vAlign w:val="center"/>
          </w:tcPr>
          <w:p w:rsidR="00882474" w:rsidRPr="005F66A5" w:rsidRDefault="00882474" w:rsidP="00B178B0">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 Годишна консумация на риба</w:t>
            </w:r>
          </w:p>
        </w:tc>
        <w:tc>
          <w:tcPr>
            <w:tcW w:w="531" w:type="pct"/>
            <w:tcBorders>
              <w:top w:val="single" w:sz="4" w:space="0" w:color="auto"/>
              <w:bottom w:val="single" w:sz="4" w:space="0" w:color="auto"/>
            </w:tcBorders>
            <w:shd w:val="clear" w:color="auto" w:fill="F2F2F2" w:themeFill="background1" w:themeFillShade="F2"/>
            <w:vAlign w:val="center"/>
          </w:tcPr>
          <w:p w:rsidR="00882474" w:rsidRPr="005F66A5" w:rsidRDefault="00882474" w:rsidP="00B178B0">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кг/човек</w:t>
            </w:r>
          </w:p>
        </w:tc>
        <w:tc>
          <w:tcPr>
            <w:tcW w:w="657" w:type="pct"/>
            <w:tcBorders>
              <w:top w:val="single" w:sz="4" w:space="0" w:color="auto"/>
              <w:bottom w:val="single" w:sz="4" w:space="0" w:color="auto"/>
            </w:tcBorders>
            <w:shd w:val="clear" w:color="auto" w:fill="auto"/>
            <w:vAlign w:val="center"/>
          </w:tcPr>
          <w:p w:rsidR="00882474" w:rsidRPr="005F66A5" w:rsidRDefault="00882474"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w:t>
            </w:r>
            <w:r>
              <w:rPr>
                <w:rFonts w:asciiTheme="majorHAnsi" w:eastAsia="Times New Roman" w:hAnsiTheme="majorHAnsi" w:cstheme="majorHAnsi"/>
                <w:sz w:val="18"/>
                <w:szCs w:val="18"/>
              </w:rPr>
              <w:t>,0</w:t>
            </w:r>
          </w:p>
        </w:tc>
        <w:tc>
          <w:tcPr>
            <w:tcW w:w="735" w:type="pct"/>
            <w:tcBorders>
              <w:top w:val="single" w:sz="4" w:space="0" w:color="auto"/>
              <w:bottom w:val="single" w:sz="4" w:space="0" w:color="auto"/>
            </w:tcBorders>
            <w:shd w:val="clear" w:color="auto" w:fill="auto"/>
            <w:vAlign w:val="center"/>
          </w:tcPr>
          <w:p w:rsidR="00882474" w:rsidRPr="005F66A5" w:rsidRDefault="00882474"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w:t>
            </w:r>
            <w:r>
              <w:rPr>
                <w:rFonts w:asciiTheme="majorHAnsi" w:eastAsia="Times New Roman" w:hAnsiTheme="majorHAnsi" w:cstheme="majorHAnsi"/>
                <w:sz w:val="18"/>
                <w:szCs w:val="18"/>
              </w:rPr>
              <w:t>,0</w:t>
            </w:r>
          </w:p>
        </w:tc>
        <w:tc>
          <w:tcPr>
            <w:tcW w:w="747" w:type="pct"/>
            <w:tcBorders>
              <w:top w:val="single" w:sz="4" w:space="0" w:color="auto"/>
              <w:bottom w:val="single" w:sz="4" w:space="0" w:color="auto"/>
            </w:tcBorders>
            <w:shd w:val="clear" w:color="auto" w:fill="auto"/>
            <w:vAlign w:val="center"/>
          </w:tcPr>
          <w:p w:rsidR="00882474" w:rsidRPr="005F66A5" w:rsidRDefault="00882474"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5,1</w:t>
            </w:r>
          </w:p>
        </w:tc>
        <w:tc>
          <w:tcPr>
            <w:tcW w:w="486" w:type="pct"/>
            <w:tcBorders>
              <w:top w:val="single" w:sz="4" w:space="0" w:color="auto"/>
              <w:bottom w:val="single" w:sz="4" w:space="0" w:color="auto"/>
            </w:tcBorders>
            <w:shd w:val="clear" w:color="auto" w:fill="auto"/>
            <w:vAlign w:val="center"/>
          </w:tcPr>
          <w:p w:rsidR="00882474" w:rsidRPr="005F66A5" w:rsidRDefault="00882474"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5,1</w:t>
            </w:r>
          </w:p>
        </w:tc>
      </w:tr>
    </w:tbl>
    <w:p w:rsidR="006E5E17" w:rsidRDefault="006E5E17" w:rsidP="006E5E17">
      <w:pPr>
        <w:rPr>
          <w:b/>
          <w:sz w:val="20"/>
          <w:szCs w:val="20"/>
        </w:rPr>
      </w:pPr>
    </w:p>
    <w:p w:rsidR="00C30B73" w:rsidRPr="005F66A5" w:rsidRDefault="00C30B73" w:rsidP="00C30B73">
      <w:pPr>
        <w:spacing w:before="240"/>
        <w:rPr>
          <w:rFonts w:eastAsia="Times New Roman" w:cs="Times New Roman"/>
        </w:rPr>
      </w:pPr>
      <w:r w:rsidRPr="005F66A5">
        <w:rPr>
          <w:rFonts w:eastAsia="Times New Roman" w:cs="Times New Roman"/>
          <w:b/>
        </w:rPr>
        <w:t>Държавен фонд „Земеделие”</w:t>
      </w:r>
      <w:r w:rsidRPr="005F66A5">
        <w:rPr>
          <w:rFonts w:eastAsia="Times New Roman" w:cs="Times New Roman"/>
        </w:rPr>
        <w:t xml:space="preserve"> участва и в прилагането на политиката на МЗХГ в областта на рибарството и аквакултурите. </w:t>
      </w:r>
    </w:p>
    <w:p w:rsidR="00C30B73" w:rsidRPr="005F66A5" w:rsidRDefault="00C30B73" w:rsidP="00C30B73">
      <w:pPr>
        <w:rPr>
          <w:rFonts w:eastAsia="Times New Roman" w:cs="Times New Roman"/>
        </w:rPr>
      </w:pPr>
      <w:r w:rsidRPr="005F66A5">
        <w:rPr>
          <w:rFonts w:eastAsia="Times New Roman" w:cs="Times New Roman"/>
        </w:rPr>
        <w:t xml:space="preserve">Фондът споделя дългосрочната национална визия, обвързана с изграждане на конкурентен, ефективен, икономически и екологично устойчив сектор „Рибарство” в България, като допринася за постигане на целите, заложени в политиките на МЗХГ в рамките на Общата политика по рибарство на Европейския съюз и съгласно националния стратегически план. </w:t>
      </w:r>
    </w:p>
    <w:p w:rsidR="00C30B73" w:rsidRPr="005F66A5" w:rsidRDefault="00C30B73" w:rsidP="00C30B73">
      <w:pPr>
        <w:rPr>
          <w:rFonts w:eastAsia="Times New Roman" w:cs="Times New Roman"/>
        </w:rPr>
      </w:pPr>
      <w:r w:rsidRPr="005F66A5">
        <w:rPr>
          <w:rFonts w:eastAsia="Times New Roman" w:cs="Times New Roman"/>
        </w:rPr>
        <w:t>ДФЗ отговаря за разпределението на публичните разходи за политиката, които разходва пряко чрез бюджета си и чрез сметката за средства от Европейския съюз, одобрени с годишния закон за държавния бюджет на Република България.</w:t>
      </w:r>
    </w:p>
    <w:p w:rsidR="00C30B73" w:rsidRPr="005F66A5" w:rsidRDefault="00C30B73" w:rsidP="00C30B73">
      <w:pPr>
        <w:rPr>
          <w:rFonts w:eastAsia="Times New Roman" w:cs="Times New Roman"/>
        </w:rPr>
      </w:pPr>
      <w:r w:rsidRPr="005F66A5">
        <w:rPr>
          <w:rFonts w:eastAsia="Times New Roman" w:cs="Times New Roman"/>
        </w:rPr>
        <w:t>Ключов индикатор за изпълнение на политиката в частта на ДФЗ е:</w:t>
      </w:r>
    </w:p>
    <w:p w:rsidR="00C30B73" w:rsidRPr="005F66A5" w:rsidRDefault="00C30B73" w:rsidP="003403BF">
      <w:pPr>
        <w:numPr>
          <w:ilvl w:val="0"/>
          <w:numId w:val="24"/>
        </w:numPr>
        <w:tabs>
          <w:tab w:val="left" w:pos="567"/>
        </w:tabs>
        <w:spacing w:after="120"/>
        <w:ind w:left="851" w:hanging="284"/>
        <w:rPr>
          <w:rFonts w:eastAsia="Times New Roman" w:cs="Times New Roman"/>
          <w:i/>
        </w:rPr>
      </w:pPr>
      <w:r w:rsidRPr="005F66A5">
        <w:rPr>
          <w:rFonts w:eastAsia="Times New Roman" w:cs="Times New Roman"/>
          <w:i/>
        </w:rPr>
        <w:t>Изпълнение на бюджета по ПМДР</w:t>
      </w:r>
      <w:r w:rsidRPr="005F66A5">
        <w:rPr>
          <w:rFonts w:eastAsia="Times New Roman" w:cs="Times New Roman"/>
          <w:i/>
          <w:position w:val="2"/>
          <w:sz w:val="18"/>
          <w:vertAlign w:val="superscript"/>
        </w:rPr>
        <w:footnoteReference w:id="26"/>
      </w:r>
      <w:r w:rsidRPr="005F66A5">
        <w:rPr>
          <w:rFonts w:eastAsia="Times New Roman" w:cs="Times New Roman"/>
          <w:i/>
        </w:rPr>
        <w:t xml:space="preserve"> 2014-2020 по правилото N+3 (ЕФМДР)</w:t>
      </w:r>
      <w:r w:rsidRPr="005F66A5">
        <w:rPr>
          <w:rFonts w:eastAsia="Times New Roman" w:cs="Times New Roman"/>
          <w:i/>
          <w:position w:val="2"/>
          <w:sz w:val="18"/>
          <w:vertAlign w:val="superscript"/>
        </w:rPr>
        <w:footnoteReference w:id="27"/>
      </w:r>
    </w:p>
    <w:p w:rsidR="006E5E17" w:rsidRDefault="006E5E17" w:rsidP="006E5E17">
      <w:pPr>
        <w:rPr>
          <w:b/>
          <w:sz w:val="20"/>
          <w:szCs w:val="20"/>
        </w:rPr>
      </w:pPr>
    </w:p>
    <w:p w:rsidR="006E5E17" w:rsidRPr="00DF25F6" w:rsidRDefault="006E5E17" w:rsidP="006E5E17">
      <w:pPr>
        <w:pStyle w:val="Heading4"/>
        <w:rPr>
          <w:rFonts w:eastAsia="Times New Roman"/>
        </w:rPr>
      </w:pPr>
      <w:r w:rsidRPr="00DF25F6">
        <w:rPr>
          <w:rFonts w:eastAsia="Times New Roman"/>
        </w:rPr>
        <w:t>Политика в областта на съхраняването и увеличаването на горите и дивеча</w:t>
      </w:r>
    </w:p>
    <w:p w:rsidR="00C30B73" w:rsidRDefault="00C30B73" w:rsidP="00C30B73">
      <w:pPr>
        <w:rPr>
          <w:rFonts w:eastAsia="Times New Roman" w:cs="Times New Roman"/>
        </w:rPr>
      </w:pPr>
      <w:r w:rsidRPr="005F66A5">
        <w:rPr>
          <w:rFonts w:eastAsia="Times New Roman" w:cs="Times New Roman"/>
        </w:rPr>
        <w:t>С изпълнение на политиката в областта на съхраняване и увеличаване на горите и дивеча Изпълнителната агенция по горите дава своя принос за реализация на формулираната в Националната стратегия за развитие на горския сектор 2013-2020 г. визия за развитие на горския сектор, която е: Към 2020 г. България да има жизнени, продуктивни и многофункционални гори, устойчив, конкурентоспособен и иновативен горски сектор, съхранено биологично разнообразие, количество и качество на водните ресурси в горските територии. Секторът да подпомага икономическото развитие на страната, да осигурява условия за пълноценна реализация на заетите в него, да способства в максимална степен за смекчаване на ефекта от промяната в климата и да гарантира поддържането на здравословна околна среда.</w:t>
      </w:r>
    </w:p>
    <w:p w:rsidR="008C1CE3" w:rsidRDefault="008C1CE3" w:rsidP="00C30B73">
      <w:pPr>
        <w:rPr>
          <w:rFonts w:eastAsia="Times New Roman" w:cs="Times New Roman"/>
        </w:rPr>
      </w:pPr>
    </w:p>
    <w:p w:rsidR="006E5E17" w:rsidRDefault="006E5E17" w:rsidP="006E5E17">
      <w:pPr>
        <w:rPr>
          <w:b/>
          <w:sz w:val="20"/>
          <w:szCs w:val="20"/>
        </w:rPr>
      </w:pPr>
      <w:r w:rsidRPr="00E41D8F">
        <w:rPr>
          <w:b/>
          <w:sz w:val="20"/>
          <w:szCs w:val="20"/>
        </w:rPr>
        <w:t>КЛЮЧОВИ ИНДИКАТОРИ ЗА ИЗПЪЛНЕНИЕ И ЦЕЛЕВИ СТОЙНОСТИ</w:t>
      </w:r>
    </w:p>
    <w:p w:rsidR="006E5E17" w:rsidRDefault="006E5E17" w:rsidP="005F0C7F">
      <w:pPr>
        <w:pStyle w:val="NoSpacing"/>
        <w:rPr>
          <w:sz w:val="18"/>
          <w:szCs w:val="18"/>
        </w:rPr>
      </w:pPr>
    </w:p>
    <w:tbl>
      <w:tblPr>
        <w:tblW w:w="4963" w:type="pct"/>
        <w:jc w:val="center"/>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3277"/>
        <w:gridCol w:w="944"/>
        <w:gridCol w:w="1167"/>
        <w:gridCol w:w="1307"/>
        <w:gridCol w:w="1327"/>
        <w:gridCol w:w="981"/>
      </w:tblGrid>
      <w:tr w:rsidR="00C30B73" w:rsidRPr="005F66A5" w:rsidTr="008C1CE3">
        <w:trPr>
          <w:trHeight w:val="255"/>
          <w:tblHeader/>
          <w:jc w:val="center"/>
        </w:trPr>
        <w:tc>
          <w:tcPr>
            <w:tcW w:w="1820" w:type="pct"/>
            <w:tcBorders>
              <w:bottom w:val="nil"/>
            </w:tcBorders>
            <w:shd w:val="clear" w:color="auto" w:fill="auto"/>
            <w:vAlign w:val="center"/>
          </w:tcPr>
          <w:p w:rsidR="00C30B73" w:rsidRPr="005F66A5" w:rsidRDefault="00C30B73" w:rsidP="00B178B0">
            <w:pPr>
              <w:spacing w:after="0"/>
              <w:jc w:val="center"/>
              <w:rPr>
                <w:rFonts w:cs="Times New Roman"/>
                <w:i/>
                <w:iCs/>
                <w:sz w:val="18"/>
                <w:szCs w:val="18"/>
              </w:rPr>
            </w:pPr>
            <w:r w:rsidRPr="005F66A5">
              <w:rPr>
                <w:rFonts w:cs="Times New Roman"/>
                <w:b/>
                <w:bCs/>
                <w:i/>
                <w:sz w:val="18"/>
                <w:szCs w:val="18"/>
              </w:rPr>
              <w:t>Политика в областта на съхраняването и увеличаването на горите и дивеча</w:t>
            </w:r>
          </w:p>
        </w:tc>
        <w:tc>
          <w:tcPr>
            <w:tcW w:w="524" w:type="pct"/>
            <w:vMerge w:val="restart"/>
            <w:tcBorders>
              <w:bottom w:val="nil"/>
            </w:tcBorders>
            <w:shd w:val="clear" w:color="auto" w:fill="F2F2F2" w:themeFill="background1" w:themeFillShade="F2"/>
            <w:vAlign w:val="center"/>
          </w:tcPr>
          <w:p w:rsidR="00C30B73" w:rsidRPr="005F66A5" w:rsidRDefault="00C30B73" w:rsidP="00B178B0">
            <w:pPr>
              <w:jc w:val="center"/>
              <w:rPr>
                <w:rFonts w:cs="Times New Roman"/>
                <w:sz w:val="18"/>
                <w:szCs w:val="18"/>
              </w:rPr>
            </w:pPr>
            <w:r w:rsidRPr="005F66A5">
              <w:rPr>
                <w:rFonts w:cs="Times New Roman"/>
                <w:b/>
                <w:bCs/>
                <w:sz w:val="18"/>
                <w:szCs w:val="18"/>
              </w:rPr>
              <w:t>Мерна единица</w:t>
            </w:r>
          </w:p>
        </w:tc>
        <w:tc>
          <w:tcPr>
            <w:tcW w:w="2656" w:type="pct"/>
            <w:gridSpan w:val="4"/>
            <w:tcBorders>
              <w:bottom w:val="single" w:sz="4" w:space="0" w:color="auto"/>
            </w:tcBorders>
            <w:shd w:val="clear" w:color="auto" w:fill="auto"/>
            <w:vAlign w:val="center"/>
          </w:tcPr>
          <w:p w:rsidR="00C30B73" w:rsidRPr="005F66A5" w:rsidRDefault="00C30B73" w:rsidP="00B178B0">
            <w:pPr>
              <w:spacing w:after="0"/>
              <w:ind w:left="162" w:hanging="162"/>
              <w:jc w:val="center"/>
              <w:rPr>
                <w:rFonts w:cs="Times New Roman"/>
                <w:b/>
                <w:bCs/>
                <w:sz w:val="18"/>
                <w:szCs w:val="18"/>
              </w:rPr>
            </w:pPr>
            <w:r w:rsidRPr="005F66A5">
              <w:rPr>
                <w:rFonts w:cs="Times New Roman"/>
                <w:b/>
                <w:bCs/>
                <w:sz w:val="18"/>
                <w:szCs w:val="18"/>
              </w:rPr>
              <w:t>Целева стойност</w:t>
            </w:r>
          </w:p>
        </w:tc>
      </w:tr>
      <w:tr w:rsidR="00C30B73" w:rsidRPr="005F66A5" w:rsidTr="008C1CE3">
        <w:trPr>
          <w:trHeight w:val="450"/>
          <w:tblHeader/>
          <w:jc w:val="center"/>
        </w:trPr>
        <w:tc>
          <w:tcPr>
            <w:tcW w:w="1820" w:type="pct"/>
            <w:tcBorders>
              <w:top w:val="nil"/>
              <w:bottom w:val="single" w:sz="4" w:space="0" w:color="auto"/>
            </w:tcBorders>
            <w:shd w:val="clear" w:color="auto" w:fill="auto"/>
            <w:vAlign w:val="center"/>
          </w:tcPr>
          <w:p w:rsidR="00C30B73" w:rsidRPr="005F66A5" w:rsidRDefault="00C30B73" w:rsidP="00B178B0">
            <w:pPr>
              <w:spacing w:after="0"/>
              <w:jc w:val="center"/>
              <w:rPr>
                <w:rFonts w:cs="Times New Roman"/>
                <w:b/>
                <w:bCs/>
                <w:sz w:val="18"/>
                <w:szCs w:val="18"/>
              </w:rPr>
            </w:pPr>
            <w:r w:rsidRPr="005F66A5">
              <w:rPr>
                <w:rFonts w:cs="Times New Roman"/>
                <w:b/>
                <w:bCs/>
                <w:sz w:val="18"/>
                <w:szCs w:val="18"/>
              </w:rPr>
              <w:t>Наименование на индикатора</w:t>
            </w:r>
          </w:p>
        </w:tc>
        <w:tc>
          <w:tcPr>
            <w:tcW w:w="524" w:type="pct"/>
            <w:vMerge/>
            <w:tcBorders>
              <w:top w:val="nil"/>
              <w:bottom w:val="single" w:sz="4" w:space="0" w:color="auto"/>
            </w:tcBorders>
            <w:shd w:val="clear" w:color="auto" w:fill="F2F2F2" w:themeFill="background1" w:themeFillShade="F2"/>
            <w:vAlign w:val="center"/>
          </w:tcPr>
          <w:p w:rsidR="00C30B73" w:rsidRPr="005F66A5" w:rsidRDefault="00C30B73" w:rsidP="00B178B0">
            <w:pPr>
              <w:jc w:val="center"/>
              <w:rPr>
                <w:rFonts w:cs="Times New Roman"/>
                <w:b/>
                <w:bCs/>
                <w:sz w:val="18"/>
                <w:szCs w:val="18"/>
              </w:rPr>
            </w:pPr>
          </w:p>
        </w:tc>
        <w:tc>
          <w:tcPr>
            <w:tcW w:w="648" w:type="pct"/>
            <w:tcBorders>
              <w:top w:val="single" w:sz="4" w:space="0" w:color="auto"/>
              <w:bottom w:val="single" w:sz="4" w:space="0" w:color="auto"/>
            </w:tcBorders>
            <w:shd w:val="clear" w:color="auto" w:fill="auto"/>
            <w:vAlign w:val="center"/>
          </w:tcPr>
          <w:p w:rsidR="00C30B73" w:rsidRPr="005F66A5" w:rsidRDefault="00C30B73" w:rsidP="00B178B0">
            <w:pPr>
              <w:spacing w:after="0"/>
              <w:jc w:val="center"/>
              <w:rPr>
                <w:rFonts w:cs="Times New Roman"/>
                <w:b/>
                <w:bCs/>
                <w:i/>
                <w:iCs/>
                <w:sz w:val="18"/>
                <w:szCs w:val="18"/>
              </w:rPr>
            </w:pPr>
            <w:r w:rsidRPr="005F66A5">
              <w:rPr>
                <w:rFonts w:cs="Times New Roman"/>
                <w:b/>
                <w:bCs/>
                <w:i/>
                <w:iCs/>
                <w:sz w:val="18"/>
                <w:szCs w:val="18"/>
              </w:rPr>
              <w:t>Програма 201</w:t>
            </w:r>
            <w:r w:rsidRPr="005F66A5">
              <w:rPr>
                <w:rFonts w:cs="Times New Roman"/>
                <w:b/>
                <w:bCs/>
                <w:i/>
                <w:iCs/>
                <w:sz w:val="18"/>
                <w:szCs w:val="18"/>
                <w:lang w:val="en-US"/>
              </w:rPr>
              <w:t>9</w:t>
            </w:r>
            <w:r w:rsidRPr="005F66A5">
              <w:rPr>
                <w:rFonts w:cs="Times New Roman"/>
                <w:b/>
                <w:bCs/>
                <w:i/>
                <w:iCs/>
                <w:sz w:val="18"/>
                <w:szCs w:val="18"/>
              </w:rPr>
              <w:t xml:space="preserve"> г.</w:t>
            </w:r>
          </w:p>
        </w:tc>
        <w:tc>
          <w:tcPr>
            <w:tcW w:w="726" w:type="pct"/>
            <w:tcBorders>
              <w:top w:val="single" w:sz="4" w:space="0" w:color="auto"/>
              <w:bottom w:val="single" w:sz="4" w:space="0" w:color="auto"/>
            </w:tcBorders>
            <w:shd w:val="clear" w:color="auto" w:fill="auto"/>
            <w:vAlign w:val="center"/>
          </w:tcPr>
          <w:p w:rsidR="00C30B73" w:rsidRPr="005F66A5" w:rsidRDefault="00C30B73" w:rsidP="00B178B0">
            <w:pPr>
              <w:spacing w:after="0"/>
              <w:jc w:val="center"/>
              <w:rPr>
                <w:rFonts w:cs="Times New Roman"/>
                <w:b/>
                <w:bCs/>
                <w:i/>
                <w:iCs/>
                <w:sz w:val="18"/>
                <w:szCs w:val="18"/>
                <w:lang w:val="en-US"/>
              </w:rPr>
            </w:pPr>
            <w:r w:rsidRPr="005F66A5">
              <w:rPr>
                <w:rFonts w:cs="Times New Roman"/>
                <w:b/>
                <w:bCs/>
                <w:i/>
                <w:iCs/>
                <w:sz w:val="18"/>
                <w:szCs w:val="18"/>
              </w:rPr>
              <w:t>Проект</w:t>
            </w:r>
          </w:p>
          <w:p w:rsidR="00C30B73" w:rsidRPr="005F66A5" w:rsidRDefault="00C30B73" w:rsidP="00B178B0">
            <w:pPr>
              <w:spacing w:after="0"/>
              <w:jc w:val="center"/>
              <w:rPr>
                <w:rFonts w:cs="Times New Roman"/>
                <w:b/>
                <w:bCs/>
                <w:i/>
                <w:iCs/>
                <w:sz w:val="18"/>
                <w:szCs w:val="18"/>
              </w:rPr>
            </w:pPr>
            <w:r w:rsidRPr="005F66A5">
              <w:rPr>
                <w:rFonts w:cs="Times New Roman"/>
                <w:b/>
                <w:bCs/>
                <w:i/>
                <w:iCs/>
                <w:sz w:val="18"/>
                <w:szCs w:val="18"/>
              </w:rPr>
              <w:t>20</w:t>
            </w:r>
            <w:r w:rsidRPr="005F66A5">
              <w:rPr>
                <w:rFonts w:cs="Times New Roman"/>
                <w:b/>
                <w:bCs/>
                <w:i/>
                <w:iCs/>
                <w:sz w:val="18"/>
                <w:szCs w:val="18"/>
                <w:lang w:val="en-US"/>
              </w:rPr>
              <w:t>20</w:t>
            </w:r>
            <w:r w:rsidRPr="005F66A5">
              <w:rPr>
                <w:rFonts w:cs="Times New Roman"/>
                <w:b/>
                <w:bCs/>
                <w:i/>
                <w:iCs/>
                <w:sz w:val="18"/>
                <w:szCs w:val="18"/>
              </w:rPr>
              <w:t xml:space="preserve"> г.</w:t>
            </w:r>
          </w:p>
        </w:tc>
        <w:tc>
          <w:tcPr>
            <w:tcW w:w="737" w:type="pct"/>
            <w:tcBorders>
              <w:top w:val="single" w:sz="4" w:space="0" w:color="auto"/>
              <w:bottom w:val="single" w:sz="4" w:space="0" w:color="auto"/>
            </w:tcBorders>
            <w:shd w:val="clear" w:color="auto" w:fill="auto"/>
            <w:vAlign w:val="center"/>
          </w:tcPr>
          <w:p w:rsidR="00C30B73" w:rsidRPr="005F66A5" w:rsidRDefault="00C30B73" w:rsidP="00B178B0">
            <w:pPr>
              <w:spacing w:after="0"/>
              <w:ind w:left="-55" w:firstLine="55"/>
              <w:jc w:val="center"/>
              <w:rPr>
                <w:rFonts w:cs="Times New Roman"/>
                <w:b/>
                <w:bCs/>
                <w:i/>
                <w:iCs/>
                <w:sz w:val="18"/>
                <w:szCs w:val="18"/>
                <w:lang w:val="en-US"/>
              </w:rPr>
            </w:pPr>
            <w:r w:rsidRPr="005F66A5">
              <w:rPr>
                <w:rFonts w:cs="Times New Roman"/>
                <w:b/>
                <w:bCs/>
                <w:i/>
                <w:iCs/>
                <w:sz w:val="18"/>
                <w:szCs w:val="18"/>
              </w:rPr>
              <w:t xml:space="preserve">Прогноза </w:t>
            </w:r>
          </w:p>
          <w:p w:rsidR="00C30B73" w:rsidRPr="005F66A5" w:rsidRDefault="00C30B73" w:rsidP="00B178B0">
            <w:pPr>
              <w:spacing w:after="0"/>
              <w:ind w:left="-55" w:firstLine="55"/>
              <w:jc w:val="center"/>
              <w:rPr>
                <w:rFonts w:cs="Times New Roman"/>
                <w:b/>
                <w:bCs/>
                <w:i/>
                <w:iCs/>
                <w:sz w:val="18"/>
                <w:szCs w:val="18"/>
              </w:rPr>
            </w:pPr>
            <w:r w:rsidRPr="005F66A5">
              <w:rPr>
                <w:rFonts w:cs="Times New Roman"/>
                <w:b/>
                <w:bCs/>
                <w:i/>
                <w:iCs/>
                <w:sz w:val="18"/>
                <w:szCs w:val="18"/>
              </w:rPr>
              <w:t>20</w:t>
            </w:r>
            <w:r w:rsidRPr="005F66A5">
              <w:rPr>
                <w:rFonts w:cs="Times New Roman"/>
                <w:b/>
                <w:bCs/>
                <w:i/>
                <w:iCs/>
                <w:sz w:val="18"/>
                <w:szCs w:val="18"/>
                <w:lang w:val="en-US"/>
              </w:rPr>
              <w:t>21</w:t>
            </w:r>
            <w:r w:rsidRPr="005F66A5">
              <w:rPr>
                <w:rFonts w:cs="Times New Roman"/>
                <w:b/>
                <w:bCs/>
                <w:i/>
                <w:iCs/>
                <w:sz w:val="18"/>
                <w:szCs w:val="18"/>
              </w:rPr>
              <w:t xml:space="preserve"> г.</w:t>
            </w:r>
          </w:p>
        </w:tc>
        <w:tc>
          <w:tcPr>
            <w:tcW w:w="545" w:type="pct"/>
            <w:tcBorders>
              <w:top w:val="single" w:sz="4" w:space="0" w:color="auto"/>
              <w:bottom w:val="single" w:sz="4" w:space="0" w:color="auto"/>
            </w:tcBorders>
            <w:shd w:val="clear" w:color="auto" w:fill="auto"/>
            <w:vAlign w:val="center"/>
          </w:tcPr>
          <w:p w:rsidR="00C30B73" w:rsidRPr="005F66A5" w:rsidRDefault="00C30B73" w:rsidP="00B178B0">
            <w:pPr>
              <w:spacing w:after="0"/>
              <w:jc w:val="center"/>
              <w:rPr>
                <w:rFonts w:cs="Times New Roman"/>
                <w:b/>
                <w:bCs/>
                <w:i/>
                <w:iCs/>
                <w:sz w:val="18"/>
                <w:szCs w:val="18"/>
                <w:lang w:val="en-US"/>
              </w:rPr>
            </w:pPr>
            <w:r w:rsidRPr="005F66A5">
              <w:rPr>
                <w:rFonts w:cs="Times New Roman"/>
                <w:b/>
                <w:bCs/>
                <w:i/>
                <w:iCs/>
                <w:sz w:val="18"/>
                <w:szCs w:val="18"/>
              </w:rPr>
              <w:t xml:space="preserve">Прогноза </w:t>
            </w:r>
          </w:p>
          <w:p w:rsidR="00C30B73" w:rsidRPr="005F66A5" w:rsidRDefault="00C30B73" w:rsidP="00B178B0">
            <w:pPr>
              <w:spacing w:after="0"/>
              <w:jc w:val="center"/>
              <w:rPr>
                <w:rFonts w:cs="Times New Roman"/>
                <w:b/>
                <w:bCs/>
                <w:i/>
                <w:iCs/>
                <w:sz w:val="18"/>
                <w:szCs w:val="18"/>
              </w:rPr>
            </w:pPr>
            <w:r w:rsidRPr="005F66A5">
              <w:rPr>
                <w:rFonts w:cs="Times New Roman"/>
                <w:b/>
                <w:bCs/>
                <w:i/>
                <w:iCs/>
                <w:sz w:val="18"/>
                <w:szCs w:val="18"/>
              </w:rPr>
              <w:t>202</w:t>
            </w:r>
            <w:r w:rsidRPr="005F66A5">
              <w:rPr>
                <w:rFonts w:cs="Times New Roman"/>
                <w:b/>
                <w:bCs/>
                <w:i/>
                <w:iCs/>
                <w:sz w:val="18"/>
                <w:szCs w:val="18"/>
                <w:lang w:val="en-US"/>
              </w:rPr>
              <w:t>2</w:t>
            </w:r>
            <w:r w:rsidRPr="005F66A5">
              <w:rPr>
                <w:rFonts w:cs="Times New Roman"/>
                <w:b/>
                <w:bCs/>
                <w:i/>
                <w:iCs/>
                <w:sz w:val="18"/>
                <w:szCs w:val="18"/>
              </w:rPr>
              <w:t xml:space="preserve"> г.</w:t>
            </w:r>
          </w:p>
        </w:tc>
      </w:tr>
      <w:tr w:rsidR="00C30B73" w:rsidRPr="005F66A5" w:rsidTr="00B41461">
        <w:trPr>
          <w:trHeight w:val="255"/>
          <w:jc w:val="center"/>
        </w:trPr>
        <w:tc>
          <w:tcPr>
            <w:tcW w:w="1820" w:type="pct"/>
            <w:tcBorders>
              <w:top w:val="single" w:sz="4" w:space="0" w:color="auto"/>
              <w:bottom w:val="nil"/>
            </w:tcBorders>
            <w:shd w:val="clear" w:color="auto" w:fill="auto"/>
          </w:tcPr>
          <w:p w:rsidR="00C30B73" w:rsidRPr="005F66A5"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1.Изработване на областни планове за развитие на горските територии</w:t>
            </w:r>
          </w:p>
        </w:tc>
        <w:tc>
          <w:tcPr>
            <w:tcW w:w="524" w:type="pct"/>
            <w:tcBorders>
              <w:top w:val="single" w:sz="4" w:space="0" w:color="auto"/>
              <w:bottom w:val="nil"/>
            </w:tcBorders>
            <w:shd w:val="clear" w:color="auto" w:fill="F2F2F2" w:themeFill="background1" w:themeFillShade="F2"/>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брой</w:t>
            </w:r>
          </w:p>
        </w:tc>
        <w:tc>
          <w:tcPr>
            <w:tcW w:w="648" w:type="pct"/>
            <w:tcBorders>
              <w:top w:val="single" w:sz="4" w:space="0" w:color="auto"/>
              <w:bottom w:val="nil"/>
            </w:tcBorders>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12</w:t>
            </w:r>
          </w:p>
        </w:tc>
        <w:tc>
          <w:tcPr>
            <w:tcW w:w="726" w:type="pct"/>
            <w:tcBorders>
              <w:top w:val="single" w:sz="4" w:space="0" w:color="auto"/>
              <w:bottom w:val="nil"/>
            </w:tcBorders>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6</w:t>
            </w:r>
          </w:p>
        </w:tc>
        <w:tc>
          <w:tcPr>
            <w:tcW w:w="737" w:type="pct"/>
            <w:tcBorders>
              <w:top w:val="single" w:sz="4" w:space="0" w:color="auto"/>
              <w:bottom w:val="nil"/>
            </w:tcBorders>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8</w:t>
            </w:r>
          </w:p>
        </w:tc>
        <w:tc>
          <w:tcPr>
            <w:tcW w:w="545" w:type="pct"/>
            <w:tcBorders>
              <w:top w:val="single" w:sz="4" w:space="0" w:color="auto"/>
              <w:bottom w:val="nil"/>
            </w:tcBorders>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9</w:t>
            </w:r>
          </w:p>
        </w:tc>
      </w:tr>
      <w:tr w:rsidR="00C30B73" w:rsidRPr="005F66A5" w:rsidTr="00CE0211">
        <w:trPr>
          <w:trHeight w:val="255"/>
          <w:jc w:val="center"/>
        </w:trPr>
        <w:tc>
          <w:tcPr>
            <w:tcW w:w="1820" w:type="pct"/>
            <w:tcBorders>
              <w:top w:val="nil"/>
            </w:tcBorders>
            <w:shd w:val="clear" w:color="auto" w:fill="auto"/>
          </w:tcPr>
          <w:p w:rsidR="00C30B73" w:rsidRPr="005F66A5"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2.Инвентаризация на горските територии и изработване на планове за ловностопански дейности и дейности по опазване на горските територии от пожари</w:t>
            </w:r>
          </w:p>
        </w:tc>
        <w:tc>
          <w:tcPr>
            <w:tcW w:w="524" w:type="pct"/>
            <w:tcBorders>
              <w:top w:val="nil"/>
            </w:tcBorders>
            <w:shd w:val="clear" w:color="auto" w:fill="F2F2F2" w:themeFill="background1" w:themeFillShade="F2"/>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хил. ха</w:t>
            </w:r>
          </w:p>
        </w:tc>
        <w:tc>
          <w:tcPr>
            <w:tcW w:w="648" w:type="pct"/>
            <w:tcBorders>
              <w:top w:val="nil"/>
            </w:tcBorders>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380</w:t>
            </w:r>
          </w:p>
        </w:tc>
        <w:tc>
          <w:tcPr>
            <w:tcW w:w="726" w:type="pct"/>
            <w:tcBorders>
              <w:top w:val="nil"/>
            </w:tcBorders>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400</w:t>
            </w:r>
          </w:p>
        </w:tc>
        <w:tc>
          <w:tcPr>
            <w:tcW w:w="737" w:type="pct"/>
            <w:tcBorders>
              <w:top w:val="nil"/>
            </w:tcBorders>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450</w:t>
            </w:r>
          </w:p>
        </w:tc>
        <w:tc>
          <w:tcPr>
            <w:tcW w:w="545" w:type="pct"/>
            <w:tcBorders>
              <w:top w:val="nil"/>
            </w:tcBorders>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500</w:t>
            </w:r>
          </w:p>
        </w:tc>
      </w:tr>
      <w:tr w:rsidR="00C30B73" w:rsidRPr="005F66A5" w:rsidTr="00B178B0">
        <w:trPr>
          <w:trHeight w:val="255"/>
          <w:jc w:val="center"/>
        </w:trPr>
        <w:tc>
          <w:tcPr>
            <w:tcW w:w="1820" w:type="pct"/>
            <w:shd w:val="clear" w:color="auto" w:fill="auto"/>
          </w:tcPr>
          <w:p w:rsidR="00C30B73" w:rsidRPr="005F66A5"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3.Проведени мероприятия за опазване и мониторинг на биологичното разнообразие</w:t>
            </w:r>
          </w:p>
        </w:tc>
        <w:tc>
          <w:tcPr>
            <w:tcW w:w="524" w:type="pct"/>
            <w:shd w:val="clear" w:color="auto" w:fill="F2F2F2" w:themeFill="background1" w:themeFillShade="F2"/>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брой</w:t>
            </w:r>
          </w:p>
        </w:tc>
        <w:tc>
          <w:tcPr>
            <w:tcW w:w="648" w:type="pct"/>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160</w:t>
            </w:r>
          </w:p>
        </w:tc>
        <w:tc>
          <w:tcPr>
            <w:tcW w:w="726" w:type="pct"/>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160</w:t>
            </w:r>
          </w:p>
        </w:tc>
        <w:tc>
          <w:tcPr>
            <w:tcW w:w="737" w:type="pct"/>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160</w:t>
            </w:r>
          </w:p>
        </w:tc>
        <w:tc>
          <w:tcPr>
            <w:tcW w:w="545" w:type="pct"/>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160</w:t>
            </w:r>
          </w:p>
        </w:tc>
      </w:tr>
      <w:tr w:rsidR="00C30B73" w:rsidRPr="00C232C6" w:rsidTr="00B178B0">
        <w:trPr>
          <w:trHeight w:val="270"/>
          <w:jc w:val="center"/>
        </w:trPr>
        <w:tc>
          <w:tcPr>
            <w:tcW w:w="1820" w:type="pct"/>
            <w:shd w:val="clear" w:color="auto" w:fill="auto"/>
          </w:tcPr>
          <w:p w:rsidR="00C30B73" w:rsidRPr="005F66A5"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4.Състояние на запаса на благороден елен</w:t>
            </w:r>
          </w:p>
        </w:tc>
        <w:tc>
          <w:tcPr>
            <w:tcW w:w="524" w:type="pct"/>
            <w:shd w:val="clear" w:color="auto" w:fill="F2F2F2" w:themeFill="background1" w:themeFillShade="F2"/>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брой</w:t>
            </w:r>
          </w:p>
        </w:tc>
        <w:tc>
          <w:tcPr>
            <w:tcW w:w="648" w:type="pct"/>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30 000</w:t>
            </w:r>
          </w:p>
        </w:tc>
        <w:tc>
          <w:tcPr>
            <w:tcW w:w="726" w:type="pct"/>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28 000</w:t>
            </w:r>
          </w:p>
        </w:tc>
        <w:tc>
          <w:tcPr>
            <w:tcW w:w="737" w:type="pct"/>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28 000</w:t>
            </w:r>
          </w:p>
        </w:tc>
        <w:tc>
          <w:tcPr>
            <w:tcW w:w="545" w:type="pct"/>
            <w:shd w:val="clear" w:color="auto" w:fill="auto"/>
            <w:vAlign w:val="center"/>
          </w:tcPr>
          <w:p w:rsidR="00C30B73" w:rsidRPr="005F66A5"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5F66A5">
              <w:rPr>
                <w:rFonts w:asciiTheme="majorHAnsi" w:eastAsia="Times New Roman" w:hAnsiTheme="majorHAnsi" w:cstheme="majorHAnsi"/>
                <w:sz w:val="18"/>
                <w:szCs w:val="18"/>
              </w:rPr>
              <w:t>30 000</w:t>
            </w:r>
          </w:p>
        </w:tc>
      </w:tr>
    </w:tbl>
    <w:p w:rsidR="00A96AAF" w:rsidRDefault="00A96AAF" w:rsidP="000C32FC">
      <w:pPr>
        <w:spacing w:before="120" w:after="0"/>
      </w:pPr>
    </w:p>
    <w:p w:rsidR="00A96AAF" w:rsidRDefault="00C9206F" w:rsidP="00C9206F">
      <w:pPr>
        <w:pStyle w:val="Heading3"/>
        <w:ind w:left="0"/>
      </w:pPr>
      <w:r w:rsidRPr="00C9206F">
        <w:t>ИКОНОМИЧЕСКА И ФИНАНСОВА ПОЛИТИКА</w:t>
      </w:r>
    </w:p>
    <w:p w:rsidR="000C32FC" w:rsidRPr="000C32FC" w:rsidRDefault="000C32FC" w:rsidP="000C32FC">
      <w:pPr>
        <w:spacing w:before="120" w:after="0"/>
      </w:pPr>
      <w:r w:rsidRPr="000C32FC">
        <w:t xml:space="preserve">В тази сфера </w:t>
      </w:r>
      <w:r w:rsidRPr="000C32FC">
        <w:rPr>
          <w:b/>
        </w:rPr>
        <w:t>Министерството на икономиката</w:t>
      </w:r>
      <w:r w:rsidRPr="000C32FC">
        <w:t xml:space="preserve"> изпълнява следните политики:</w:t>
      </w:r>
    </w:p>
    <w:p w:rsidR="00401CCB" w:rsidRDefault="00401CCB" w:rsidP="003403BF">
      <w:pPr>
        <w:pStyle w:val="Heading4"/>
        <w:numPr>
          <w:ilvl w:val="3"/>
          <w:numId w:val="32"/>
        </w:numPr>
        <w:rPr>
          <w:rFonts w:eastAsia="Times New Roman"/>
        </w:rPr>
      </w:pPr>
      <w:r w:rsidRPr="00401CCB">
        <w:rPr>
          <w:rFonts w:eastAsia="Times New Roman"/>
        </w:rPr>
        <w:t>Политика в областта на устойчивото икономическо развитие и конкурентоспособност</w:t>
      </w:r>
    </w:p>
    <w:p w:rsidR="00C30B73" w:rsidRPr="00C30B73" w:rsidRDefault="00C30B73" w:rsidP="00C30B73">
      <w:pPr>
        <w:spacing w:before="120" w:after="0"/>
        <w:rPr>
          <w:rFonts w:eastAsia="Times New Roman"/>
          <w:szCs w:val="24"/>
        </w:rPr>
      </w:pPr>
      <w:r w:rsidRPr="00C30B73">
        <w:rPr>
          <w:rFonts w:eastAsia="Times New Roman"/>
          <w:szCs w:val="24"/>
        </w:rPr>
        <w:t>Политиката за устойчиво икономическо развитие цели повишаване на конкурентоспособността на икономиката за постигане на стабилен и дългосрочен икономически растеж. Министерство</w:t>
      </w:r>
      <w:r>
        <w:rPr>
          <w:rFonts w:eastAsia="Times New Roman"/>
          <w:szCs w:val="24"/>
        </w:rPr>
        <w:t>то</w:t>
      </w:r>
      <w:r w:rsidRPr="00C30B73">
        <w:rPr>
          <w:rFonts w:eastAsia="Times New Roman"/>
          <w:szCs w:val="24"/>
        </w:rPr>
        <w:t xml:space="preserve"> на икономиката работи за повишаване на потенциала за растеж, основаващ се на насърчаване на инвестициите във високотехнологични промишлени производства и интензивни на знание услуги, насърчаване на предприемачеството</w:t>
      </w:r>
      <w:r w:rsidR="00A30D81">
        <w:rPr>
          <w:rFonts w:eastAsia="Times New Roman"/>
          <w:szCs w:val="24"/>
        </w:rPr>
        <w:t>,</w:t>
      </w:r>
      <w:r w:rsidRPr="00C30B73">
        <w:rPr>
          <w:rFonts w:eastAsia="Times New Roman"/>
          <w:szCs w:val="24"/>
        </w:rPr>
        <w:t xml:space="preserve"> иновациите и повишаването на производителността на труда. Приоритет на икономическата политика е повишаването на привлекателността на България за инвестиции, както и за създаване на предпоставки за развитието на страната като център за интензивни на знание, високотехнологични производства и услуги. В тази връзка, важна част от политиката на Министерството на икономиката е повишаване на иновационната активност на предприятията и създаване на условия за привличане на частни капитали за финансиране на изследователската дейност от и по поръчка на предприятията. От съществено значение е насърчаване сътрудничеството между предприятията и изследователските организации и ускоряване навлизането на нови продукти и услуги на пазара.</w:t>
      </w:r>
    </w:p>
    <w:p w:rsidR="00C30B73" w:rsidRPr="007D6981" w:rsidRDefault="00C30B73" w:rsidP="00C30B73">
      <w:pPr>
        <w:spacing w:before="120" w:after="0"/>
        <w:rPr>
          <w:rFonts w:eastAsia="Times New Roman"/>
          <w:szCs w:val="24"/>
          <w:lang w:val="ru-RU"/>
        </w:rPr>
      </w:pPr>
      <w:r w:rsidRPr="00C30B73">
        <w:rPr>
          <w:rFonts w:eastAsia="Times New Roman"/>
          <w:szCs w:val="24"/>
        </w:rPr>
        <w:t>Политиката е насочена към достигане на националните цели в Националната програма за реформи, стратегията „Европа 2020“ и Националната стратегия за насърчаване на МСП 2014-2020.</w:t>
      </w:r>
    </w:p>
    <w:p w:rsidR="00C30B73" w:rsidRPr="00C30B73" w:rsidRDefault="00C30B73" w:rsidP="00C30B73">
      <w:pPr>
        <w:spacing w:before="120" w:after="0"/>
        <w:rPr>
          <w:rFonts w:eastAsia="Times New Roman"/>
          <w:szCs w:val="24"/>
        </w:rPr>
      </w:pPr>
      <w:r w:rsidRPr="00C30B73">
        <w:rPr>
          <w:rFonts w:eastAsia="Times New Roman"/>
          <w:szCs w:val="24"/>
        </w:rPr>
        <w:t>Предвид необходимостта от въвеждането на единен подход при финансирането със средства от държавния бюджет на юридическите лица с нестопанска цел, по бюджета на Министерството на икономиката за 2020 г. и следващите години са предвидени субсидии за Българ</w:t>
      </w:r>
      <w:r w:rsidR="00A12DE1">
        <w:rPr>
          <w:rFonts w:eastAsia="Times New Roman"/>
          <w:szCs w:val="24"/>
        </w:rPr>
        <w:t>ския институт за стандартизация</w:t>
      </w:r>
      <w:r w:rsidRPr="00C30B73">
        <w:rPr>
          <w:rFonts w:eastAsia="Times New Roman"/>
          <w:szCs w:val="24"/>
        </w:rPr>
        <w:t xml:space="preserve"> на основание чл. 55, т. 1 от Закона за националната стандартизация</w:t>
      </w:r>
      <w:r w:rsidR="00373DF8">
        <w:rPr>
          <w:rFonts w:eastAsia="Times New Roman"/>
          <w:szCs w:val="24"/>
        </w:rPr>
        <w:t>.</w:t>
      </w:r>
    </w:p>
    <w:p w:rsidR="000C32FC" w:rsidRPr="000C32FC" w:rsidRDefault="000C32FC" w:rsidP="000C32FC">
      <w:pPr>
        <w:spacing w:before="120" w:after="0"/>
        <w:rPr>
          <w:b/>
          <w:sz w:val="20"/>
          <w:szCs w:val="20"/>
        </w:rPr>
      </w:pPr>
    </w:p>
    <w:p w:rsidR="000C32FC" w:rsidRDefault="000C32FC" w:rsidP="000C32FC">
      <w:pPr>
        <w:rPr>
          <w:b/>
          <w:sz w:val="20"/>
          <w:szCs w:val="20"/>
        </w:rPr>
      </w:pPr>
      <w:r w:rsidRPr="000C32FC">
        <w:rPr>
          <w:b/>
          <w:sz w:val="20"/>
          <w:szCs w:val="20"/>
        </w:rPr>
        <w:t>КЛЮЧОВИ ИНДИКАТОРИ ЗА ИЗПЪЛНЕНИЕ И ЦЕЛЕВИ СТОЙНОСТИ</w:t>
      </w:r>
    </w:p>
    <w:tbl>
      <w:tblPr>
        <w:tblW w:w="0" w:type="auto"/>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3919"/>
        <w:gridCol w:w="1024"/>
        <w:gridCol w:w="1118"/>
        <w:gridCol w:w="970"/>
        <w:gridCol w:w="1075"/>
        <w:gridCol w:w="964"/>
      </w:tblGrid>
      <w:tr w:rsidR="00C30B73" w:rsidRPr="009F1DB9" w:rsidTr="008C1CE3">
        <w:trPr>
          <w:trHeight w:val="268"/>
          <w:tblHeader/>
        </w:trPr>
        <w:tc>
          <w:tcPr>
            <w:tcW w:w="0" w:type="auto"/>
            <w:tcBorders>
              <w:bottom w:val="nil"/>
            </w:tcBorders>
            <w:shd w:val="clear" w:color="auto" w:fill="auto"/>
            <w:vAlign w:val="center"/>
          </w:tcPr>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Политика в областта на устойчивото икономическо развитие и конкурентоспособност</w:t>
            </w:r>
          </w:p>
        </w:tc>
        <w:tc>
          <w:tcPr>
            <w:tcW w:w="0" w:type="auto"/>
            <w:vMerge w:val="restart"/>
            <w:tcBorders>
              <w:bottom w:val="nil"/>
            </w:tcBorders>
            <w:shd w:val="clear" w:color="auto" w:fill="F2F2F2" w:themeFill="background1" w:themeFillShade="F2"/>
            <w:vAlign w:val="center"/>
          </w:tcPr>
          <w:p w:rsidR="00C30B73" w:rsidRPr="009F1DB9" w:rsidRDefault="00C30B73" w:rsidP="00B178B0">
            <w:pPr>
              <w:keepNext/>
              <w:spacing w:after="0"/>
              <w:jc w:val="center"/>
              <w:rPr>
                <w:rFonts w:cs="Times New Roman"/>
                <w:b/>
                <w:iCs/>
                <w:sz w:val="18"/>
                <w:szCs w:val="18"/>
              </w:rPr>
            </w:pPr>
            <w:r w:rsidRPr="009F1DB9">
              <w:rPr>
                <w:rFonts w:cs="Times New Roman"/>
                <w:b/>
                <w:iCs/>
                <w:sz w:val="18"/>
                <w:szCs w:val="18"/>
              </w:rPr>
              <w:t>Мерна единица</w:t>
            </w:r>
          </w:p>
        </w:tc>
        <w:tc>
          <w:tcPr>
            <w:tcW w:w="4033" w:type="dxa"/>
            <w:gridSpan w:val="4"/>
            <w:tcBorders>
              <w:bottom w:val="single" w:sz="4" w:space="0" w:color="auto"/>
            </w:tcBorders>
            <w:shd w:val="clear" w:color="auto" w:fill="auto"/>
            <w:vAlign w:val="center"/>
          </w:tcPr>
          <w:p w:rsidR="00C30B73" w:rsidRPr="006F2CDA" w:rsidRDefault="00C30B73" w:rsidP="00B178B0">
            <w:pPr>
              <w:keepNext/>
              <w:spacing w:after="0"/>
              <w:jc w:val="center"/>
              <w:rPr>
                <w:rFonts w:cs="Times New Roman"/>
                <w:b/>
                <w:iCs/>
                <w:sz w:val="18"/>
                <w:szCs w:val="18"/>
              </w:rPr>
            </w:pPr>
            <w:r w:rsidRPr="006F2CDA">
              <w:rPr>
                <w:rFonts w:cs="Times New Roman"/>
                <w:b/>
                <w:iCs/>
                <w:sz w:val="18"/>
                <w:szCs w:val="18"/>
              </w:rPr>
              <w:t>Целева стойност</w:t>
            </w:r>
          </w:p>
        </w:tc>
      </w:tr>
      <w:tr w:rsidR="00C30B73" w:rsidRPr="009F1DB9" w:rsidTr="008C1CE3">
        <w:trPr>
          <w:trHeight w:val="60"/>
          <w:tblHeader/>
        </w:trPr>
        <w:tc>
          <w:tcPr>
            <w:tcW w:w="0" w:type="auto"/>
            <w:tcBorders>
              <w:top w:val="nil"/>
              <w:bottom w:val="single" w:sz="4" w:space="0" w:color="auto"/>
            </w:tcBorders>
            <w:shd w:val="clear" w:color="auto" w:fill="auto"/>
            <w:vAlign w:val="center"/>
          </w:tcPr>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Наименование на индикатора</w:t>
            </w:r>
          </w:p>
        </w:tc>
        <w:tc>
          <w:tcPr>
            <w:tcW w:w="0" w:type="auto"/>
            <w:vMerge/>
            <w:tcBorders>
              <w:top w:val="nil"/>
              <w:bottom w:val="single" w:sz="4" w:space="0" w:color="auto"/>
            </w:tcBorders>
            <w:shd w:val="clear" w:color="auto" w:fill="F2F2F2" w:themeFill="background1" w:themeFillShade="F2"/>
            <w:vAlign w:val="center"/>
          </w:tcPr>
          <w:p w:rsidR="00C30B73" w:rsidRPr="009F1DB9" w:rsidRDefault="00C30B73" w:rsidP="00B178B0">
            <w:pPr>
              <w:keepNext/>
              <w:spacing w:after="0" w:line="276" w:lineRule="auto"/>
              <w:jc w:val="center"/>
              <w:rPr>
                <w:rFonts w:cs="Times New Roman"/>
                <w:i/>
                <w:iCs/>
                <w:sz w:val="18"/>
                <w:szCs w:val="18"/>
              </w:rPr>
            </w:pPr>
          </w:p>
        </w:tc>
        <w:tc>
          <w:tcPr>
            <w:tcW w:w="0" w:type="auto"/>
            <w:tcBorders>
              <w:top w:val="single" w:sz="4" w:space="0" w:color="auto"/>
              <w:bottom w:val="single" w:sz="4" w:space="0" w:color="auto"/>
            </w:tcBorders>
            <w:shd w:val="clear" w:color="auto" w:fill="auto"/>
            <w:vAlign w:val="center"/>
          </w:tcPr>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Програма 2019 г.</w:t>
            </w:r>
          </w:p>
        </w:tc>
        <w:tc>
          <w:tcPr>
            <w:tcW w:w="0" w:type="auto"/>
            <w:tcBorders>
              <w:top w:val="single" w:sz="4" w:space="0" w:color="auto"/>
              <w:bottom w:val="single" w:sz="4" w:space="0" w:color="auto"/>
            </w:tcBorders>
            <w:shd w:val="clear" w:color="auto" w:fill="auto"/>
            <w:vAlign w:val="center"/>
          </w:tcPr>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Проект 2020 г.</w:t>
            </w:r>
          </w:p>
        </w:tc>
        <w:tc>
          <w:tcPr>
            <w:tcW w:w="0" w:type="auto"/>
            <w:tcBorders>
              <w:top w:val="single" w:sz="4" w:space="0" w:color="auto"/>
              <w:bottom w:val="single" w:sz="4" w:space="0" w:color="auto"/>
            </w:tcBorders>
            <w:shd w:val="clear" w:color="auto" w:fill="auto"/>
            <w:vAlign w:val="center"/>
          </w:tcPr>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Прогноза 2021 г.</w:t>
            </w:r>
          </w:p>
        </w:tc>
        <w:tc>
          <w:tcPr>
            <w:tcW w:w="964" w:type="dxa"/>
            <w:tcBorders>
              <w:top w:val="single" w:sz="4" w:space="0" w:color="auto"/>
              <w:bottom w:val="single" w:sz="4" w:space="0" w:color="auto"/>
            </w:tcBorders>
            <w:shd w:val="clear" w:color="auto" w:fill="auto"/>
            <w:vAlign w:val="center"/>
          </w:tcPr>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Прогноза 2022 г.</w:t>
            </w:r>
          </w:p>
        </w:tc>
      </w:tr>
      <w:tr w:rsidR="00C30B73" w:rsidRPr="009F1DB9" w:rsidTr="00B41461">
        <w:trPr>
          <w:trHeight w:val="401"/>
        </w:trPr>
        <w:tc>
          <w:tcPr>
            <w:tcW w:w="0" w:type="auto"/>
            <w:tcBorders>
              <w:top w:val="single" w:sz="4" w:space="0" w:color="auto"/>
              <w:bottom w:val="single" w:sz="4" w:space="0" w:color="auto"/>
            </w:tcBorders>
            <w:shd w:val="clear" w:color="auto" w:fill="auto"/>
            <w:vAlign w:val="center"/>
          </w:tcPr>
          <w:p w:rsidR="00C30B73" w:rsidRPr="000D1B2A" w:rsidRDefault="00E60644" w:rsidP="00B178B0">
            <w:pPr>
              <w:widowControl w:val="0"/>
              <w:autoSpaceDE w:val="0"/>
              <w:autoSpaceDN w:val="0"/>
              <w:adjustRightInd w:val="0"/>
              <w:spacing w:after="0"/>
              <w:jc w:val="left"/>
              <w:rPr>
                <w:rFonts w:asciiTheme="majorHAnsi" w:eastAsia="Times New Roman" w:hAnsiTheme="majorHAnsi" w:cstheme="majorHAnsi"/>
                <w:sz w:val="18"/>
                <w:szCs w:val="18"/>
              </w:rPr>
            </w:pPr>
            <w:r>
              <w:rPr>
                <w:rFonts w:asciiTheme="majorHAnsi" w:eastAsia="Times New Roman" w:hAnsiTheme="majorHAnsi" w:cstheme="majorHAnsi"/>
                <w:sz w:val="18"/>
                <w:szCs w:val="18"/>
              </w:rPr>
              <w:t>1</w:t>
            </w:r>
            <w:r w:rsidR="00C30B73" w:rsidRPr="000D1B2A">
              <w:rPr>
                <w:rFonts w:asciiTheme="majorHAnsi" w:eastAsia="Times New Roman" w:hAnsiTheme="majorHAnsi" w:cstheme="majorHAnsi"/>
                <w:sz w:val="18"/>
                <w:szCs w:val="18"/>
              </w:rPr>
              <w:t>.Преки чуждестранни инвестиции</w:t>
            </w:r>
          </w:p>
        </w:tc>
        <w:tc>
          <w:tcPr>
            <w:tcW w:w="0" w:type="auto"/>
            <w:tcBorders>
              <w:top w:val="single" w:sz="4" w:space="0" w:color="auto"/>
              <w:bottom w:val="single" w:sz="4" w:space="0" w:color="auto"/>
            </w:tcBorders>
            <w:shd w:val="clear" w:color="auto" w:fill="F2F2F2" w:themeFill="background1" w:themeFillShade="F2"/>
            <w:vAlign w:val="center"/>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 от БВП</w:t>
            </w:r>
          </w:p>
        </w:tc>
        <w:tc>
          <w:tcPr>
            <w:tcW w:w="0" w:type="auto"/>
            <w:tcBorders>
              <w:top w:val="single" w:sz="4" w:space="0" w:color="auto"/>
              <w:bottom w:val="single" w:sz="4" w:space="0" w:color="auto"/>
            </w:tcBorders>
            <w:shd w:val="clear" w:color="auto" w:fill="auto"/>
            <w:vAlign w:val="center"/>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w:t>
            </w:r>
            <w:r w:rsidR="00373DF8">
              <w:rPr>
                <w:rFonts w:asciiTheme="majorHAnsi" w:eastAsia="Times New Roman" w:hAnsiTheme="majorHAnsi" w:cstheme="majorHAnsi"/>
                <w:sz w:val="18"/>
                <w:szCs w:val="18"/>
              </w:rPr>
              <w:t>,</w:t>
            </w:r>
            <w:r w:rsidRPr="000D1B2A">
              <w:rPr>
                <w:rFonts w:asciiTheme="majorHAnsi" w:eastAsia="Times New Roman" w:hAnsiTheme="majorHAnsi" w:cstheme="majorHAnsi"/>
                <w:sz w:val="18"/>
                <w:szCs w:val="18"/>
              </w:rPr>
              <w:t>5</w:t>
            </w:r>
          </w:p>
        </w:tc>
        <w:tc>
          <w:tcPr>
            <w:tcW w:w="0" w:type="auto"/>
            <w:tcBorders>
              <w:top w:val="single" w:sz="4" w:space="0" w:color="auto"/>
              <w:bottom w:val="single" w:sz="4" w:space="0" w:color="auto"/>
            </w:tcBorders>
            <w:shd w:val="clear" w:color="auto" w:fill="auto"/>
            <w:vAlign w:val="center"/>
          </w:tcPr>
          <w:p w:rsidR="00C30B73" w:rsidRPr="000D1C12"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lang w:val="en-US"/>
              </w:rPr>
            </w:pPr>
            <w:r w:rsidRPr="000D1B2A">
              <w:rPr>
                <w:rFonts w:asciiTheme="majorHAnsi" w:eastAsia="Times New Roman" w:hAnsiTheme="majorHAnsi" w:cstheme="majorHAnsi"/>
                <w:sz w:val="18"/>
                <w:szCs w:val="18"/>
              </w:rPr>
              <w:t>3</w:t>
            </w:r>
            <w:r w:rsidR="00373DF8">
              <w:rPr>
                <w:rFonts w:asciiTheme="majorHAnsi" w:eastAsia="Times New Roman" w:hAnsiTheme="majorHAnsi" w:cstheme="majorHAnsi"/>
                <w:sz w:val="18"/>
                <w:szCs w:val="18"/>
              </w:rPr>
              <w:t>,</w:t>
            </w:r>
            <w:r>
              <w:rPr>
                <w:rFonts w:asciiTheme="majorHAnsi" w:eastAsia="Times New Roman" w:hAnsiTheme="majorHAnsi" w:cstheme="majorHAnsi"/>
                <w:sz w:val="18"/>
                <w:szCs w:val="18"/>
                <w:lang w:val="en-US"/>
              </w:rPr>
              <w:t>5</w:t>
            </w:r>
          </w:p>
        </w:tc>
        <w:tc>
          <w:tcPr>
            <w:tcW w:w="0" w:type="auto"/>
            <w:tcBorders>
              <w:top w:val="single" w:sz="4" w:space="0" w:color="auto"/>
              <w:bottom w:val="single" w:sz="4" w:space="0" w:color="auto"/>
            </w:tcBorders>
            <w:shd w:val="clear" w:color="auto" w:fill="auto"/>
            <w:vAlign w:val="center"/>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w:t>
            </w:r>
            <w:r w:rsidR="00373DF8">
              <w:rPr>
                <w:rFonts w:asciiTheme="majorHAnsi" w:eastAsia="Times New Roman" w:hAnsiTheme="majorHAnsi" w:cstheme="majorHAnsi"/>
                <w:sz w:val="18"/>
                <w:szCs w:val="18"/>
              </w:rPr>
              <w:t>,</w:t>
            </w:r>
            <w:r w:rsidRPr="000D1B2A">
              <w:rPr>
                <w:rFonts w:asciiTheme="majorHAnsi" w:eastAsia="Times New Roman" w:hAnsiTheme="majorHAnsi" w:cstheme="majorHAnsi"/>
                <w:sz w:val="18"/>
                <w:szCs w:val="18"/>
              </w:rPr>
              <w:t>5</w:t>
            </w:r>
          </w:p>
        </w:tc>
        <w:tc>
          <w:tcPr>
            <w:tcW w:w="964" w:type="dxa"/>
            <w:tcBorders>
              <w:top w:val="single" w:sz="4" w:space="0" w:color="auto"/>
              <w:bottom w:val="single" w:sz="4" w:space="0" w:color="auto"/>
            </w:tcBorders>
            <w:shd w:val="clear" w:color="auto" w:fill="auto"/>
            <w:vAlign w:val="center"/>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3</w:t>
            </w:r>
            <w:r w:rsidR="00373DF8">
              <w:rPr>
                <w:rFonts w:asciiTheme="majorHAnsi" w:eastAsia="Times New Roman" w:hAnsiTheme="majorHAnsi" w:cstheme="majorHAnsi"/>
                <w:sz w:val="18"/>
                <w:szCs w:val="18"/>
              </w:rPr>
              <w:t>,</w:t>
            </w:r>
            <w:r w:rsidRPr="000D1B2A">
              <w:rPr>
                <w:rFonts w:asciiTheme="majorHAnsi" w:eastAsia="Times New Roman" w:hAnsiTheme="majorHAnsi" w:cstheme="majorHAnsi"/>
                <w:sz w:val="18"/>
                <w:szCs w:val="18"/>
              </w:rPr>
              <w:t>5</w:t>
            </w:r>
          </w:p>
        </w:tc>
      </w:tr>
    </w:tbl>
    <w:p w:rsidR="00C30B73" w:rsidRDefault="00C30B73" w:rsidP="000C32FC">
      <w:pPr>
        <w:rPr>
          <w:b/>
          <w:sz w:val="20"/>
          <w:szCs w:val="20"/>
        </w:rPr>
      </w:pPr>
    </w:p>
    <w:p w:rsidR="00C30B73" w:rsidRPr="00B22AFE" w:rsidRDefault="00C30B73" w:rsidP="00C30B73">
      <w:pPr>
        <w:spacing w:before="120" w:after="0"/>
        <w:rPr>
          <w:rFonts w:eastAsiaTheme="minorHAnsi"/>
          <w:szCs w:val="24"/>
        </w:rPr>
      </w:pPr>
      <w:r w:rsidRPr="00B22AFE">
        <w:rPr>
          <w:rFonts w:eastAsiaTheme="minorHAnsi"/>
          <w:szCs w:val="24"/>
        </w:rPr>
        <w:t xml:space="preserve">Индикаторът </w:t>
      </w:r>
      <w:r w:rsidRPr="00C30B73">
        <w:rPr>
          <w:rFonts w:eastAsiaTheme="minorHAnsi"/>
          <w:i/>
          <w:szCs w:val="24"/>
        </w:rPr>
        <w:t>Преки чуждестранни инвестиции</w:t>
      </w:r>
      <w:r w:rsidRPr="00B22AFE">
        <w:rPr>
          <w:rFonts w:eastAsiaTheme="minorHAnsi"/>
          <w:szCs w:val="24"/>
        </w:rPr>
        <w:t xml:space="preserve"> представлява вложенията, включващи дългосрочни отношения, отразяващи дълготрайния интерес на резидент на чуждестранна икономика (чуждестранен пряк инвеститор) в предприятие – резидент на българската икономика (инвестиционно предприятие). Пряката инвестиция включва както първоначалната трансакция между двата субекта, така и всички последващи трансакции между тях.</w:t>
      </w:r>
    </w:p>
    <w:p w:rsidR="00C30B73" w:rsidRPr="00B22AFE" w:rsidRDefault="00C30B73" w:rsidP="00C30B73">
      <w:pPr>
        <w:spacing w:before="120" w:after="0"/>
        <w:rPr>
          <w:rFonts w:eastAsiaTheme="minorHAnsi"/>
          <w:szCs w:val="24"/>
        </w:rPr>
      </w:pPr>
      <w:r w:rsidRPr="00B22AFE">
        <w:rPr>
          <w:rFonts w:eastAsiaTheme="minorHAnsi"/>
          <w:szCs w:val="24"/>
        </w:rPr>
        <w:t>Преките инвестиции са част от платежния баланс на страната и отразяват движението на капитали от и към чужбина. Те отразяват индиректно атрактивността на условията за бизнес в България и перспективите за тяхното развитие. Преките чуждестранни инвестиции са свързани с въвеждането на иновации, както и повишаването на про</w:t>
      </w:r>
      <w:r w:rsidR="002672E0">
        <w:rPr>
          <w:rFonts w:eastAsiaTheme="minorHAnsi"/>
          <w:szCs w:val="24"/>
        </w:rPr>
        <w:t xml:space="preserve">изводителността на труда </w:t>
      </w:r>
      <w:r w:rsidRPr="00B22AFE">
        <w:rPr>
          <w:rFonts w:eastAsiaTheme="minorHAnsi"/>
          <w:szCs w:val="24"/>
        </w:rPr>
        <w:t>и конкурентоспособността на икономиката.</w:t>
      </w:r>
    </w:p>
    <w:p w:rsidR="000C32FC" w:rsidRPr="000C32FC" w:rsidRDefault="000C32FC" w:rsidP="003A1BE2">
      <w:pPr>
        <w:spacing w:after="0"/>
        <w:rPr>
          <w:rFonts w:eastAsiaTheme="minorHAnsi"/>
          <w:szCs w:val="24"/>
        </w:rPr>
      </w:pPr>
    </w:p>
    <w:p w:rsidR="000C32FC" w:rsidRPr="00401CCB" w:rsidRDefault="000C32FC" w:rsidP="003403BF">
      <w:pPr>
        <w:pStyle w:val="Heading4"/>
        <w:numPr>
          <w:ilvl w:val="3"/>
          <w:numId w:val="32"/>
        </w:numPr>
        <w:rPr>
          <w:rFonts w:eastAsia="Times New Roman"/>
        </w:rPr>
      </w:pPr>
      <w:r w:rsidRPr="00401CCB">
        <w:rPr>
          <w:rFonts w:eastAsia="Times New Roman"/>
        </w:rPr>
        <w:t>Политика в областта  на ефективното външноикономическо сътрудничество</w:t>
      </w:r>
    </w:p>
    <w:p w:rsidR="00C30B73" w:rsidRDefault="00C30B73" w:rsidP="000C32FC">
      <w:pPr>
        <w:spacing w:before="120" w:after="0"/>
        <w:rPr>
          <w:rFonts w:eastAsiaTheme="minorHAnsi"/>
          <w:szCs w:val="24"/>
        </w:rPr>
      </w:pPr>
    </w:p>
    <w:p w:rsidR="00C30B73" w:rsidRPr="00C30B73" w:rsidRDefault="00C30B73" w:rsidP="00C30B73">
      <w:pPr>
        <w:spacing w:before="120" w:after="0"/>
        <w:rPr>
          <w:rFonts w:eastAsiaTheme="minorHAnsi"/>
          <w:szCs w:val="24"/>
        </w:rPr>
      </w:pPr>
      <w:r w:rsidRPr="00C30B73">
        <w:rPr>
          <w:rFonts w:eastAsiaTheme="minorHAnsi"/>
          <w:szCs w:val="24"/>
        </w:rPr>
        <w:t xml:space="preserve">Политиката e решаваща за устойчивото икономическо развитие на страната и подобряване на конкурентоспособността на българските предприятия. Постигането на ръст на износа и привличането на инвестиции са важни за технологичната модернизация и обновяването на производството, за развитието на иновативни продукти и услуги, за подобряване на конкурентоспособността и постигането по този начин на целите за ускорен растеж и нови работни места. </w:t>
      </w:r>
    </w:p>
    <w:p w:rsidR="00C30B73" w:rsidRPr="00C30B73" w:rsidRDefault="00C30B73" w:rsidP="00C30B73">
      <w:pPr>
        <w:spacing w:before="120" w:after="0"/>
        <w:rPr>
          <w:rFonts w:eastAsiaTheme="minorHAnsi"/>
          <w:szCs w:val="24"/>
        </w:rPr>
      </w:pPr>
      <w:r w:rsidRPr="00C30B73">
        <w:rPr>
          <w:rFonts w:eastAsiaTheme="minorHAnsi"/>
          <w:szCs w:val="24"/>
        </w:rPr>
        <w:t>Свободният достъп до пазари на трети страни и преките чуждестранни инвестиции са едни от основните външни източници за осигуряване на устойчив растеж, основан на експортното ориентиране и повишаване на конкурентоспособността на българската икономика.</w:t>
      </w:r>
    </w:p>
    <w:p w:rsidR="00C30B73" w:rsidRPr="00C30B73" w:rsidRDefault="00C30B73" w:rsidP="00C30B73">
      <w:pPr>
        <w:spacing w:before="120" w:after="0"/>
        <w:rPr>
          <w:rFonts w:eastAsiaTheme="minorHAnsi"/>
          <w:szCs w:val="24"/>
        </w:rPr>
      </w:pPr>
      <w:r w:rsidRPr="00C30B73">
        <w:rPr>
          <w:rFonts w:eastAsiaTheme="minorHAnsi"/>
          <w:szCs w:val="24"/>
        </w:rPr>
        <w:t xml:space="preserve">За постигане на целите на политиката за ефективно външноикономическо сътрудничество, Министерството на икономиката продължава да прилага мерки за насърчаване на износа, привличане на инвестиции, подобряване на пазарния достъп и условията, в които българските компании се конкурират на външните пазари. </w:t>
      </w:r>
    </w:p>
    <w:p w:rsidR="00C30B73" w:rsidRPr="00C30B73" w:rsidRDefault="00C30B73" w:rsidP="00C30B73">
      <w:pPr>
        <w:spacing w:before="120" w:after="0"/>
        <w:rPr>
          <w:rFonts w:eastAsiaTheme="minorHAnsi"/>
          <w:szCs w:val="24"/>
        </w:rPr>
      </w:pPr>
      <w:r w:rsidRPr="00C30B73">
        <w:rPr>
          <w:rFonts w:eastAsiaTheme="minorHAnsi"/>
          <w:szCs w:val="24"/>
        </w:rPr>
        <w:t>Министерството на икономиката продължава активно да участва в процеса на формиране и прилагане на Общата търговска п</w:t>
      </w:r>
      <w:r w:rsidR="00E60644">
        <w:rPr>
          <w:rFonts w:eastAsiaTheme="minorHAnsi"/>
          <w:szCs w:val="24"/>
        </w:rPr>
        <w:t>олитика на Европейския съюз</w:t>
      </w:r>
      <w:r w:rsidRPr="00C30B73">
        <w:rPr>
          <w:rFonts w:eastAsiaTheme="minorHAnsi"/>
          <w:szCs w:val="24"/>
        </w:rPr>
        <w:t xml:space="preserve"> и по-конкретно за защита на българските приоритети и интереси по достъпа до пазара на стоки и услуги, инвестиции, обществени поръчки и други в рамките на водените от ЕС двустранни преговори за търговска либерализация и насърчаване на инвестициите с приоритетни партньори, както и в многостранните търговски преговори в Световната търговска организация и подготовка за присъединяване на Република България към Организацията за икономическо сътрудничество и развитие.</w:t>
      </w:r>
    </w:p>
    <w:p w:rsidR="00C30B73" w:rsidRDefault="00C30B73" w:rsidP="000C32FC">
      <w:pPr>
        <w:spacing w:before="120" w:after="0"/>
        <w:rPr>
          <w:rFonts w:eastAsiaTheme="minorHAnsi"/>
          <w:szCs w:val="24"/>
        </w:rPr>
      </w:pPr>
    </w:p>
    <w:p w:rsidR="000C32FC" w:rsidRPr="00C30B73" w:rsidRDefault="000C32FC" w:rsidP="00C30B73">
      <w:pPr>
        <w:rPr>
          <w:b/>
          <w:sz w:val="20"/>
          <w:szCs w:val="20"/>
        </w:rPr>
      </w:pPr>
      <w:r w:rsidRPr="000C32FC">
        <w:rPr>
          <w:b/>
          <w:sz w:val="20"/>
          <w:szCs w:val="20"/>
        </w:rPr>
        <w:t>КЛЮЧОВИ ИНДИКАТОРИ З</w:t>
      </w:r>
      <w:r w:rsidR="00C30B73">
        <w:rPr>
          <w:b/>
          <w:sz w:val="20"/>
          <w:szCs w:val="20"/>
        </w:rPr>
        <w:t>А ИЗПЪЛНЕНИЕ И ЦЕЛЕВИ СТОЙНОСТИ</w:t>
      </w:r>
    </w:p>
    <w:tbl>
      <w:tblPr>
        <w:tblW w:w="4965" w:type="pct"/>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3278"/>
        <w:gridCol w:w="944"/>
        <w:gridCol w:w="1167"/>
        <w:gridCol w:w="1308"/>
        <w:gridCol w:w="1328"/>
        <w:gridCol w:w="982"/>
      </w:tblGrid>
      <w:tr w:rsidR="00C30B73" w:rsidRPr="009F1DB9" w:rsidTr="008C1CE3">
        <w:trPr>
          <w:trHeight w:val="255"/>
          <w:tblHeader/>
        </w:trPr>
        <w:tc>
          <w:tcPr>
            <w:tcW w:w="1820" w:type="pct"/>
            <w:tcBorders>
              <w:bottom w:val="nil"/>
            </w:tcBorders>
            <w:shd w:val="clear" w:color="auto" w:fill="auto"/>
            <w:vAlign w:val="center"/>
          </w:tcPr>
          <w:p w:rsidR="00C30B73" w:rsidRPr="009F1DB9" w:rsidRDefault="00C30B73" w:rsidP="00B178B0">
            <w:pPr>
              <w:spacing w:after="0"/>
              <w:jc w:val="center"/>
              <w:rPr>
                <w:rFonts w:cs="Times New Roman"/>
                <w:b/>
                <w:i/>
                <w:iCs/>
                <w:sz w:val="18"/>
                <w:szCs w:val="18"/>
              </w:rPr>
            </w:pPr>
            <w:r>
              <w:rPr>
                <w:rFonts w:cs="Times New Roman"/>
                <w:b/>
                <w:i/>
                <w:iCs/>
                <w:sz w:val="18"/>
                <w:szCs w:val="18"/>
              </w:rPr>
              <w:t>Политика в областта на е</w:t>
            </w:r>
            <w:r w:rsidRPr="009F1DB9">
              <w:rPr>
                <w:rFonts w:cs="Times New Roman"/>
                <w:b/>
                <w:i/>
                <w:iCs/>
                <w:sz w:val="18"/>
                <w:szCs w:val="18"/>
              </w:rPr>
              <w:t>фективно</w:t>
            </w:r>
            <w:r>
              <w:rPr>
                <w:rFonts w:cs="Times New Roman"/>
                <w:b/>
                <w:i/>
                <w:iCs/>
                <w:sz w:val="18"/>
                <w:szCs w:val="18"/>
              </w:rPr>
              <w:t>то</w:t>
            </w:r>
            <w:r w:rsidRPr="009F1DB9">
              <w:rPr>
                <w:rFonts w:cs="Times New Roman"/>
                <w:b/>
                <w:i/>
                <w:iCs/>
                <w:sz w:val="18"/>
                <w:szCs w:val="18"/>
              </w:rPr>
              <w:t xml:space="preserve"> външноикономическо сътрудничество</w:t>
            </w:r>
          </w:p>
        </w:tc>
        <w:tc>
          <w:tcPr>
            <w:tcW w:w="524" w:type="pct"/>
            <w:vMerge w:val="restart"/>
            <w:tcBorders>
              <w:bottom w:val="nil"/>
            </w:tcBorders>
            <w:shd w:val="clear" w:color="auto" w:fill="F2F2F2" w:themeFill="background1" w:themeFillShade="F2"/>
            <w:vAlign w:val="center"/>
          </w:tcPr>
          <w:p w:rsidR="00C30B73" w:rsidRPr="009F1DB9" w:rsidRDefault="00C30B73" w:rsidP="00B178B0">
            <w:pPr>
              <w:keepNext/>
              <w:spacing w:after="0"/>
              <w:jc w:val="center"/>
              <w:rPr>
                <w:rFonts w:cs="Times New Roman"/>
                <w:b/>
                <w:iCs/>
                <w:sz w:val="18"/>
                <w:szCs w:val="18"/>
              </w:rPr>
            </w:pPr>
            <w:r w:rsidRPr="009F1DB9">
              <w:rPr>
                <w:rFonts w:cs="Times New Roman"/>
                <w:b/>
                <w:iCs/>
                <w:sz w:val="18"/>
                <w:szCs w:val="18"/>
              </w:rPr>
              <w:t>Мерна единица</w:t>
            </w:r>
          </w:p>
        </w:tc>
        <w:tc>
          <w:tcPr>
            <w:tcW w:w="2656" w:type="pct"/>
            <w:gridSpan w:val="4"/>
            <w:tcBorders>
              <w:bottom w:val="single" w:sz="4" w:space="0" w:color="auto"/>
            </w:tcBorders>
            <w:shd w:val="clear" w:color="auto" w:fill="auto"/>
            <w:vAlign w:val="center"/>
          </w:tcPr>
          <w:p w:rsidR="00C30B73" w:rsidRPr="006F2CDA" w:rsidRDefault="00C30B73" w:rsidP="00B178B0">
            <w:pPr>
              <w:keepNext/>
              <w:spacing w:after="0"/>
              <w:jc w:val="center"/>
              <w:rPr>
                <w:rFonts w:cs="Times New Roman"/>
                <w:b/>
                <w:iCs/>
                <w:sz w:val="18"/>
                <w:szCs w:val="18"/>
              </w:rPr>
            </w:pPr>
            <w:r w:rsidRPr="006F2CDA">
              <w:rPr>
                <w:rFonts w:cs="Times New Roman"/>
                <w:b/>
                <w:iCs/>
                <w:sz w:val="18"/>
                <w:szCs w:val="18"/>
              </w:rPr>
              <w:t>Целева стойност</w:t>
            </w:r>
          </w:p>
        </w:tc>
      </w:tr>
      <w:tr w:rsidR="00C30B73" w:rsidRPr="009F1DB9" w:rsidTr="008C1CE3">
        <w:trPr>
          <w:trHeight w:val="450"/>
          <w:tblHeader/>
        </w:trPr>
        <w:tc>
          <w:tcPr>
            <w:tcW w:w="1820" w:type="pct"/>
            <w:tcBorders>
              <w:top w:val="nil"/>
              <w:bottom w:val="single" w:sz="4" w:space="0" w:color="auto"/>
            </w:tcBorders>
            <w:shd w:val="clear" w:color="auto" w:fill="auto"/>
            <w:vAlign w:val="center"/>
          </w:tcPr>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Наименование на индикатора</w:t>
            </w:r>
          </w:p>
        </w:tc>
        <w:tc>
          <w:tcPr>
            <w:tcW w:w="524" w:type="pct"/>
            <w:vMerge/>
            <w:tcBorders>
              <w:top w:val="nil"/>
              <w:bottom w:val="single" w:sz="4" w:space="0" w:color="auto"/>
            </w:tcBorders>
            <w:shd w:val="clear" w:color="auto" w:fill="F2F2F2" w:themeFill="background1" w:themeFillShade="F2"/>
            <w:vAlign w:val="center"/>
          </w:tcPr>
          <w:p w:rsidR="00C30B73" w:rsidRPr="009F1DB9" w:rsidRDefault="00C30B73" w:rsidP="00B178B0">
            <w:pPr>
              <w:keepNext/>
              <w:spacing w:after="0"/>
              <w:jc w:val="center"/>
              <w:rPr>
                <w:rFonts w:cs="Times New Roman"/>
                <w:i/>
                <w:iCs/>
                <w:sz w:val="18"/>
                <w:szCs w:val="18"/>
              </w:rPr>
            </w:pPr>
          </w:p>
        </w:tc>
        <w:tc>
          <w:tcPr>
            <w:tcW w:w="648" w:type="pct"/>
            <w:tcBorders>
              <w:top w:val="single" w:sz="4" w:space="0" w:color="auto"/>
              <w:bottom w:val="single" w:sz="4" w:space="0" w:color="auto"/>
            </w:tcBorders>
            <w:shd w:val="clear" w:color="auto" w:fill="auto"/>
            <w:vAlign w:val="center"/>
          </w:tcPr>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Програма 2019 г.</w:t>
            </w:r>
          </w:p>
        </w:tc>
        <w:tc>
          <w:tcPr>
            <w:tcW w:w="726" w:type="pct"/>
            <w:tcBorders>
              <w:top w:val="single" w:sz="4" w:space="0" w:color="auto"/>
              <w:bottom w:val="single" w:sz="4" w:space="0" w:color="auto"/>
            </w:tcBorders>
            <w:shd w:val="clear" w:color="auto" w:fill="auto"/>
            <w:vAlign w:val="center"/>
          </w:tcPr>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Проект</w:t>
            </w:r>
          </w:p>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2020 г.</w:t>
            </w:r>
          </w:p>
        </w:tc>
        <w:tc>
          <w:tcPr>
            <w:tcW w:w="737" w:type="pct"/>
            <w:tcBorders>
              <w:top w:val="single" w:sz="4" w:space="0" w:color="auto"/>
              <w:bottom w:val="single" w:sz="4" w:space="0" w:color="auto"/>
            </w:tcBorders>
            <w:shd w:val="clear" w:color="auto" w:fill="auto"/>
            <w:vAlign w:val="center"/>
          </w:tcPr>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Прогноза</w:t>
            </w:r>
          </w:p>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2021 г.</w:t>
            </w:r>
          </w:p>
        </w:tc>
        <w:tc>
          <w:tcPr>
            <w:tcW w:w="545" w:type="pct"/>
            <w:tcBorders>
              <w:top w:val="single" w:sz="4" w:space="0" w:color="auto"/>
              <w:bottom w:val="single" w:sz="4" w:space="0" w:color="auto"/>
            </w:tcBorders>
            <w:shd w:val="clear" w:color="auto" w:fill="auto"/>
            <w:vAlign w:val="center"/>
          </w:tcPr>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Прогноза</w:t>
            </w:r>
          </w:p>
          <w:p w:rsidR="00C30B73" w:rsidRPr="009F1DB9" w:rsidRDefault="00C30B73" w:rsidP="00B178B0">
            <w:pPr>
              <w:keepNext/>
              <w:spacing w:after="0"/>
              <w:jc w:val="center"/>
              <w:rPr>
                <w:rFonts w:cs="Times New Roman"/>
                <w:b/>
                <w:i/>
                <w:iCs/>
                <w:sz w:val="18"/>
                <w:szCs w:val="18"/>
              </w:rPr>
            </w:pPr>
            <w:r w:rsidRPr="009F1DB9">
              <w:rPr>
                <w:rFonts w:cs="Times New Roman"/>
                <w:b/>
                <w:i/>
                <w:iCs/>
                <w:sz w:val="18"/>
                <w:szCs w:val="18"/>
              </w:rPr>
              <w:t>2022 г.</w:t>
            </w:r>
          </w:p>
        </w:tc>
      </w:tr>
      <w:tr w:rsidR="00C30B73" w:rsidRPr="009F1DB9" w:rsidTr="00B41461">
        <w:trPr>
          <w:trHeight w:val="255"/>
        </w:trPr>
        <w:tc>
          <w:tcPr>
            <w:tcW w:w="1820" w:type="pct"/>
            <w:tcBorders>
              <w:top w:val="single" w:sz="4" w:space="0" w:color="auto"/>
              <w:bottom w:val="nil"/>
            </w:tcBorders>
            <w:shd w:val="clear" w:color="auto" w:fill="auto"/>
            <w:vAlign w:val="center"/>
          </w:tcPr>
          <w:p w:rsidR="00C30B73" w:rsidRPr="000D1B2A"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 Износ на стоки</w:t>
            </w:r>
          </w:p>
        </w:tc>
        <w:tc>
          <w:tcPr>
            <w:tcW w:w="524" w:type="pct"/>
            <w:tcBorders>
              <w:top w:val="single" w:sz="4" w:space="0" w:color="auto"/>
              <w:bottom w:val="nil"/>
            </w:tcBorders>
            <w:shd w:val="clear" w:color="auto" w:fill="F2F2F2" w:themeFill="background1" w:themeFillShade="F2"/>
            <w:vAlign w:val="center"/>
          </w:tcPr>
          <w:p w:rsidR="00C30B73" w:rsidRPr="009F1DB9" w:rsidRDefault="00C30B73" w:rsidP="00B178B0">
            <w:pPr>
              <w:keepNext/>
              <w:spacing w:after="0"/>
              <w:jc w:val="center"/>
              <w:rPr>
                <w:rFonts w:eastAsiaTheme="minorHAnsi"/>
                <w:sz w:val="18"/>
                <w:szCs w:val="18"/>
                <w:lang w:val="en-US"/>
              </w:rPr>
            </w:pPr>
            <w:r w:rsidRPr="009F1DB9">
              <w:rPr>
                <w:rFonts w:eastAsiaTheme="minorHAnsi"/>
                <w:sz w:val="18"/>
                <w:szCs w:val="18"/>
              </w:rPr>
              <w:t>%</w:t>
            </w:r>
          </w:p>
        </w:tc>
        <w:tc>
          <w:tcPr>
            <w:tcW w:w="648" w:type="pct"/>
            <w:tcBorders>
              <w:top w:val="single" w:sz="4" w:space="0" w:color="auto"/>
              <w:bottom w:val="nil"/>
            </w:tcBorders>
            <w:shd w:val="clear" w:color="auto" w:fill="auto"/>
            <w:vAlign w:val="center"/>
          </w:tcPr>
          <w:p w:rsidR="00C30B73" w:rsidRPr="009F1DB9" w:rsidRDefault="00C30B73" w:rsidP="00B178B0">
            <w:pPr>
              <w:keepNext/>
              <w:spacing w:after="0"/>
              <w:jc w:val="center"/>
              <w:rPr>
                <w:rFonts w:eastAsiaTheme="minorHAnsi"/>
                <w:sz w:val="18"/>
                <w:szCs w:val="18"/>
              </w:rPr>
            </w:pPr>
            <w:r w:rsidRPr="009F1DB9">
              <w:rPr>
                <w:rFonts w:eastAsiaTheme="minorHAnsi"/>
                <w:sz w:val="18"/>
                <w:szCs w:val="18"/>
              </w:rPr>
              <w:t>4</w:t>
            </w:r>
            <w:r w:rsidR="00373DF8">
              <w:rPr>
                <w:rFonts w:eastAsiaTheme="minorHAnsi"/>
                <w:sz w:val="18"/>
                <w:szCs w:val="18"/>
              </w:rPr>
              <w:t>,</w:t>
            </w:r>
            <w:r w:rsidRPr="009F1DB9">
              <w:rPr>
                <w:rFonts w:eastAsiaTheme="minorHAnsi"/>
                <w:sz w:val="18"/>
                <w:szCs w:val="18"/>
              </w:rPr>
              <w:t>7</w:t>
            </w:r>
          </w:p>
        </w:tc>
        <w:tc>
          <w:tcPr>
            <w:tcW w:w="726" w:type="pct"/>
            <w:tcBorders>
              <w:top w:val="single" w:sz="4" w:space="0" w:color="auto"/>
              <w:bottom w:val="nil"/>
            </w:tcBorders>
            <w:shd w:val="clear" w:color="auto" w:fill="auto"/>
            <w:vAlign w:val="center"/>
          </w:tcPr>
          <w:p w:rsidR="00C30B73" w:rsidRPr="009F1DB9" w:rsidRDefault="00C30B73" w:rsidP="00B178B0">
            <w:pPr>
              <w:keepNext/>
              <w:spacing w:after="0"/>
              <w:jc w:val="center"/>
              <w:rPr>
                <w:rFonts w:eastAsiaTheme="minorHAnsi"/>
                <w:sz w:val="18"/>
                <w:szCs w:val="18"/>
              </w:rPr>
            </w:pPr>
            <w:r w:rsidRPr="009F1DB9">
              <w:rPr>
                <w:rFonts w:eastAsiaTheme="minorHAnsi"/>
                <w:sz w:val="18"/>
                <w:szCs w:val="18"/>
              </w:rPr>
              <w:t>4</w:t>
            </w:r>
            <w:r w:rsidR="00373DF8">
              <w:rPr>
                <w:rFonts w:eastAsiaTheme="minorHAnsi"/>
                <w:sz w:val="18"/>
                <w:szCs w:val="18"/>
              </w:rPr>
              <w:t>,</w:t>
            </w:r>
            <w:r w:rsidRPr="009F1DB9">
              <w:rPr>
                <w:rFonts w:eastAsiaTheme="minorHAnsi"/>
                <w:sz w:val="18"/>
                <w:szCs w:val="18"/>
              </w:rPr>
              <w:t>7</w:t>
            </w:r>
          </w:p>
        </w:tc>
        <w:tc>
          <w:tcPr>
            <w:tcW w:w="737" w:type="pct"/>
            <w:tcBorders>
              <w:top w:val="single" w:sz="4" w:space="0" w:color="auto"/>
              <w:bottom w:val="nil"/>
            </w:tcBorders>
            <w:shd w:val="clear" w:color="auto" w:fill="auto"/>
            <w:vAlign w:val="center"/>
          </w:tcPr>
          <w:p w:rsidR="00C30B73" w:rsidRPr="009F1DB9" w:rsidRDefault="002672E0" w:rsidP="00373DF8">
            <w:pPr>
              <w:keepNext/>
              <w:spacing w:after="0"/>
              <w:jc w:val="center"/>
              <w:rPr>
                <w:rFonts w:eastAsiaTheme="minorHAnsi"/>
                <w:sz w:val="18"/>
                <w:szCs w:val="18"/>
              </w:rPr>
            </w:pPr>
            <w:r>
              <w:rPr>
                <w:rFonts w:eastAsiaTheme="minorHAnsi"/>
                <w:sz w:val="18"/>
                <w:szCs w:val="18"/>
              </w:rPr>
              <w:t>4</w:t>
            </w:r>
            <w:r w:rsidR="00373DF8">
              <w:rPr>
                <w:rFonts w:eastAsiaTheme="minorHAnsi"/>
                <w:sz w:val="18"/>
                <w:szCs w:val="18"/>
              </w:rPr>
              <w:t>,</w:t>
            </w:r>
            <w:r>
              <w:rPr>
                <w:rFonts w:eastAsiaTheme="minorHAnsi"/>
                <w:sz w:val="18"/>
                <w:szCs w:val="18"/>
              </w:rPr>
              <w:t>6</w:t>
            </w:r>
          </w:p>
        </w:tc>
        <w:tc>
          <w:tcPr>
            <w:tcW w:w="545" w:type="pct"/>
            <w:tcBorders>
              <w:top w:val="single" w:sz="4" w:space="0" w:color="auto"/>
              <w:bottom w:val="nil"/>
            </w:tcBorders>
            <w:shd w:val="clear" w:color="auto" w:fill="auto"/>
            <w:vAlign w:val="center"/>
          </w:tcPr>
          <w:p w:rsidR="00C30B73" w:rsidRPr="009F1DB9" w:rsidRDefault="00C30B73" w:rsidP="00B178B0">
            <w:pPr>
              <w:keepNext/>
              <w:spacing w:after="0"/>
              <w:jc w:val="center"/>
              <w:rPr>
                <w:rFonts w:eastAsiaTheme="minorHAnsi"/>
                <w:sz w:val="18"/>
                <w:szCs w:val="18"/>
              </w:rPr>
            </w:pPr>
            <w:r w:rsidRPr="009F1DB9">
              <w:rPr>
                <w:rFonts w:eastAsiaTheme="minorHAnsi"/>
                <w:sz w:val="18"/>
                <w:szCs w:val="18"/>
              </w:rPr>
              <w:t>2</w:t>
            </w:r>
            <w:r w:rsidR="00373DF8">
              <w:rPr>
                <w:rFonts w:eastAsiaTheme="minorHAnsi"/>
                <w:sz w:val="18"/>
                <w:szCs w:val="18"/>
              </w:rPr>
              <w:t>,</w:t>
            </w:r>
            <w:r w:rsidRPr="009F1DB9">
              <w:rPr>
                <w:rFonts w:eastAsiaTheme="minorHAnsi"/>
                <w:sz w:val="18"/>
                <w:szCs w:val="18"/>
              </w:rPr>
              <w:t>2</w:t>
            </w:r>
          </w:p>
        </w:tc>
      </w:tr>
      <w:tr w:rsidR="00C30B73" w:rsidRPr="009F1DB9" w:rsidTr="006B367D">
        <w:trPr>
          <w:trHeight w:val="255"/>
        </w:trPr>
        <w:tc>
          <w:tcPr>
            <w:tcW w:w="1820" w:type="pct"/>
            <w:tcBorders>
              <w:top w:val="nil"/>
            </w:tcBorders>
            <w:shd w:val="clear" w:color="auto" w:fill="auto"/>
            <w:vAlign w:val="center"/>
          </w:tcPr>
          <w:p w:rsidR="00C30B73" w:rsidRPr="000D1B2A"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2. Внос на стоки</w:t>
            </w:r>
          </w:p>
        </w:tc>
        <w:tc>
          <w:tcPr>
            <w:tcW w:w="524" w:type="pct"/>
            <w:tcBorders>
              <w:top w:val="nil"/>
            </w:tcBorders>
            <w:shd w:val="clear" w:color="auto" w:fill="F2F2F2" w:themeFill="background1" w:themeFillShade="F2"/>
            <w:vAlign w:val="center"/>
          </w:tcPr>
          <w:p w:rsidR="00C30B73" w:rsidRPr="009F1DB9" w:rsidRDefault="00C30B73" w:rsidP="00B178B0">
            <w:pPr>
              <w:keepNext/>
              <w:spacing w:after="0"/>
              <w:jc w:val="center"/>
              <w:rPr>
                <w:rFonts w:eastAsiaTheme="minorHAnsi"/>
                <w:sz w:val="18"/>
                <w:szCs w:val="18"/>
                <w:lang w:val="en-US"/>
              </w:rPr>
            </w:pPr>
            <w:r w:rsidRPr="009F1DB9">
              <w:rPr>
                <w:rFonts w:eastAsiaTheme="minorHAnsi"/>
                <w:sz w:val="18"/>
                <w:szCs w:val="18"/>
              </w:rPr>
              <w:t>%</w:t>
            </w:r>
          </w:p>
        </w:tc>
        <w:tc>
          <w:tcPr>
            <w:tcW w:w="648" w:type="pct"/>
            <w:tcBorders>
              <w:top w:val="nil"/>
            </w:tcBorders>
            <w:shd w:val="clear" w:color="auto" w:fill="auto"/>
            <w:vAlign w:val="center"/>
          </w:tcPr>
          <w:p w:rsidR="00C30B73" w:rsidRPr="009F1DB9" w:rsidRDefault="00C30B73" w:rsidP="00B178B0">
            <w:pPr>
              <w:keepNext/>
              <w:spacing w:after="0"/>
              <w:jc w:val="center"/>
              <w:rPr>
                <w:rFonts w:eastAsiaTheme="minorHAnsi"/>
                <w:sz w:val="18"/>
                <w:szCs w:val="18"/>
              </w:rPr>
            </w:pPr>
            <w:r w:rsidRPr="009F1DB9">
              <w:rPr>
                <w:rFonts w:eastAsiaTheme="minorHAnsi"/>
                <w:sz w:val="18"/>
                <w:szCs w:val="18"/>
              </w:rPr>
              <w:t>5</w:t>
            </w:r>
            <w:r w:rsidR="00373DF8">
              <w:rPr>
                <w:rFonts w:eastAsiaTheme="minorHAnsi"/>
                <w:sz w:val="18"/>
                <w:szCs w:val="18"/>
              </w:rPr>
              <w:t>,</w:t>
            </w:r>
            <w:r w:rsidRPr="009F1DB9">
              <w:rPr>
                <w:rFonts w:eastAsiaTheme="minorHAnsi"/>
                <w:sz w:val="18"/>
                <w:szCs w:val="18"/>
              </w:rPr>
              <w:t>9</w:t>
            </w:r>
          </w:p>
        </w:tc>
        <w:tc>
          <w:tcPr>
            <w:tcW w:w="726" w:type="pct"/>
            <w:tcBorders>
              <w:top w:val="nil"/>
            </w:tcBorders>
            <w:shd w:val="clear" w:color="auto" w:fill="auto"/>
            <w:vAlign w:val="center"/>
          </w:tcPr>
          <w:p w:rsidR="00C30B73" w:rsidRPr="009F1DB9" w:rsidRDefault="00C30B73" w:rsidP="00B178B0">
            <w:pPr>
              <w:keepNext/>
              <w:spacing w:after="0"/>
              <w:jc w:val="center"/>
              <w:rPr>
                <w:rFonts w:eastAsiaTheme="minorHAnsi"/>
                <w:sz w:val="18"/>
                <w:szCs w:val="18"/>
              </w:rPr>
            </w:pPr>
            <w:r w:rsidRPr="009F1DB9">
              <w:rPr>
                <w:rFonts w:eastAsiaTheme="minorHAnsi"/>
                <w:sz w:val="18"/>
                <w:szCs w:val="18"/>
              </w:rPr>
              <w:t>5</w:t>
            </w:r>
            <w:r w:rsidR="00373DF8">
              <w:rPr>
                <w:rFonts w:eastAsiaTheme="minorHAnsi"/>
                <w:sz w:val="18"/>
                <w:szCs w:val="18"/>
              </w:rPr>
              <w:t>,</w:t>
            </w:r>
            <w:r w:rsidRPr="009F1DB9">
              <w:rPr>
                <w:rFonts w:eastAsiaTheme="minorHAnsi"/>
                <w:sz w:val="18"/>
                <w:szCs w:val="18"/>
              </w:rPr>
              <w:t>9</w:t>
            </w:r>
          </w:p>
        </w:tc>
        <w:tc>
          <w:tcPr>
            <w:tcW w:w="737" w:type="pct"/>
            <w:tcBorders>
              <w:top w:val="nil"/>
            </w:tcBorders>
            <w:shd w:val="clear" w:color="auto" w:fill="auto"/>
            <w:vAlign w:val="center"/>
          </w:tcPr>
          <w:p w:rsidR="00C30B73" w:rsidRPr="009F1DB9" w:rsidRDefault="00C30B73" w:rsidP="00B178B0">
            <w:pPr>
              <w:keepNext/>
              <w:spacing w:after="0"/>
              <w:jc w:val="center"/>
              <w:rPr>
                <w:rFonts w:eastAsiaTheme="minorHAnsi"/>
                <w:sz w:val="18"/>
                <w:szCs w:val="18"/>
              </w:rPr>
            </w:pPr>
            <w:r w:rsidRPr="009F1DB9">
              <w:rPr>
                <w:rFonts w:eastAsiaTheme="minorHAnsi"/>
                <w:sz w:val="18"/>
                <w:szCs w:val="18"/>
              </w:rPr>
              <w:t>5</w:t>
            </w:r>
            <w:r w:rsidR="00373DF8">
              <w:rPr>
                <w:rFonts w:eastAsiaTheme="minorHAnsi"/>
                <w:sz w:val="18"/>
                <w:szCs w:val="18"/>
              </w:rPr>
              <w:t>,</w:t>
            </w:r>
            <w:r w:rsidRPr="009F1DB9">
              <w:rPr>
                <w:rFonts w:eastAsiaTheme="minorHAnsi"/>
                <w:sz w:val="18"/>
                <w:szCs w:val="18"/>
              </w:rPr>
              <w:t>8</w:t>
            </w:r>
          </w:p>
        </w:tc>
        <w:tc>
          <w:tcPr>
            <w:tcW w:w="545" w:type="pct"/>
            <w:tcBorders>
              <w:top w:val="nil"/>
            </w:tcBorders>
            <w:shd w:val="clear" w:color="auto" w:fill="auto"/>
            <w:vAlign w:val="center"/>
          </w:tcPr>
          <w:p w:rsidR="00C30B73" w:rsidRPr="009F1DB9" w:rsidRDefault="00C30B73" w:rsidP="00B178B0">
            <w:pPr>
              <w:keepNext/>
              <w:spacing w:after="0"/>
              <w:jc w:val="center"/>
              <w:rPr>
                <w:rFonts w:eastAsiaTheme="minorHAnsi"/>
                <w:sz w:val="18"/>
                <w:szCs w:val="18"/>
              </w:rPr>
            </w:pPr>
            <w:r w:rsidRPr="009F1DB9">
              <w:rPr>
                <w:rFonts w:eastAsiaTheme="minorHAnsi"/>
                <w:sz w:val="18"/>
                <w:szCs w:val="18"/>
              </w:rPr>
              <w:t>4</w:t>
            </w:r>
            <w:r w:rsidR="00373DF8">
              <w:rPr>
                <w:rFonts w:eastAsiaTheme="minorHAnsi"/>
                <w:sz w:val="18"/>
                <w:szCs w:val="18"/>
              </w:rPr>
              <w:t>,</w:t>
            </w:r>
            <w:r w:rsidRPr="009F1DB9">
              <w:rPr>
                <w:rFonts w:eastAsiaTheme="minorHAnsi"/>
                <w:sz w:val="18"/>
                <w:szCs w:val="18"/>
              </w:rPr>
              <w:t>7</w:t>
            </w:r>
          </w:p>
        </w:tc>
      </w:tr>
    </w:tbl>
    <w:p w:rsidR="00C30B73" w:rsidRDefault="00C30B73" w:rsidP="000C32FC">
      <w:pPr>
        <w:tabs>
          <w:tab w:val="left" w:pos="1134"/>
        </w:tabs>
        <w:spacing w:after="0"/>
        <w:ind w:firstLine="709"/>
        <w:rPr>
          <w:rFonts w:eastAsiaTheme="minorHAnsi"/>
          <w:szCs w:val="24"/>
        </w:rPr>
      </w:pPr>
    </w:p>
    <w:p w:rsidR="00C30B73" w:rsidRPr="00AF0689" w:rsidRDefault="00C30B73" w:rsidP="00C30B73">
      <w:pPr>
        <w:tabs>
          <w:tab w:val="left" w:pos="1134"/>
        </w:tabs>
        <w:spacing w:before="120" w:after="0"/>
        <w:rPr>
          <w:szCs w:val="24"/>
        </w:rPr>
      </w:pPr>
      <w:r w:rsidRPr="00B22AFE">
        <w:rPr>
          <w:rFonts w:eastAsiaTheme="minorHAnsi"/>
          <w:szCs w:val="24"/>
        </w:rPr>
        <w:t xml:space="preserve">Износът на стоки е основен двигател на икономическия ръст на страната. Цел са </w:t>
      </w:r>
      <w:r w:rsidRPr="00AF0689">
        <w:rPr>
          <w:rFonts w:eastAsiaTheme="minorHAnsi"/>
          <w:szCs w:val="24"/>
        </w:rPr>
        <w:t xml:space="preserve">създаването на благоприятни условия за разширяване присъствието на български стоки и услуги и българските компании на чужди пазари, разширяване на икономическото сътрудничество с партньорите на институционално ниво и създаване на предпоставки за улесняване на бизнеса и разширяване на бизнес контактите, организиране на прояви, като бизнес форуми, търговски мисии, участие в специализирани изложби в страната и чужбина, за представяне на потенциала на българските фирми и предлаганите стоки и услуги, стимулиране външнотърговския капацитет и конкурентоспособността на българските фирми на външните пазари чрез повишаване квалификацията на малките и средни предприятия (МСП) в областта на външната търговия. </w:t>
      </w:r>
      <w:r w:rsidRPr="00AF0689">
        <w:rPr>
          <w:szCs w:val="24"/>
        </w:rPr>
        <w:t>Отчита</w:t>
      </w:r>
      <w:r>
        <w:rPr>
          <w:szCs w:val="24"/>
        </w:rPr>
        <w:t xml:space="preserve">т се </w:t>
      </w:r>
      <w:r w:rsidRPr="00AF0689">
        <w:rPr>
          <w:szCs w:val="24"/>
        </w:rPr>
        <w:t>сравнителните и конкурентните предимства на българските стоки и фирми на външните пазари</w:t>
      </w:r>
      <w:r>
        <w:rPr>
          <w:szCs w:val="24"/>
        </w:rPr>
        <w:t>.</w:t>
      </w:r>
    </w:p>
    <w:p w:rsidR="00C30B73" w:rsidRPr="00B22AFE" w:rsidRDefault="00C30B73" w:rsidP="00C30B73">
      <w:pPr>
        <w:spacing w:before="120" w:after="0"/>
        <w:rPr>
          <w:rFonts w:eastAsiaTheme="minorHAnsi"/>
          <w:szCs w:val="24"/>
        </w:rPr>
      </w:pPr>
      <w:r w:rsidRPr="00B22AFE">
        <w:rPr>
          <w:rFonts w:eastAsiaTheme="minorHAnsi"/>
          <w:szCs w:val="24"/>
        </w:rPr>
        <w:t>Вносът на стоки осигурява основните ресурси за икономическото развитие на страната. Важно е облекчението на бизнеса и привличането на нови партньори, които имат потенциал не само за внос, но и инвестиране. Внасят се стоки, за които България няма конкурентни предимства в производството им у нас, инвестиционни стоки – високотехнологични машини и съоръжения, транспортни сред</w:t>
      </w:r>
      <w:r w:rsidR="00B41461">
        <w:rPr>
          <w:rFonts w:eastAsiaTheme="minorHAnsi"/>
          <w:szCs w:val="24"/>
        </w:rPr>
        <w:t xml:space="preserve">ства, резервни части, лицензи, </w:t>
      </w:r>
      <w:r w:rsidRPr="00B22AFE">
        <w:rPr>
          <w:rFonts w:eastAsiaTheme="minorHAnsi"/>
          <w:szCs w:val="24"/>
        </w:rPr>
        <w:t>патенти и други продукти на интелектуалната собственост.</w:t>
      </w:r>
    </w:p>
    <w:p w:rsidR="00C30B73" w:rsidRPr="00AF0689" w:rsidRDefault="00C30B73" w:rsidP="00C30B73">
      <w:pPr>
        <w:spacing w:before="120" w:after="0"/>
        <w:rPr>
          <w:szCs w:val="24"/>
        </w:rPr>
      </w:pPr>
      <w:r w:rsidRPr="00AF0689">
        <w:rPr>
          <w:szCs w:val="24"/>
        </w:rPr>
        <w:t>Постигането на напредък във водените от Европейската комисия преговори по споразумения за свободна търговия и многостранни инициативи в Световната търговска организация осигурява наличието на адекватна договорно-правна рамка в международните икономически отношения, в т. ч. постигане на многостранни и двустранни договорености в областта на търговията, взаимното насърчаване и защита на инвестициите и други. Това създава благоприятни условия за разширяване на присъствието на български стоки и услуги и български компании на чужди пазари (наред с компаниите от останалите държави членки на ЕС).</w:t>
      </w:r>
    </w:p>
    <w:p w:rsidR="00C30B73" w:rsidRPr="007D6981" w:rsidRDefault="00C30B73" w:rsidP="00C30B73">
      <w:pPr>
        <w:spacing w:before="120" w:after="0"/>
        <w:rPr>
          <w:lang w:val="ru-RU"/>
        </w:rPr>
      </w:pPr>
      <w:r w:rsidRPr="00212716">
        <w:rPr>
          <w:bCs/>
        </w:rPr>
        <w:t xml:space="preserve">В областта на икономическата и финансова политика </w:t>
      </w:r>
      <w:r w:rsidRPr="00212716">
        <w:rPr>
          <w:b/>
          <w:bCs/>
        </w:rPr>
        <w:t>Държавната агенция</w:t>
      </w:r>
      <w:r w:rsidRPr="00212716">
        <w:rPr>
          <w:b/>
        </w:rPr>
        <w:t xml:space="preserve"> „Държавен резерв и </w:t>
      </w:r>
      <w:r w:rsidRPr="00212716">
        <w:rPr>
          <w:b/>
          <w:bCs/>
        </w:rPr>
        <w:t>военновременни запаси</w:t>
      </w:r>
      <w:r w:rsidRPr="00212716">
        <w:rPr>
          <w:b/>
        </w:rPr>
        <w:t>“ (ДА ДРВВЗ)</w:t>
      </w:r>
      <w:r w:rsidRPr="00212716">
        <w:t xml:space="preserve"> осъществява своята дейност като специализиран орган за провеждане на държавната политика в областта на планирането, създаването, съхраняването, опазването, обновяването, поддържането, освобождаването, финансирането и контролирането на държавните резерви и военновременните запаси на страната в съответствие с интересите на националната сигурност.</w:t>
      </w:r>
    </w:p>
    <w:p w:rsidR="00C30B73" w:rsidRPr="00212716" w:rsidRDefault="008661BB" w:rsidP="00C30B73">
      <w:pPr>
        <w:spacing w:before="120" w:after="0"/>
        <w:rPr>
          <w:rFonts w:eastAsiaTheme="minorHAnsi"/>
          <w:szCs w:val="24"/>
        </w:rPr>
      </w:pPr>
      <w:r>
        <w:rPr>
          <w:rFonts w:eastAsiaTheme="minorHAnsi"/>
          <w:szCs w:val="24"/>
        </w:rPr>
        <w:t xml:space="preserve">Политиката в областта на </w:t>
      </w:r>
      <w:r w:rsidR="00C30B73" w:rsidRPr="00212716">
        <w:rPr>
          <w:rFonts w:eastAsiaTheme="minorHAnsi"/>
          <w:szCs w:val="24"/>
        </w:rPr>
        <w:t>държавните резерви, военновременните запаси и задължителните запаси от нефт и нефтопродукти е насочена към:</w:t>
      </w:r>
    </w:p>
    <w:p w:rsidR="00C30B73" w:rsidRPr="00212716" w:rsidRDefault="00C30B73" w:rsidP="003403BF">
      <w:pPr>
        <w:pStyle w:val="ListParagraph"/>
        <w:numPr>
          <w:ilvl w:val="0"/>
          <w:numId w:val="60"/>
        </w:numPr>
        <w:spacing w:before="120" w:after="0"/>
        <w:ind w:left="567" w:hanging="283"/>
        <w:rPr>
          <w:rFonts w:eastAsiaTheme="minorHAnsi"/>
          <w:szCs w:val="24"/>
        </w:rPr>
      </w:pPr>
      <w:r w:rsidRPr="00212716">
        <w:rPr>
          <w:rFonts w:eastAsiaTheme="minorHAnsi"/>
          <w:szCs w:val="24"/>
        </w:rPr>
        <w:t>повишаване на процентната обезпеченост на номенклатурите и нормативите за тях, водени на отчет като държавни резерви (ДР) и военн</w:t>
      </w:r>
      <w:r w:rsidR="008661BB">
        <w:rPr>
          <w:rFonts w:eastAsiaTheme="minorHAnsi"/>
          <w:szCs w:val="24"/>
        </w:rPr>
        <w:t>овременни запаси (ВВЗ) с оглед</w:t>
      </w:r>
      <w:r w:rsidRPr="00212716">
        <w:rPr>
          <w:rFonts w:eastAsiaTheme="minorHAnsi"/>
          <w:szCs w:val="24"/>
        </w:rPr>
        <w:t xml:space="preserve"> постигане на оптимална</w:t>
      </w:r>
      <w:r w:rsidRPr="007D6981">
        <w:rPr>
          <w:rFonts w:eastAsiaTheme="minorHAnsi"/>
          <w:szCs w:val="24"/>
          <w:lang w:val="ru-RU"/>
        </w:rPr>
        <w:t xml:space="preserve"> </w:t>
      </w:r>
      <w:r w:rsidRPr="00212716">
        <w:rPr>
          <w:rFonts w:eastAsiaTheme="minorHAnsi"/>
          <w:szCs w:val="24"/>
        </w:rPr>
        <w:t>обезпеченост и осигуряване на адекватна реакция на правителството в случай на необходимост;</w:t>
      </w:r>
    </w:p>
    <w:p w:rsidR="00C30B73" w:rsidRPr="00212716" w:rsidRDefault="00C30B73" w:rsidP="003403BF">
      <w:pPr>
        <w:pStyle w:val="ListParagraph"/>
        <w:numPr>
          <w:ilvl w:val="0"/>
          <w:numId w:val="60"/>
        </w:numPr>
        <w:spacing w:before="120" w:after="0"/>
        <w:ind w:left="567" w:hanging="283"/>
        <w:rPr>
          <w:rFonts w:eastAsiaTheme="minorHAnsi"/>
          <w:szCs w:val="24"/>
        </w:rPr>
      </w:pPr>
      <w:r w:rsidRPr="00212716">
        <w:rPr>
          <w:rFonts w:eastAsiaTheme="minorHAnsi"/>
          <w:szCs w:val="24"/>
        </w:rPr>
        <w:t>обновяване, в рамките на бюджета на агенцията, на стоки, материали</w:t>
      </w:r>
      <w:r w:rsidR="003A1BE2">
        <w:rPr>
          <w:rFonts w:eastAsiaTheme="minorHAnsi"/>
          <w:szCs w:val="24"/>
        </w:rPr>
        <w:t xml:space="preserve"> и продукти, управлявани от ДА ДРВВЗ</w:t>
      </w:r>
      <w:r w:rsidRPr="00212716">
        <w:rPr>
          <w:rFonts w:eastAsiaTheme="minorHAnsi"/>
          <w:szCs w:val="24"/>
        </w:rPr>
        <w:t>, които са с изтичащ срок на съхранение, както и съобразно тяхната специфика и</w:t>
      </w:r>
      <w:r w:rsidR="008661BB">
        <w:rPr>
          <w:rFonts w:eastAsiaTheme="minorHAnsi"/>
          <w:szCs w:val="24"/>
        </w:rPr>
        <w:t xml:space="preserve"> стратегическа тежест с оглед </w:t>
      </w:r>
      <w:r w:rsidRPr="00212716">
        <w:rPr>
          <w:rFonts w:eastAsiaTheme="minorHAnsi"/>
          <w:szCs w:val="24"/>
        </w:rPr>
        <w:t>поддържането им в съответното количество и качество, както и в непрекъсната готовност за ползване;</w:t>
      </w:r>
    </w:p>
    <w:p w:rsidR="00C30B73" w:rsidRPr="00212716" w:rsidRDefault="00C30B73" w:rsidP="003403BF">
      <w:pPr>
        <w:pStyle w:val="ListParagraph"/>
        <w:numPr>
          <w:ilvl w:val="0"/>
          <w:numId w:val="60"/>
        </w:numPr>
        <w:spacing w:before="120" w:after="0"/>
        <w:ind w:left="567" w:hanging="283"/>
        <w:rPr>
          <w:rFonts w:eastAsiaTheme="minorHAnsi"/>
          <w:szCs w:val="24"/>
        </w:rPr>
      </w:pPr>
      <w:r w:rsidRPr="00212716">
        <w:rPr>
          <w:rFonts w:eastAsiaTheme="minorHAnsi"/>
          <w:szCs w:val="24"/>
        </w:rPr>
        <w:t>достигане на 30 дни обезпеченост на среднодне</w:t>
      </w:r>
      <w:r w:rsidR="008661BB">
        <w:rPr>
          <w:rFonts w:eastAsiaTheme="minorHAnsi"/>
          <w:szCs w:val="24"/>
        </w:rPr>
        <w:t>в</w:t>
      </w:r>
      <w:r w:rsidRPr="00212716">
        <w:rPr>
          <w:rFonts w:eastAsiaTheme="minorHAnsi"/>
          <w:szCs w:val="24"/>
        </w:rPr>
        <w:t xml:space="preserve">ния нетен внос и </w:t>
      </w:r>
      <w:r w:rsidR="00E60644" w:rsidRPr="00E60644">
        <w:rPr>
          <w:rFonts w:eastAsiaTheme="minorHAnsi"/>
          <w:szCs w:val="24"/>
        </w:rPr>
        <w:t xml:space="preserve">вътреобщностно придобиване </w:t>
      </w:r>
      <w:r w:rsidRPr="00212716">
        <w:rPr>
          <w:rFonts w:eastAsiaTheme="minorHAnsi"/>
          <w:szCs w:val="24"/>
        </w:rPr>
        <w:t xml:space="preserve">на горива </w:t>
      </w:r>
      <w:r w:rsidR="003A1BE2" w:rsidRPr="003A1BE2">
        <w:rPr>
          <w:rFonts w:eastAsiaTheme="minorHAnsi"/>
          <w:szCs w:val="24"/>
        </w:rPr>
        <w:t>(ВОП)</w:t>
      </w:r>
      <w:r w:rsidR="003A1BE2">
        <w:rPr>
          <w:rFonts w:eastAsiaTheme="minorHAnsi"/>
          <w:szCs w:val="24"/>
        </w:rPr>
        <w:t xml:space="preserve"> </w:t>
      </w:r>
      <w:r w:rsidRPr="00212716">
        <w:rPr>
          <w:rFonts w:eastAsiaTheme="minorHAnsi"/>
          <w:szCs w:val="24"/>
        </w:rPr>
        <w:t xml:space="preserve">в страната по категории нефтопродукти, които следва да се създадат и поддържат от ДА ДРВВЗ за сметка на държавния бюджет; </w:t>
      </w:r>
    </w:p>
    <w:p w:rsidR="00C30B73" w:rsidRPr="00212716" w:rsidRDefault="00C30B73" w:rsidP="003403BF">
      <w:pPr>
        <w:pStyle w:val="ListParagraph"/>
        <w:numPr>
          <w:ilvl w:val="0"/>
          <w:numId w:val="60"/>
        </w:numPr>
        <w:spacing w:before="120" w:after="0"/>
        <w:ind w:left="567" w:hanging="283"/>
        <w:rPr>
          <w:rFonts w:eastAsiaTheme="minorHAnsi"/>
          <w:szCs w:val="24"/>
        </w:rPr>
      </w:pPr>
      <w:r w:rsidRPr="00212716">
        <w:rPr>
          <w:rFonts w:eastAsiaTheme="minorHAnsi"/>
          <w:szCs w:val="24"/>
        </w:rPr>
        <w:t xml:space="preserve">обновяване на запаси от нефтопродукти, с изтичащ срок на съхранение и поддържането им в съответното количество и качество за осигуряване на адекватна реакция в случай на извънредна ситуация, свързана с намаляване и/или прекъсване на доставките от нефт и нефтопродукти </w:t>
      </w:r>
      <w:r w:rsidR="00B41461">
        <w:rPr>
          <w:rFonts w:eastAsiaTheme="minorHAnsi"/>
          <w:szCs w:val="24"/>
        </w:rPr>
        <w:t>в страната, в другите държави-</w:t>
      </w:r>
      <w:r w:rsidRPr="00212716">
        <w:rPr>
          <w:rFonts w:eastAsiaTheme="minorHAnsi"/>
          <w:szCs w:val="24"/>
        </w:rPr>
        <w:t>членки на Европейския съюз, и/или съгласно влязло в сила решение на Международната агенция по енергетика за отпускане на запаси.</w:t>
      </w:r>
    </w:p>
    <w:p w:rsidR="00C30B73" w:rsidRPr="00212716" w:rsidRDefault="00C30B73" w:rsidP="00C30B73">
      <w:pPr>
        <w:spacing w:before="120" w:after="0"/>
        <w:rPr>
          <w:rFonts w:eastAsiaTheme="minorHAnsi"/>
          <w:szCs w:val="24"/>
        </w:rPr>
      </w:pPr>
      <w:r w:rsidRPr="00212716">
        <w:rPr>
          <w:rFonts w:eastAsiaTheme="minorHAnsi"/>
          <w:szCs w:val="24"/>
        </w:rPr>
        <w:t xml:space="preserve">За периода 2020-2022 г. средствата за обезпечаване на разликата в цената между продажбата и придобиването на държавни резерви са в размер </w:t>
      </w:r>
      <w:r w:rsidRPr="00376AFC">
        <w:rPr>
          <w:rFonts w:eastAsiaTheme="minorHAnsi"/>
          <w:szCs w:val="24"/>
        </w:rPr>
        <w:t>на 19,2 млн. лв</w:t>
      </w:r>
      <w:r w:rsidRPr="00212716">
        <w:rPr>
          <w:rFonts w:eastAsiaTheme="minorHAnsi"/>
          <w:szCs w:val="24"/>
        </w:rPr>
        <w:t>. за всяка от годините.</w:t>
      </w:r>
    </w:p>
    <w:p w:rsidR="00C30B73" w:rsidRDefault="00376AFC" w:rsidP="00C30B73">
      <w:pPr>
        <w:spacing w:before="120" w:after="0"/>
        <w:rPr>
          <w:rFonts w:eastAsiaTheme="minorHAnsi"/>
          <w:szCs w:val="24"/>
        </w:rPr>
      </w:pPr>
      <w:r>
        <w:rPr>
          <w:rFonts w:eastAsiaTheme="minorHAnsi"/>
          <w:szCs w:val="24"/>
        </w:rPr>
        <w:t xml:space="preserve">Към момента агенцията поддържа </w:t>
      </w:r>
      <w:r w:rsidR="00C30B73" w:rsidRPr="00212716">
        <w:rPr>
          <w:rFonts w:eastAsiaTheme="minorHAnsi"/>
          <w:szCs w:val="24"/>
        </w:rPr>
        <w:t>обезпеченост на запасите за извънредни ситуации от нефтопродукти, които представляват нейно задължение (съгл. чл. 12, ал. 2 от</w:t>
      </w:r>
      <w:r w:rsidR="00C359A8" w:rsidRPr="00C359A8">
        <w:rPr>
          <w:rFonts w:eastAsiaTheme="minorHAnsi"/>
          <w:szCs w:val="24"/>
        </w:rPr>
        <w:t xml:space="preserve"> Закон</w:t>
      </w:r>
      <w:r w:rsidR="00C359A8">
        <w:rPr>
          <w:rFonts w:eastAsiaTheme="minorHAnsi"/>
          <w:szCs w:val="24"/>
        </w:rPr>
        <w:t>а</w:t>
      </w:r>
      <w:r w:rsidR="00C359A8" w:rsidRPr="00C359A8">
        <w:rPr>
          <w:rFonts w:eastAsiaTheme="minorHAnsi"/>
          <w:szCs w:val="24"/>
        </w:rPr>
        <w:t xml:space="preserve"> за запаси от нефт и нефтопродукти</w:t>
      </w:r>
      <w:r w:rsidR="00C30B73" w:rsidRPr="00212716">
        <w:rPr>
          <w:rFonts w:eastAsiaTheme="minorHAnsi"/>
          <w:szCs w:val="24"/>
        </w:rPr>
        <w:t>) и се създават за сметка на дъ</w:t>
      </w:r>
      <w:r w:rsidR="00C30B73">
        <w:rPr>
          <w:rFonts w:eastAsiaTheme="minorHAnsi"/>
          <w:szCs w:val="24"/>
        </w:rPr>
        <w:t>ржавния бюджет, в размер на 27</w:t>
      </w:r>
      <w:r w:rsidR="00C30B73" w:rsidRPr="00212716">
        <w:rPr>
          <w:rFonts w:eastAsiaTheme="minorHAnsi"/>
          <w:szCs w:val="24"/>
        </w:rPr>
        <w:t xml:space="preserve"> дни, вместо изискуемите 30 дни.</w:t>
      </w:r>
    </w:p>
    <w:p w:rsidR="00C30B73" w:rsidRDefault="00C30B73" w:rsidP="000C32FC">
      <w:pPr>
        <w:tabs>
          <w:tab w:val="left" w:pos="1134"/>
        </w:tabs>
        <w:spacing w:after="0"/>
        <w:ind w:firstLine="709"/>
        <w:rPr>
          <w:rFonts w:eastAsiaTheme="minorHAnsi"/>
          <w:szCs w:val="24"/>
        </w:rPr>
      </w:pPr>
    </w:p>
    <w:p w:rsidR="00C30B73" w:rsidRDefault="00C30B73" w:rsidP="000C32FC">
      <w:pPr>
        <w:tabs>
          <w:tab w:val="left" w:pos="1134"/>
        </w:tabs>
        <w:spacing w:after="0"/>
        <w:ind w:firstLine="709"/>
        <w:rPr>
          <w:rFonts w:eastAsiaTheme="minorHAnsi"/>
          <w:szCs w:val="24"/>
        </w:rPr>
      </w:pPr>
    </w:p>
    <w:p w:rsidR="000C32FC" w:rsidRDefault="000C32FC" w:rsidP="000C32FC">
      <w:pPr>
        <w:rPr>
          <w:b/>
          <w:sz w:val="20"/>
          <w:szCs w:val="20"/>
        </w:rPr>
      </w:pPr>
      <w:r w:rsidRPr="000C32FC">
        <w:rPr>
          <w:b/>
          <w:sz w:val="20"/>
          <w:szCs w:val="20"/>
        </w:rPr>
        <w:t>КЛЮЧОВИ ИНДИКАТОРИ ЗА ИЗПЪЛНЕНИЕ И ЦЕЛЕВИ СТОЙНОСТИ</w:t>
      </w:r>
    </w:p>
    <w:tbl>
      <w:tblPr>
        <w:tblStyle w:val="TableGrid2"/>
        <w:tblW w:w="9322"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048"/>
        <w:gridCol w:w="1305"/>
        <w:gridCol w:w="1134"/>
        <w:gridCol w:w="851"/>
        <w:gridCol w:w="992"/>
        <w:gridCol w:w="992"/>
      </w:tblGrid>
      <w:tr w:rsidR="00C30B73" w:rsidRPr="00212716" w:rsidTr="008C1CE3">
        <w:trPr>
          <w:trHeight w:val="60"/>
          <w:tblHeader/>
        </w:trPr>
        <w:tc>
          <w:tcPr>
            <w:tcW w:w="4048" w:type="dxa"/>
            <w:tcBorders>
              <w:bottom w:val="nil"/>
            </w:tcBorders>
            <w:hideMark/>
          </w:tcPr>
          <w:p w:rsidR="00C30B73" w:rsidRPr="00212716" w:rsidRDefault="00C30B73" w:rsidP="00B178B0">
            <w:pPr>
              <w:spacing w:line="276" w:lineRule="auto"/>
              <w:jc w:val="center"/>
              <w:rPr>
                <w:rFonts w:cs="Times New Roman"/>
                <w:b/>
                <w:i/>
                <w:iCs/>
                <w:sz w:val="18"/>
                <w:szCs w:val="18"/>
              </w:rPr>
            </w:pPr>
            <w:r w:rsidRPr="00212716">
              <w:rPr>
                <w:rFonts w:cs="Times New Roman"/>
                <w:b/>
                <w:i/>
                <w:iCs/>
                <w:sz w:val="18"/>
                <w:szCs w:val="18"/>
              </w:rPr>
              <w:t>Политика в областта на държавните резерви, военновременните запаси и задължителните запаси от нефт и нефтопродукти</w:t>
            </w:r>
          </w:p>
        </w:tc>
        <w:tc>
          <w:tcPr>
            <w:tcW w:w="1305" w:type="dxa"/>
            <w:vMerge w:val="restart"/>
            <w:tcBorders>
              <w:bottom w:val="nil"/>
            </w:tcBorders>
            <w:shd w:val="clear" w:color="auto" w:fill="F2F2F2" w:themeFill="background1" w:themeFillShade="F2"/>
            <w:hideMark/>
          </w:tcPr>
          <w:p w:rsidR="00C30B73" w:rsidRPr="00212716" w:rsidRDefault="00C30B73" w:rsidP="00B178B0">
            <w:pPr>
              <w:tabs>
                <w:tab w:val="left" w:pos="0"/>
              </w:tabs>
              <w:spacing w:line="276" w:lineRule="auto"/>
              <w:ind w:left="-220" w:right="-121"/>
              <w:jc w:val="left"/>
              <w:rPr>
                <w:rFonts w:cs="Times New Roman"/>
                <w:i/>
                <w:iCs/>
                <w:sz w:val="18"/>
                <w:szCs w:val="18"/>
              </w:rPr>
            </w:pPr>
            <w:r w:rsidRPr="00212716">
              <w:rPr>
                <w:rFonts w:cs="Times New Roman"/>
                <w:i/>
                <w:iCs/>
                <w:sz w:val="18"/>
                <w:szCs w:val="18"/>
              </w:rPr>
              <w:t> </w:t>
            </w:r>
          </w:p>
          <w:p w:rsidR="00C30B73" w:rsidRPr="00212716" w:rsidRDefault="00C30B73" w:rsidP="00B178B0">
            <w:pPr>
              <w:tabs>
                <w:tab w:val="left" w:pos="0"/>
              </w:tabs>
              <w:spacing w:line="276" w:lineRule="auto"/>
              <w:jc w:val="center"/>
              <w:rPr>
                <w:rFonts w:cs="Times New Roman"/>
                <w:b/>
                <w:iCs/>
                <w:sz w:val="18"/>
                <w:szCs w:val="18"/>
              </w:rPr>
            </w:pPr>
            <w:r w:rsidRPr="00212716">
              <w:rPr>
                <w:rFonts w:cs="Times New Roman"/>
                <w:b/>
                <w:iCs/>
                <w:sz w:val="18"/>
                <w:szCs w:val="18"/>
              </w:rPr>
              <w:t>Мерна единица</w:t>
            </w:r>
          </w:p>
        </w:tc>
        <w:tc>
          <w:tcPr>
            <w:tcW w:w="3969" w:type="dxa"/>
            <w:gridSpan w:val="4"/>
            <w:tcBorders>
              <w:bottom w:val="single" w:sz="4" w:space="0" w:color="auto"/>
            </w:tcBorders>
            <w:vAlign w:val="center"/>
            <w:hideMark/>
          </w:tcPr>
          <w:p w:rsidR="00C30B73" w:rsidRPr="00C30B73" w:rsidRDefault="00C30B73" w:rsidP="00B178B0">
            <w:pPr>
              <w:spacing w:line="276" w:lineRule="auto"/>
              <w:ind w:left="162" w:hanging="162"/>
              <w:jc w:val="center"/>
              <w:rPr>
                <w:rFonts w:cs="Times New Roman"/>
                <w:b/>
                <w:iCs/>
                <w:sz w:val="18"/>
                <w:szCs w:val="18"/>
              </w:rPr>
            </w:pPr>
            <w:r w:rsidRPr="00C30B73">
              <w:rPr>
                <w:rFonts w:cs="Times New Roman"/>
                <w:b/>
                <w:iCs/>
                <w:sz w:val="18"/>
                <w:szCs w:val="18"/>
              </w:rPr>
              <w:t>Целева стойност</w:t>
            </w:r>
          </w:p>
        </w:tc>
      </w:tr>
      <w:tr w:rsidR="00C30B73" w:rsidRPr="00212716" w:rsidTr="008C1CE3">
        <w:trPr>
          <w:trHeight w:val="56"/>
          <w:tblHeader/>
        </w:trPr>
        <w:tc>
          <w:tcPr>
            <w:tcW w:w="4048" w:type="dxa"/>
            <w:tcBorders>
              <w:top w:val="nil"/>
              <w:bottom w:val="single" w:sz="4" w:space="0" w:color="auto"/>
            </w:tcBorders>
            <w:hideMark/>
          </w:tcPr>
          <w:p w:rsidR="00C30B73" w:rsidRPr="006F2CDA" w:rsidRDefault="00C30B73" w:rsidP="00B178B0">
            <w:pPr>
              <w:spacing w:after="0"/>
              <w:jc w:val="center"/>
              <w:rPr>
                <w:rFonts w:cs="Times New Roman"/>
                <w:b/>
                <w:iCs/>
                <w:sz w:val="18"/>
                <w:szCs w:val="18"/>
              </w:rPr>
            </w:pPr>
            <w:r w:rsidRPr="006F2CDA">
              <w:rPr>
                <w:rFonts w:cs="Times New Roman"/>
                <w:b/>
                <w:iCs/>
                <w:sz w:val="18"/>
                <w:szCs w:val="18"/>
              </w:rPr>
              <w:t>Наименование на индикатора</w:t>
            </w:r>
          </w:p>
        </w:tc>
        <w:tc>
          <w:tcPr>
            <w:tcW w:w="1305" w:type="dxa"/>
            <w:vMerge/>
            <w:tcBorders>
              <w:top w:val="nil"/>
              <w:bottom w:val="single" w:sz="4" w:space="0" w:color="auto"/>
            </w:tcBorders>
            <w:shd w:val="clear" w:color="auto" w:fill="F2F2F2" w:themeFill="background1" w:themeFillShade="F2"/>
            <w:hideMark/>
          </w:tcPr>
          <w:p w:rsidR="00C30B73" w:rsidRPr="00212716" w:rsidRDefault="00C30B73" w:rsidP="00B178B0">
            <w:pPr>
              <w:tabs>
                <w:tab w:val="left" w:pos="0"/>
              </w:tabs>
              <w:spacing w:after="0"/>
              <w:jc w:val="left"/>
              <w:rPr>
                <w:rFonts w:cs="Times New Roman"/>
                <w:i/>
                <w:iCs/>
                <w:sz w:val="18"/>
                <w:szCs w:val="18"/>
              </w:rPr>
            </w:pPr>
          </w:p>
        </w:tc>
        <w:tc>
          <w:tcPr>
            <w:tcW w:w="1134" w:type="dxa"/>
            <w:tcBorders>
              <w:top w:val="single" w:sz="4" w:space="0" w:color="auto"/>
              <w:bottom w:val="single" w:sz="4" w:space="0" w:color="auto"/>
            </w:tcBorders>
            <w:hideMark/>
          </w:tcPr>
          <w:p w:rsidR="00C30B73" w:rsidRPr="00212716" w:rsidRDefault="00C30B73" w:rsidP="00B178B0">
            <w:pPr>
              <w:spacing w:after="0"/>
              <w:jc w:val="center"/>
              <w:rPr>
                <w:rFonts w:cs="Times New Roman"/>
                <w:b/>
                <w:i/>
                <w:iCs/>
                <w:sz w:val="18"/>
                <w:szCs w:val="18"/>
              </w:rPr>
            </w:pPr>
            <w:r w:rsidRPr="00212716">
              <w:rPr>
                <w:rFonts w:cs="Times New Roman"/>
                <w:b/>
                <w:i/>
                <w:iCs/>
                <w:sz w:val="18"/>
                <w:szCs w:val="18"/>
              </w:rPr>
              <w:t>Програма 2019 г.</w:t>
            </w:r>
          </w:p>
        </w:tc>
        <w:tc>
          <w:tcPr>
            <w:tcW w:w="851" w:type="dxa"/>
            <w:tcBorders>
              <w:top w:val="single" w:sz="4" w:space="0" w:color="auto"/>
              <w:bottom w:val="single" w:sz="4" w:space="0" w:color="auto"/>
            </w:tcBorders>
            <w:hideMark/>
          </w:tcPr>
          <w:p w:rsidR="00C30B73" w:rsidRPr="00212716" w:rsidRDefault="00C30B73" w:rsidP="00B178B0">
            <w:pPr>
              <w:spacing w:after="0"/>
              <w:jc w:val="center"/>
              <w:rPr>
                <w:rFonts w:cs="Times New Roman"/>
                <w:b/>
                <w:i/>
                <w:iCs/>
                <w:sz w:val="18"/>
                <w:szCs w:val="18"/>
              </w:rPr>
            </w:pPr>
            <w:r w:rsidRPr="00212716">
              <w:rPr>
                <w:rFonts w:cs="Times New Roman"/>
                <w:b/>
                <w:i/>
                <w:iCs/>
                <w:sz w:val="18"/>
                <w:szCs w:val="18"/>
              </w:rPr>
              <w:t>Проект 2020 г.</w:t>
            </w:r>
          </w:p>
        </w:tc>
        <w:tc>
          <w:tcPr>
            <w:tcW w:w="992" w:type="dxa"/>
            <w:tcBorders>
              <w:top w:val="single" w:sz="4" w:space="0" w:color="auto"/>
              <w:bottom w:val="single" w:sz="4" w:space="0" w:color="auto"/>
            </w:tcBorders>
            <w:hideMark/>
          </w:tcPr>
          <w:p w:rsidR="00C30B73" w:rsidRPr="00212716" w:rsidRDefault="00C30B73" w:rsidP="00B178B0">
            <w:pPr>
              <w:spacing w:after="0"/>
              <w:jc w:val="center"/>
              <w:rPr>
                <w:rFonts w:cs="Times New Roman"/>
                <w:b/>
                <w:i/>
                <w:iCs/>
                <w:sz w:val="18"/>
                <w:szCs w:val="18"/>
              </w:rPr>
            </w:pPr>
            <w:r w:rsidRPr="00212716">
              <w:rPr>
                <w:rFonts w:cs="Times New Roman"/>
                <w:b/>
                <w:i/>
                <w:iCs/>
                <w:sz w:val="18"/>
                <w:szCs w:val="18"/>
              </w:rPr>
              <w:t>Прогноза 2021 г.</w:t>
            </w:r>
          </w:p>
        </w:tc>
        <w:tc>
          <w:tcPr>
            <w:tcW w:w="992" w:type="dxa"/>
            <w:tcBorders>
              <w:top w:val="single" w:sz="4" w:space="0" w:color="auto"/>
              <w:bottom w:val="single" w:sz="4" w:space="0" w:color="auto"/>
            </w:tcBorders>
            <w:hideMark/>
          </w:tcPr>
          <w:p w:rsidR="00C30B73" w:rsidRPr="00212716" w:rsidRDefault="00C30B73" w:rsidP="00B178B0">
            <w:pPr>
              <w:spacing w:after="0"/>
              <w:jc w:val="center"/>
              <w:rPr>
                <w:rFonts w:cs="Times New Roman"/>
                <w:b/>
                <w:i/>
                <w:iCs/>
                <w:sz w:val="18"/>
                <w:szCs w:val="18"/>
              </w:rPr>
            </w:pPr>
            <w:r w:rsidRPr="00212716">
              <w:rPr>
                <w:rFonts w:cs="Times New Roman"/>
                <w:b/>
                <w:i/>
                <w:iCs/>
                <w:sz w:val="18"/>
                <w:szCs w:val="18"/>
              </w:rPr>
              <w:t>Прогноза 2022 г.</w:t>
            </w:r>
          </w:p>
        </w:tc>
      </w:tr>
      <w:tr w:rsidR="00C30B73" w:rsidRPr="00212716" w:rsidTr="00B41461">
        <w:trPr>
          <w:trHeight w:val="60"/>
        </w:trPr>
        <w:tc>
          <w:tcPr>
            <w:tcW w:w="4048" w:type="dxa"/>
            <w:tcBorders>
              <w:top w:val="single" w:sz="4" w:space="0" w:color="auto"/>
              <w:bottom w:val="nil"/>
            </w:tcBorders>
            <w:hideMark/>
          </w:tcPr>
          <w:p w:rsidR="00C30B73" w:rsidRPr="00212716"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1. Донатрупване на ДР и ВВЗ</w:t>
            </w:r>
          </w:p>
        </w:tc>
        <w:tc>
          <w:tcPr>
            <w:tcW w:w="1305" w:type="dxa"/>
            <w:tcBorders>
              <w:top w:val="single" w:sz="4" w:space="0" w:color="auto"/>
              <w:bottom w:val="nil"/>
            </w:tcBorders>
            <w:shd w:val="clear" w:color="auto" w:fill="F2F2F2" w:themeFill="background1" w:themeFillShade="F2"/>
            <w:hideMark/>
          </w:tcPr>
          <w:p w:rsidR="00C30B73" w:rsidRPr="00212716" w:rsidRDefault="00C30B73" w:rsidP="00B178B0">
            <w:pPr>
              <w:widowControl w:val="0"/>
              <w:tabs>
                <w:tab w:val="left" w:pos="0"/>
              </w:tabs>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 осигуреност</w:t>
            </w:r>
          </w:p>
        </w:tc>
        <w:tc>
          <w:tcPr>
            <w:tcW w:w="1134" w:type="dxa"/>
            <w:tcBorders>
              <w:top w:val="single" w:sz="4" w:space="0" w:color="auto"/>
              <w:bottom w:val="nil"/>
            </w:tcBorders>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42</w:t>
            </w:r>
          </w:p>
        </w:tc>
        <w:tc>
          <w:tcPr>
            <w:tcW w:w="851" w:type="dxa"/>
            <w:tcBorders>
              <w:top w:val="single" w:sz="4" w:space="0" w:color="auto"/>
              <w:bottom w:val="nil"/>
            </w:tcBorders>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42</w:t>
            </w:r>
          </w:p>
        </w:tc>
        <w:tc>
          <w:tcPr>
            <w:tcW w:w="992" w:type="dxa"/>
            <w:tcBorders>
              <w:top w:val="single" w:sz="4" w:space="0" w:color="auto"/>
              <w:bottom w:val="nil"/>
            </w:tcBorders>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43</w:t>
            </w:r>
          </w:p>
        </w:tc>
        <w:tc>
          <w:tcPr>
            <w:tcW w:w="992" w:type="dxa"/>
            <w:tcBorders>
              <w:top w:val="single" w:sz="4" w:space="0" w:color="auto"/>
              <w:bottom w:val="nil"/>
            </w:tcBorders>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45</w:t>
            </w:r>
          </w:p>
        </w:tc>
      </w:tr>
      <w:tr w:rsidR="00C30B73" w:rsidRPr="00212716" w:rsidTr="006B367D">
        <w:trPr>
          <w:trHeight w:val="70"/>
        </w:trPr>
        <w:tc>
          <w:tcPr>
            <w:tcW w:w="4048" w:type="dxa"/>
            <w:tcBorders>
              <w:top w:val="nil"/>
            </w:tcBorders>
            <w:hideMark/>
          </w:tcPr>
          <w:p w:rsidR="00C30B73" w:rsidRPr="00212716"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2 . Обновяване на ДР и ВВЗ</w:t>
            </w:r>
          </w:p>
        </w:tc>
        <w:tc>
          <w:tcPr>
            <w:tcW w:w="1305" w:type="dxa"/>
            <w:tcBorders>
              <w:top w:val="nil"/>
            </w:tcBorders>
            <w:shd w:val="clear" w:color="auto" w:fill="F2F2F2" w:themeFill="background1" w:themeFillShade="F2"/>
            <w:hideMark/>
          </w:tcPr>
          <w:p w:rsidR="00C30B73" w:rsidRPr="00212716" w:rsidRDefault="00C30B73" w:rsidP="00B178B0">
            <w:pPr>
              <w:widowControl w:val="0"/>
              <w:tabs>
                <w:tab w:val="left" w:pos="0"/>
              </w:tabs>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 осигуреност</w:t>
            </w:r>
          </w:p>
        </w:tc>
        <w:tc>
          <w:tcPr>
            <w:tcW w:w="1134" w:type="dxa"/>
            <w:tcBorders>
              <w:top w:val="nil"/>
            </w:tcBorders>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25</w:t>
            </w:r>
          </w:p>
        </w:tc>
        <w:tc>
          <w:tcPr>
            <w:tcW w:w="851" w:type="dxa"/>
            <w:tcBorders>
              <w:top w:val="nil"/>
            </w:tcBorders>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25</w:t>
            </w:r>
          </w:p>
        </w:tc>
        <w:tc>
          <w:tcPr>
            <w:tcW w:w="992" w:type="dxa"/>
            <w:tcBorders>
              <w:top w:val="nil"/>
            </w:tcBorders>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35</w:t>
            </w:r>
          </w:p>
        </w:tc>
        <w:tc>
          <w:tcPr>
            <w:tcW w:w="992" w:type="dxa"/>
            <w:tcBorders>
              <w:top w:val="nil"/>
            </w:tcBorders>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42</w:t>
            </w:r>
          </w:p>
        </w:tc>
      </w:tr>
      <w:tr w:rsidR="00C30B73" w:rsidRPr="00212716" w:rsidTr="00EE2FAE">
        <w:trPr>
          <w:trHeight w:val="365"/>
        </w:trPr>
        <w:tc>
          <w:tcPr>
            <w:tcW w:w="4048" w:type="dxa"/>
            <w:hideMark/>
          </w:tcPr>
          <w:p w:rsidR="00C30B73" w:rsidRPr="00212716"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3. Донатрупване на ЗЗНН</w:t>
            </w:r>
          </w:p>
        </w:tc>
        <w:tc>
          <w:tcPr>
            <w:tcW w:w="1305" w:type="dxa"/>
            <w:shd w:val="clear" w:color="auto" w:fill="F2F2F2" w:themeFill="background1" w:themeFillShade="F2"/>
            <w:hideMark/>
          </w:tcPr>
          <w:p w:rsidR="00C30B73" w:rsidRPr="00212716" w:rsidRDefault="00C30B73" w:rsidP="00B178B0">
            <w:pPr>
              <w:widowControl w:val="0"/>
              <w:tabs>
                <w:tab w:val="left" w:pos="0"/>
              </w:tabs>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дни</w:t>
            </w:r>
          </w:p>
        </w:tc>
        <w:tc>
          <w:tcPr>
            <w:tcW w:w="1134" w:type="dxa"/>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27</w:t>
            </w:r>
          </w:p>
        </w:tc>
        <w:tc>
          <w:tcPr>
            <w:tcW w:w="851" w:type="dxa"/>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27</w:t>
            </w:r>
            <w:r w:rsidR="007C48F1">
              <w:rPr>
                <w:rFonts w:asciiTheme="majorHAnsi" w:eastAsia="Times New Roman" w:hAnsiTheme="majorHAnsi" w:cstheme="majorHAnsi"/>
                <w:sz w:val="18"/>
                <w:szCs w:val="18"/>
              </w:rPr>
              <w:t>,</w:t>
            </w:r>
            <w:r w:rsidRPr="00212716">
              <w:rPr>
                <w:rFonts w:asciiTheme="majorHAnsi" w:eastAsia="Times New Roman" w:hAnsiTheme="majorHAnsi" w:cstheme="majorHAnsi"/>
                <w:sz w:val="18"/>
                <w:szCs w:val="18"/>
              </w:rPr>
              <w:t>8</w:t>
            </w:r>
          </w:p>
        </w:tc>
        <w:tc>
          <w:tcPr>
            <w:tcW w:w="992" w:type="dxa"/>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28</w:t>
            </w:r>
          </w:p>
        </w:tc>
        <w:tc>
          <w:tcPr>
            <w:tcW w:w="992" w:type="dxa"/>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29</w:t>
            </w:r>
          </w:p>
        </w:tc>
      </w:tr>
      <w:tr w:rsidR="00C30B73" w:rsidRPr="00C232C6" w:rsidTr="00B178B0">
        <w:trPr>
          <w:trHeight w:val="66"/>
        </w:trPr>
        <w:tc>
          <w:tcPr>
            <w:tcW w:w="4048" w:type="dxa"/>
            <w:hideMark/>
          </w:tcPr>
          <w:p w:rsidR="00C30B73" w:rsidRPr="00212716"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4 . Обновяване на ЗЗНН</w:t>
            </w:r>
          </w:p>
        </w:tc>
        <w:tc>
          <w:tcPr>
            <w:tcW w:w="1305" w:type="dxa"/>
            <w:shd w:val="clear" w:color="auto" w:fill="F2F2F2" w:themeFill="background1" w:themeFillShade="F2"/>
            <w:hideMark/>
          </w:tcPr>
          <w:p w:rsidR="00C30B73" w:rsidRPr="00212716" w:rsidRDefault="00C30B73" w:rsidP="00B178B0">
            <w:pPr>
              <w:widowControl w:val="0"/>
              <w:tabs>
                <w:tab w:val="left" w:pos="0"/>
              </w:tabs>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тон</w:t>
            </w:r>
          </w:p>
        </w:tc>
        <w:tc>
          <w:tcPr>
            <w:tcW w:w="1134" w:type="dxa"/>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Pr>
                <w:rFonts w:asciiTheme="majorHAnsi" w:eastAsia="Times New Roman" w:hAnsiTheme="majorHAnsi" w:cstheme="majorHAnsi"/>
                <w:sz w:val="18"/>
                <w:szCs w:val="18"/>
              </w:rPr>
              <w:t>42 290</w:t>
            </w:r>
          </w:p>
        </w:tc>
        <w:tc>
          <w:tcPr>
            <w:tcW w:w="851" w:type="dxa"/>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42 290</w:t>
            </w:r>
          </w:p>
        </w:tc>
        <w:tc>
          <w:tcPr>
            <w:tcW w:w="992" w:type="dxa"/>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42 290</w:t>
            </w:r>
          </w:p>
        </w:tc>
        <w:tc>
          <w:tcPr>
            <w:tcW w:w="992" w:type="dxa"/>
            <w:hideMark/>
          </w:tcPr>
          <w:p w:rsidR="00C30B73" w:rsidRPr="00212716"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212716">
              <w:rPr>
                <w:rFonts w:asciiTheme="majorHAnsi" w:eastAsia="Times New Roman" w:hAnsiTheme="majorHAnsi" w:cstheme="majorHAnsi"/>
                <w:sz w:val="18"/>
                <w:szCs w:val="18"/>
              </w:rPr>
              <w:t>50 500</w:t>
            </w:r>
          </w:p>
        </w:tc>
      </w:tr>
    </w:tbl>
    <w:p w:rsidR="007F4FEF" w:rsidRPr="00652BD4" w:rsidRDefault="007F4FEF" w:rsidP="00401CCB">
      <w:pPr>
        <w:spacing w:before="120" w:after="0"/>
        <w:rPr>
          <w:rFonts w:eastAsia="Times New Roman"/>
          <w:sz w:val="18"/>
          <w:szCs w:val="18"/>
        </w:rPr>
      </w:pPr>
      <w:r w:rsidRPr="00652BD4">
        <w:rPr>
          <w:rFonts w:eastAsia="Times New Roman"/>
          <w:sz w:val="18"/>
          <w:szCs w:val="18"/>
        </w:rPr>
        <w:t>*ДР - Държавни резерви;</w:t>
      </w:r>
      <w:r w:rsidR="00C30B73">
        <w:rPr>
          <w:rFonts w:eastAsia="Times New Roman"/>
          <w:sz w:val="18"/>
          <w:szCs w:val="18"/>
        </w:rPr>
        <w:t xml:space="preserve"> </w:t>
      </w:r>
      <w:r w:rsidRPr="00652BD4">
        <w:rPr>
          <w:rFonts w:eastAsia="Times New Roman"/>
          <w:sz w:val="18"/>
          <w:szCs w:val="18"/>
        </w:rPr>
        <w:t>ЗЗНН - Задължителни запаси от нефт и нефтопродукти;</w:t>
      </w:r>
      <w:r w:rsidR="00C30B73">
        <w:rPr>
          <w:rFonts w:eastAsia="Times New Roman"/>
          <w:sz w:val="18"/>
          <w:szCs w:val="18"/>
        </w:rPr>
        <w:t xml:space="preserve"> </w:t>
      </w:r>
      <w:r w:rsidRPr="00652BD4">
        <w:rPr>
          <w:rFonts w:eastAsia="Times New Roman"/>
          <w:sz w:val="18"/>
          <w:szCs w:val="18"/>
        </w:rPr>
        <w:t>ВВЗ - Военновременни запаси.</w:t>
      </w:r>
    </w:p>
    <w:p w:rsidR="00C30B73" w:rsidRPr="009F1DB9" w:rsidRDefault="00C30B73" w:rsidP="00C30B73">
      <w:pPr>
        <w:spacing w:before="240"/>
        <w:rPr>
          <w:rFonts w:eastAsia="Times New Roman"/>
        </w:rPr>
      </w:pPr>
      <w:r w:rsidRPr="00363F11">
        <w:rPr>
          <w:rFonts w:eastAsia="Times New Roman"/>
          <w:b/>
        </w:rPr>
        <w:t xml:space="preserve">Министерството на финансите </w:t>
      </w:r>
      <w:r w:rsidRPr="00363F11">
        <w:rPr>
          <w:rFonts w:eastAsia="Times New Roman"/>
        </w:rPr>
        <w:t xml:space="preserve">е отговорната институция за разработването, координирането, провеждането и осъществяването на държавната политика в областите публични финанси, данъчна политика, управление на държавния дълг, вътрешния </w:t>
      </w:r>
      <w:r w:rsidRPr="009F1DB9">
        <w:rPr>
          <w:rFonts w:eastAsia="Times New Roman"/>
        </w:rPr>
        <w:t>контрол, финансовите услуги и финансовите пазари.</w:t>
      </w:r>
    </w:p>
    <w:p w:rsidR="004A6F4B" w:rsidRPr="00652BD4" w:rsidRDefault="004A6F4B" w:rsidP="00401CCB">
      <w:pPr>
        <w:spacing w:before="120" w:after="0"/>
        <w:rPr>
          <w:rFonts w:eastAsia="Times New Roman"/>
          <w:b/>
          <w:sz w:val="18"/>
          <w:szCs w:val="18"/>
        </w:rPr>
      </w:pPr>
    </w:p>
    <w:p w:rsidR="000C32FC" w:rsidRPr="00401CCB" w:rsidRDefault="000C32FC" w:rsidP="003403BF">
      <w:pPr>
        <w:pStyle w:val="Heading4"/>
        <w:numPr>
          <w:ilvl w:val="3"/>
          <w:numId w:val="32"/>
        </w:numPr>
        <w:rPr>
          <w:rFonts w:eastAsia="Times New Roman"/>
        </w:rPr>
      </w:pPr>
      <w:r w:rsidRPr="00401CCB">
        <w:rPr>
          <w:rFonts w:eastAsia="Times New Roman"/>
        </w:rPr>
        <w:t xml:space="preserve">Политика в областта на устойчивите и прозрачни публични финанси </w:t>
      </w:r>
    </w:p>
    <w:p w:rsidR="00C30B73" w:rsidRDefault="00C30B73" w:rsidP="00A206B4">
      <w:pPr>
        <w:spacing w:before="120" w:after="0"/>
        <w:rPr>
          <w:rFonts w:eastAsia="Times New Roman"/>
        </w:rPr>
      </w:pPr>
    </w:p>
    <w:p w:rsidR="00C30B73" w:rsidRPr="00C30B73" w:rsidRDefault="00C30B73" w:rsidP="00C30B73">
      <w:pPr>
        <w:spacing w:before="120" w:after="0"/>
        <w:rPr>
          <w:rFonts w:eastAsia="Times New Roman"/>
        </w:rPr>
      </w:pPr>
      <w:r w:rsidRPr="00C30B73">
        <w:rPr>
          <w:rFonts w:eastAsia="Times New Roman"/>
        </w:rPr>
        <w:t xml:space="preserve">Основните правомощия на министъра на финансите по отношение на провеждането на държавната политика в областта на устойчивите и прозрачни публични финанси са тясно свързани с гарантиране на фискална стабилност, постепенна фискална консолидация, съобразена с икономическия цикъл, поддържане на макроикономическа стабилност и осигуряване на финансиране на основните функции на държавата чрез бюджета, както и разработването на основните бюджетни документи - средносрочната бюджетна прогноза и нейната актуализация, съставянето на държавния бюджет на Република България и контролиране текущото му изпълнение. За осъществяване на тези </w:t>
      </w:r>
      <w:r w:rsidR="00044D8D" w:rsidRPr="00044D8D">
        <w:rPr>
          <w:rFonts w:eastAsia="Times New Roman"/>
        </w:rPr>
        <w:t>функции и задачи</w:t>
      </w:r>
      <w:r w:rsidRPr="00C30B73">
        <w:rPr>
          <w:rFonts w:eastAsia="Times New Roman"/>
        </w:rPr>
        <w:t xml:space="preserve"> Министерството на финансите следва целите, свързани с провеждането на последователна, прозрачна и предвидима фискална политика и повишаване ефективността на публичните разходи, като постигането им кореспондира и със стремежа на правителството за устойчива тенденция към подобряване на бюджетната позиция и възстановяване на бюджетния баланс.</w:t>
      </w:r>
    </w:p>
    <w:p w:rsidR="00071E32" w:rsidRDefault="00071E32" w:rsidP="000C32FC">
      <w:pPr>
        <w:rPr>
          <w:b/>
          <w:sz w:val="20"/>
          <w:szCs w:val="20"/>
        </w:rPr>
      </w:pPr>
    </w:p>
    <w:p w:rsidR="000C32FC" w:rsidRDefault="000C32FC" w:rsidP="000C32FC">
      <w:pPr>
        <w:rPr>
          <w:b/>
          <w:sz w:val="20"/>
          <w:szCs w:val="20"/>
        </w:rPr>
      </w:pPr>
      <w:r w:rsidRPr="000C32FC">
        <w:rPr>
          <w:b/>
          <w:sz w:val="20"/>
          <w:szCs w:val="20"/>
        </w:rPr>
        <w:t>КЛЮЧОВИ ИНДИКАТОРИ ЗА ИЗПЪЛНЕНИЕ И ЦЕЛЕВИ СТОЙНОСТИ</w:t>
      </w:r>
    </w:p>
    <w:tbl>
      <w:tblPr>
        <w:tblStyle w:val="TableGrid2"/>
        <w:tblW w:w="9180" w:type="dxa"/>
        <w:tblBorders>
          <w:left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2093"/>
        <w:gridCol w:w="1134"/>
        <w:gridCol w:w="1559"/>
        <w:gridCol w:w="1843"/>
        <w:gridCol w:w="1134"/>
        <w:gridCol w:w="1417"/>
      </w:tblGrid>
      <w:tr w:rsidR="00C30B73" w:rsidRPr="009F1DB9" w:rsidTr="008C1CE3">
        <w:trPr>
          <w:trHeight w:val="60"/>
          <w:tblHeader/>
        </w:trPr>
        <w:tc>
          <w:tcPr>
            <w:tcW w:w="2093" w:type="dxa"/>
            <w:tcBorders>
              <w:bottom w:val="nil"/>
            </w:tcBorders>
            <w:vAlign w:val="center"/>
          </w:tcPr>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Политика в областта на устойчивите и прозрачни публични финанси</w:t>
            </w:r>
          </w:p>
        </w:tc>
        <w:tc>
          <w:tcPr>
            <w:tcW w:w="1134" w:type="dxa"/>
            <w:vMerge w:val="restart"/>
            <w:tcBorders>
              <w:bottom w:val="nil"/>
            </w:tcBorders>
            <w:shd w:val="clear" w:color="auto" w:fill="F2F2F2" w:themeFill="background1" w:themeFillShade="F2"/>
            <w:vAlign w:val="center"/>
          </w:tcPr>
          <w:p w:rsidR="00C30B73" w:rsidRPr="009F1DB9" w:rsidRDefault="00C30B73" w:rsidP="00B178B0">
            <w:pPr>
              <w:spacing w:after="0"/>
              <w:jc w:val="center"/>
              <w:rPr>
                <w:rFonts w:cs="Times New Roman"/>
                <w:b/>
                <w:iCs/>
                <w:sz w:val="18"/>
                <w:szCs w:val="18"/>
              </w:rPr>
            </w:pPr>
            <w:r w:rsidRPr="009F1DB9">
              <w:rPr>
                <w:rFonts w:cs="Times New Roman"/>
                <w:b/>
                <w:iCs/>
                <w:sz w:val="18"/>
                <w:szCs w:val="18"/>
              </w:rPr>
              <w:t>Мерна единица</w:t>
            </w:r>
          </w:p>
        </w:tc>
        <w:tc>
          <w:tcPr>
            <w:tcW w:w="5953" w:type="dxa"/>
            <w:gridSpan w:val="4"/>
            <w:tcBorders>
              <w:bottom w:val="single" w:sz="4" w:space="0" w:color="auto"/>
            </w:tcBorders>
            <w:vAlign w:val="center"/>
          </w:tcPr>
          <w:p w:rsidR="00C30B73" w:rsidRPr="006F2CDA" w:rsidRDefault="00C30B73" w:rsidP="00B178B0">
            <w:pPr>
              <w:spacing w:after="0"/>
              <w:ind w:left="162" w:hanging="162"/>
              <w:jc w:val="center"/>
              <w:rPr>
                <w:rFonts w:cs="Times New Roman"/>
                <w:b/>
                <w:iCs/>
                <w:sz w:val="18"/>
                <w:szCs w:val="18"/>
              </w:rPr>
            </w:pPr>
            <w:r w:rsidRPr="006F2CDA">
              <w:rPr>
                <w:rFonts w:cs="Times New Roman"/>
                <w:b/>
                <w:iCs/>
                <w:sz w:val="18"/>
                <w:szCs w:val="18"/>
              </w:rPr>
              <w:t>Целева стойност</w:t>
            </w:r>
          </w:p>
        </w:tc>
      </w:tr>
      <w:tr w:rsidR="00C30B73" w:rsidRPr="009F1DB9" w:rsidTr="008C1CE3">
        <w:trPr>
          <w:trHeight w:val="450"/>
          <w:tblHeader/>
        </w:trPr>
        <w:tc>
          <w:tcPr>
            <w:tcW w:w="2093" w:type="dxa"/>
            <w:tcBorders>
              <w:top w:val="nil"/>
              <w:bottom w:val="single" w:sz="4" w:space="0" w:color="auto"/>
            </w:tcBorders>
            <w:vAlign w:val="center"/>
          </w:tcPr>
          <w:p w:rsidR="00C30B73" w:rsidRPr="009F1DB9" w:rsidRDefault="00C30B73" w:rsidP="00B178B0">
            <w:pPr>
              <w:spacing w:after="0"/>
              <w:jc w:val="center"/>
              <w:rPr>
                <w:rFonts w:cs="Times New Roman"/>
                <w:b/>
                <w:iCs/>
                <w:sz w:val="18"/>
                <w:szCs w:val="18"/>
              </w:rPr>
            </w:pPr>
            <w:r w:rsidRPr="009F1DB9">
              <w:rPr>
                <w:rFonts w:cs="Times New Roman"/>
                <w:b/>
                <w:iCs/>
                <w:sz w:val="18"/>
                <w:szCs w:val="18"/>
              </w:rPr>
              <w:t>Наименование на индикатора</w:t>
            </w:r>
          </w:p>
        </w:tc>
        <w:tc>
          <w:tcPr>
            <w:tcW w:w="1134" w:type="dxa"/>
            <w:vMerge/>
            <w:tcBorders>
              <w:top w:val="nil"/>
              <w:bottom w:val="single" w:sz="4" w:space="0" w:color="auto"/>
            </w:tcBorders>
            <w:shd w:val="clear" w:color="auto" w:fill="F2F2F2" w:themeFill="background1" w:themeFillShade="F2"/>
            <w:vAlign w:val="center"/>
          </w:tcPr>
          <w:p w:rsidR="00C30B73" w:rsidRPr="009F1DB9" w:rsidRDefault="00C30B73" w:rsidP="00B178B0">
            <w:pPr>
              <w:spacing w:after="0"/>
              <w:jc w:val="center"/>
              <w:rPr>
                <w:rFonts w:cs="Times New Roman"/>
                <w:b/>
                <w:iCs/>
                <w:sz w:val="18"/>
                <w:szCs w:val="18"/>
              </w:rPr>
            </w:pPr>
          </w:p>
        </w:tc>
        <w:tc>
          <w:tcPr>
            <w:tcW w:w="1559" w:type="dxa"/>
            <w:tcBorders>
              <w:top w:val="single" w:sz="4" w:space="0" w:color="auto"/>
              <w:bottom w:val="single" w:sz="4" w:space="0" w:color="auto"/>
            </w:tcBorders>
            <w:vAlign w:val="center"/>
          </w:tcPr>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Програма</w:t>
            </w:r>
          </w:p>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2019 г.</w:t>
            </w:r>
          </w:p>
        </w:tc>
        <w:tc>
          <w:tcPr>
            <w:tcW w:w="1843" w:type="dxa"/>
            <w:tcBorders>
              <w:top w:val="single" w:sz="4" w:space="0" w:color="auto"/>
              <w:bottom w:val="single" w:sz="4" w:space="0" w:color="auto"/>
            </w:tcBorders>
            <w:vAlign w:val="center"/>
          </w:tcPr>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Проект</w:t>
            </w:r>
          </w:p>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2020 г.</w:t>
            </w:r>
          </w:p>
        </w:tc>
        <w:tc>
          <w:tcPr>
            <w:tcW w:w="1134" w:type="dxa"/>
            <w:tcBorders>
              <w:top w:val="single" w:sz="4" w:space="0" w:color="auto"/>
              <w:bottom w:val="single" w:sz="4" w:space="0" w:color="auto"/>
            </w:tcBorders>
            <w:vAlign w:val="center"/>
          </w:tcPr>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Прогноза</w:t>
            </w:r>
          </w:p>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2021 г.</w:t>
            </w:r>
          </w:p>
        </w:tc>
        <w:tc>
          <w:tcPr>
            <w:tcW w:w="1417" w:type="dxa"/>
            <w:tcBorders>
              <w:top w:val="single" w:sz="4" w:space="0" w:color="auto"/>
              <w:bottom w:val="single" w:sz="4" w:space="0" w:color="auto"/>
            </w:tcBorders>
            <w:vAlign w:val="center"/>
          </w:tcPr>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Прогноза</w:t>
            </w:r>
          </w:p>
          <w:p w:rsidR="00C30B73" w:rsidRPr="009F1DB9" w:rsidRDefault="00C30B73" w:rsidP="00B178B0">
            <w:pPr>
              <w:spacing w:after="0"/>
              <w:jc w:val="center"/>
              <w:rPr>
                <w:rFonts w:cs="Times New Roman"/>
                <w:b/>
                <w:i/>
                <w:iCs/>
                <w:sz w:val="18"/>
                <w:szCs w:val="18"/>
              </w:rPr>
            </w:pPr>
            <w:r w:rsidRPr="009F1DB9">
              <w:rPr>
                <w:rFonts w:cs="Times New Roman"/>
                <w:b/>
                <w:i/>
                <w:iCs/>
                <w:sz w:val="18"/>
                <w:szCs w:val="18"/>
              </w:rPr>
              <w:t>2022 г.</w:t>
            </w:r>
          </w:p>
        </w:tc>
      </w:tr>
      <w:tr w:rsidR="00C30B73" w:rsidRPr="009F1DB9" w:rsidTr="00B41461">
        <w:trPr>
          <w:trHeight w:val="255"/>
        </w:trPr>
        <w:tc>
          <w:tcPr>
            <w:tcW w:w="2093" w:type="dxa"/>
            <w:tcBorders>
              <w:top w:val="single" w:sz="4" w:space="0" w:color="auto"/>
              <w:bottom w:val="nil"/>
            </w:tcBorders>
          </w:tcPr>
          <w:p w:rsidR="00C30B73" w:rsidRPr="000D1B2A"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1. Салдо по КФП</w:t>
            </w:r>
          </w:p>
        </w:tc>
        <w:tc>
          <w:tcPr>
            <w:tcW w:w="1134" w:type="dxa"/>
            <w:tcBorders>
              <w:top w:val="single" w:sz="4" w:space="0" w:color="auto"/>
              <w:bottom w:val="nil"/>
            </w:tcBorders>
            <w:shd w:val="clear" w:color="auto" w:fill="F2F2F2" w:themeFill="background1" w:themeFillShade="F2"/>
          </w:tcPr>
          <w:p w:rsidR="00C30B73" w:rsidRPr="000D1B2A"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 от БВП</w:t>
            </w:r>
          </w:p>
        </w:tc>
        <w:tc>
          <w:tcPr>
            <w:tcW w:w="1559" w:type="dxa"/>
            <w:tcBorders>
              <w:top w:val="single" w:sz="4" w:space="0" w:color="auto"/>
              <w:bottom w:val="nil"/>
            </w:tcBorders>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-0,5</w:t>
            </w:r>
            <w:r w:rsidR="00C359A8" w:rsidRPr="00C359A8">
              <w:rPr>
                <w:rFonts w:asciiTheme="majorHAnsi" w:eastAsia="Times New Roman" w:hAnsiTheme="majorHAnsi" w:cstheme="majorHAnsi"/>
                <w:sz w:val="18"/>
                <w:szCs w:val="18"/>
              </w:rPr>
              <w:t>*</w:t>
            </w:r>
          </w:p>
        </w:tc>
        <w:tc>
          <w:tcPr>
            <w:tcW w:w="1843" w:type="dxa"/>
            <w:tcBorders>
              <w:top w:val="single" w:sz="4" w:space="0" w:color="auto"/>
              <w:bottom w:val="nil"/>
            </w:tcBorders>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1134" w:type="dxa"/>
            <w:tcBorders>
              <w:top w:val="single" w:sz="4" w:space="0" w:color="auto"/>
              <w:bottom w:val="nil"/>
            </w:tcBorders>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c>
          <w:tcPr>
            <w:tcW w:w="1417" w:type="dxa"/>
            <w:tcBorders>
              <w:top w:val="single" w:sz="4" w:space="0" w:color="auto"/>
              <w:bottom w:val="nil"/>
            </w:tcBorders>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0</w:t>
            </w:r>
          </w:p>
        </w:tc>
      </w:tr>
      <w:tr w:rsidR="00C30B73" w:rsidRPr="009F1DB9" w:rsidTr="00B41461">
        <w:trPr>
          <w:trHeight w:val="255"/>
        </w:trPr>
        <w:tc>
          <w:tcPr>
            <w:tcW w:w="2093" w:type="dxa"/>
            <w:tcBorders>
              <w:top w:val="nil"/>
            </w:tcBorders>
          </w:tcPr>
          <w:p w:rsidR="00C30B73" w:rsidRPr="000D1B2A"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2. Рейтингова оценка за България за открит бюджет, присъдена от Международното бюджетно партньорство (IBP)</w:t>
            </w:r>
          </w:p>
        </w:tc>
        <w:tc>
          <w:tcPr>
            <w:tcW w:w="1134" w:type="dxa"/>
            <w:tcBorders>
              <w:top w:val="nil"/>
            </w:tcBorders>
            <w:shd w:val="clear" w:color="auto" w:fill="F2F2F2" w:themeFill="background1" w:themeFillShade="F2"/>
          </w:tcPr>
          <w:p w:rsidR="00C30B73" w:rsidRPr="000D1B2A" w:rsidRDefault="00C30B73" w:rsidP="00B178B0">
            <w:pPr>
              <w:widowControl w:val="0"/>
              <w:autoSpaceDE w:val="0"/>
              <w:autoSpaceDN w:val="0"/>
              <w:adjustRightInd w:val="0"/>
              <w:spacing w:after="0"/>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Брой точки - индекс</w:t>
            </w:r>
          </w:p>
        </w:tc>
        <w:tc>
          <w:tcPr>
            <w:tcW w:w="1559" w:type="dxa"/>
            <w:tcBorders>
              <w:top w:val="nil"/>
            </w:tcBorders>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Не се присъжда</w:t>
            </w:r>
          </w:p>
        </w:tc>
        <w:tc>
          <w:tcPr>
            <w:tcW w:w="1843" w:type="dxa"/>
            <w:tcBorders>
              <w:top w:val="nil"/>
            </w:tcBorders>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Не по-малко от достигнатото равнище от 66 с тенденция към повишаване (от проучването през 2019 г.)</w:t>
            </w:r>
          </w:p>
        </w:tc>
        <w:tc>
          <w:tcPr>
            <w:tcW w:w="1134" w:type="dxa"/>
            <w:tcBorders>
              <w:top w:val="nil"/>
            </w:tcBorders>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Не се присъжда</w:t>
            </w:r>
          </w:p>
        </w:tc>
        <w:tc>
          <w:tcPr>
            <w:tcW w:w="1417" w:type="dxa"/>
            <w:tcBorders>
              <w:top w:val="nil"/>
            </w:tcBorders>
          </w:tcPr>
          <w:p w:rsidR="00C30B73" w:rsidRPr="000D1B2A" w:rsidRDefault="00C30B73"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D1B2A">
              <w:rPr>
                <w:rFonts w:asciiTheme="majorHAnsi" w:eastAsia="Times New Roman" w:hAnsiTheme="majorHAnsi" w:cstheme="majorHAnsi"/>
                <w:sz w:val="18"/>
                <w:szCs w:val="18"/>
              </w:rPr>
              <w:t>Не по-малко от достигнатото равнище от проучването през 2019 г. с тенденция към повишаване</w:t>
            </w:r>
          </w:p>
        </w:tc>
      </w:tr>
    </w:tbl>
    <w:p w:rsidR="00C359A8" w:rsidRPr="008C1CE3" w:rsidRDefault="00C359A8" w:rsidP="000C32FC">
      <w:pPr>
        <w:rPr>
          <w:sz w:val="18"/>
          <w:szCs w:val="18"/>
        </w:rPr>
      </w:pPr>
      <w:r w:rsidRPr="008C1CE3">
        <w:rPr>
          <w:sz w:val="18"/>
          <w:szCs w:val="18"/>
        </w:rPr>
        <w:t>*В съответствие с параметрите на приетия от Народното събрание Закон за изменение и допълнение на Закона за държавния бюджет на Република България за 2019 г. от месец юли 2019 г., с който са увеличени разходите по бюджета на Министерството на отбраната за 2019 г. за придобиване на нов тип боен самолет от въоръжените сили на Република България, съответно салдото по КФП по ревизираната оценка за 2019 г. става -2,1% от БВП.</w:t>
      </w:r>
    </w:p>
    <w:p w:rsidR="001070B7" w:rsidRPr="000C32FC" w:rsidRDefault="001070B7" w:rsidP="000C32FC">
      <w:pPr>
        <w:rPr>
          <w:b/>
          <w:sz w:val="20"/>
          <w:szCs w:val="20"/>
        </w:rPr>
      </w:pPr>
    </w:p>
    <w:p w:rsidR="000C32FC" w:rsidRPr="00401CCB" w:rsidRDefault="000C32FC" w:rsidP="003403BF">
      <w:pPr>
        <w:pStyle w:val="Heading4"/>
        <w:numPr>
          <w:ilvl w:val="3"/>
          <w:numId w:val="32"/>
        </w:numPr>
        <w:rPr>
          <w:rFonts w:eastAsia="Times New Roman"/>
        </w:rPr>
      </w:pPr>
      <w:r w:rsidRPr="00401CCB">
        <w:rPr>
          <w:rFonts w:eastAsia="Times New Roman"/>
        </w:rPr>
        <w:t>Политика в областта на ефективно събиране на всички държавни приходи</w:t>
      </w:r>
    </w:p>
    <w:p w:rsidR="00C30B73" w:rsidRDefault="00C30B73" w:rsidP="00365ACC">
      <w:pPr>
        <w:spacing w:before="120" w:after="0"/>
        <w:ind w:right="45"/>
        <w:rPr>
          <w:rFonts w:eastAsiaTheme="minorHAnsi"/>
          <w:szCs w:val="24"/>
        </w:rPr>
      </w:pPr>
    </w:p>
    <w:p w:rsidR="00C30B73" w:rsidRDefault="00C30B73" w:rsidP="00C30B73">
      <w:pPr>
        <w:spacing w:after="120"/>
        <w:ind w:right="45"/>
        <w:rPr>
          <w:rFonts w:eastAsiaTheme="minorHAnsi"/>
          <w:szCs w:val="24"/>
        </w:rPr>
      </w:pPr>
      <w:r w:rsidRPr="00FE14E4">
        <w:rPr>
          <w:rFonts w:eastAsiaTheme="minorHAnsi"/>
          <w:szCs w:val="24"/>
        </w:rPr>
        <w:t xml:space="preserve">През периода 2019-2022 г. провежданата от Министерството на финансите данъчна политика е ориентирана към постигане на макроикономическа и бюджетна стабилност в средносрочен и дългосрочен план и осигуряване на необходимия финансов ресурс за изпълнение на разходните политики на правителството. Политиката в областта на данъците се характеризира с предвидимост, като същевременно се насърчава развитието на бизнеса и инвестиционната активност, чрез запазване на ниските данъчни ставки за преките данъци (корпоративни данъци и данъци върху доходите на физическите лица), широка данъчна основа и малко на брой данъчни преференции. </w:t>
      </w:r>
    </w:p>
    <w:p w:rsidR="00C30B73" w:rsidRPr="00FE14E4" w:rsidRDefault="00C30B73" w:rsidP="00C30B73">
      <w:pPr>
        <w:spacing w:after="120"/>
        <w:ind w:right="45"/>
        <w:rPr>
          <w:rFonts w:eastAsiaTheme="minorHAnsi"/>
          <w:szCs w:val="24"/>
        </w:rPr>
      </w:pPr>
      <w:r w:rsidRPr="00FE14E4">
        <w:rPr>
          <w:rFonts w:eastAsiaTheme="minorHAnsi"/>
          <w:szCs w:val="24"/>
        </w:rPr>
        <w:t>В международен аспект данъчната политика на страната е насочена в подкрепа на функционирането на единния пазар на Европейския съюз и за посрещане на предизвикателствата на глобализацията и дигитализацията на икономиката.</w:t>
      </w:r>
    </w:p>
    <w:p w:rsidR="00C30B73" w:rsidRPr="007D6981" w:rsidRDefault="00C30B73" w:rsidP="00C30B73">
      <w:pPr>
        <w:rPr>
          <w:rFonts w:eastAsia="Times New Roman"/>
          <w:iCs/>
          <w:lang w:val="ru-RU"/>
        </w:rPr>
      </w:pPr>
      <w:r w:rsidRPr="00FE14E4">
        <w:rPr>
          <w:rFonts w:eastAsia="Times New Roman"/>
          <w:iCs/>
        </w:rPr>
        <w:t xml:space="preserve">Основен принос за постигане на целите на политиката имат Националната агенция за приходите и Агенция </w:t>
      </w:r>
      <w:r>
        <w:rPr>
          <w:rFonts w:eastAsia="Times New Roman"/>
          <w:iCs/>
        </w:rPr>
        <w:t>„</w:t>
      </w:r>
      <w:r w:rsidRPr="00FE14E4">
        <w:rPr>
          <w:rFonts w:eastAsia="Times New Roman"/>
          <w:iCs/>
        </w:rPr>
        <w:t>Митници”.</w:t>
      </w:r>
    </w:p>
    <w:p w:rsidR="00C30B73" w:rsidRDefault="00C30B73" w:rsidP="00365ACC">
      <w:pPr>
        <w:spacing w:before="120" w:after="0"/>
        <w:ind w:right="45"/>
        <w:rPr>
          <w:rFonts w:eastAsiaTheme="minorHAnsi"/>
          <w:szCs w:val="24"/>
        </w:rPr>
      </w:pPr>
    </w:p>
    <w:p w:rsidR="000C32FC" w:rsidRDefault="000C32FC" w:rsidP="000C32FC">
      <w:pPr>
        <w:rPr>
          <w:b/>
          <w:sz w:val="20"/>
          <w:szCs w:val="20"/>
        </w:rPr>
      </w:pPr>
      <w:r w:rsidRPr="000C32FC">
        <w:rPr>
          <w:b/>
          <w:sz w:val="20"/>
          <w:szCs w:val="20"/>
        </w:rPr>
        <w:t>КЛЮЧОВИ ИНДИКАТОРИ ЗА ИЗПЪЛНЕНИЕ И ЦЕЛЕВИ СТОЙНОСТИ</w:t>
      </w:r>
    </w:p>
    <w:tbl>
      <w:tblPr>
        <w:tblStyle w:val="TableGrid2"/>
        <w:tblW w:w="9195"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4"/>
        <w:gridCol w:w="1697"/>
        <w:gridCol w:w="959"/>
        <w:gridCol w:w="996"/>
        <w:gridCol w:w="959"/>
        <w:gridCol w:w="960"/>
        <w:gridCol w:w="960"/>
      </w:tblGrid>
      <w:tr w:rsidR="00B178B0" w:rsidRPr="0001798F" w:rsidTr="00B41461">
        <w:trPr>
          <w:trHeight w:val="459"/>
          <w:tblHeader/>
        </w:trPr>
        <w:tc>
          <w:tcPr>
            <w:tcW w:w="4361" w:type="dxa"/>
            <w:gridSpan w:val="2"/>
            <w:tcBorders>
              <w:bottom w:val="nil"/>
            </w:tcBorders>
            <w:vAlign w:val="center"/>
            <w:hideMark/>
          </w:tcPr>
          <w:p w:rsidR="00B178B0" w:rsidRPr="0001798F" w:rsidRDefault="00B178B0" w:rsidP="00B178B0">
            <w:pPr>
              <w:spacing w:after="0"/>
              <w:jc w:val="center"/>
              <w:rPr>
                <w:rFonts w:eastAsia="Times New Roman"/>
                <w:b/>
                <w:bCs/>
                <w:i/>
                <w:iCs/>
                <w:color w:val="000000"/>
                <w:sz w:val="18"/>
                <w:szCs w:val="18"/>
                <w:lang w:eastAsia="bg-BG"/>
              </w:rPr>
            </w:pPr>
            <w:r w:rsidRPr="0001798F">
              <w:rPr>
                <w:rFonts w:eastAsiaTheme="minorHAnsi"/>
                <w:b/>
                <w:i/>
                <w:iCs/>
                <w:sz w:val="18"/>
                <w:szCs w:val="18"/>
              </w:rPr>
              <w:t xml:space="preserve">Политика в областта на </w:t>
            </w:r>
            <w:r w:rsidRPr="0001798F">
              <w:rPr>
                <w:b/>
                <w:bCs/>
                <w:i/>
                <w:iCs/>
                <w:color w:val="000000"/>
                <w:sz w:val="18"/>
                <w:szCs w:val="18"/>
              </w:rPr>
              <w:t>ефективното събиране на всички държавни приходи</w:t>
            </w:r>
          </w:p>
        </w:tc>
        <w:tc>
          <w:tcPr>
            <w:tcW w:w="959" w:type="dxa"/>
            <w:vMerge w:val="restart"/>
            <w:tcBorders>
              <w:bottom w:val="nil"/>
            </w:tcBorders>
            <w:shd w:val="clear" w:color="auto" w:fill="F2F2F2" w:themeFill="background1" w:themeFillShade="F2"/>
            <w:vAlign w:val="center"/>
            <w:hideMark/>
          </w:tcPr>
          <w:p w:rsidR="00B178B0" w:rsidRPr="0001798F" w:rsidRDefault="00B178B0" w:rsidP="00B178B0">
            <w:pPr>
              <w:spacing w:after="0"/>
              <w:jc w:val="center"/>
              <w:rPr>
                <w:rFonts w:eastAsia="Times New Roman"/>
                <w:b/>
                <w:bCs/>
                <w:color w:val="000000"/>
                <w:sz w:val="18"/>
                <w:szCs w:val="18"/>
                <w:lang w:eastAsia="bg-BG"/>
              </w:rPr>
            </w:pPr>
            <w:r w:rsidRPr="0001798F">
              <w:rPr>
                <w:b/>
                <w:bCs/>
                <w:color w:val="000000"/>
                <w:sz w:val="18"/>
                <w:szCs w:val="18"/>
              </w:rPr>
              <w:t>Мерна единица</w:t>
            </w:r>
          </w:p>
        </w:tc>
        <w:tc>
          <w:tcPr>
            <w:tcW w:w="3875" w:type="dxa"/>
            <w:gridSpan w:val="4"/>
            <w:tcBorders>
              <w:bottom w:val="single" w:sz="4" w:space="0" w:color="auto"/>
            </w:tcBorders>
            <w:vAlign w:val="center"/>
            <w:hideMark/>
          </w:tcPr>
          <w:p w:rsidR="00B178B0" w:rsidRPr="0001798F" w:rsidRDefault="00B178B0" w:rsidP="00B178B0">
            <w:pPr>
              <w:spacing w:after="0"/>
              <w:jc w:val="center"/>
              <w:rPr>
                <w:rFonts w:eastAsia="Times New Roman"/>
                <w:b/>
                <w:bCs/>
                <w:color w:val="000000"/>
                <w:sz w:val="18"/>
                <w:szCs w:val="18"/>
                <w:lang w:eastAsia="bg-BG"/>
              </w:rPr>
            </w:pPr>
            <w:r w:rsidRPr="0001798F">
              <w:rPr>
                <w:b/>
                <w:bCs/>
                <w:color w:val="000000"/>
                <w:sz w:val="18"/>
                <w:szCs w:val="18"/>
              </w:rPr>
              <w:t>Целева стойност</w:t>
            </w:r>
          </w:p>
        </w:tc>
      </w:tr>
      <w:tr w:rsidR="00B178B0" w:rsidRPr="0001798F" w:rsidTr="00B41461">
        <w:trPr>
          <w:trHeight w:val="537"/>
          <w:tblHeader/>
        </w:trPr>
        <w:tc>
          <w:tcPr>
            <w:tcW w:w="4361" w:type="dxa"/>
            <w:gridSpan w:val="2"/>
            <w:tcBorders>
              <w:top w:val="nil"/>
              <w:bottom w:val="single" w:sz="4" w:space="0" w:color="auto"/>
            </w:tcBorders>
            <w:vAlign w:val="center"/>
            <w:hideMark/>
          </w:tcPr>
          <w:p w:rsidR="00B178B0" w:rsidRPr="0001798F" w:rsidRDefault="00B178B0" w:rsidP="00B178B0">
            <w:pPr>
              <w:spacing w:after="0"/>
              <w:jc w:val="center"/>
              <w:rPr>
                <w:rFonts w:eastAsia="Times New Roman"/>
                <w:b/>
                <w:bCs/>
                <w:color w:val="000000"/>
                <w:sz w:val="18"/>
                <w:szCs w:val="18"/>
                <w:lang w:eastAsia="bg-BG"/>
              </w:rPr>
            </w:pPr>
            <w:r w:rsidRPr="0001798F">
              <w:rPr>
                <w:b/>
                <w:bCs/>
                <w:color w:val="000000"/>
                <w:sz w:val="18"/>
                <w:szCs w:val="18"/>
              </w:rPr>
              <w:t>Наименование на индикатора</w:t>
            </w:r>
          </w:p>
        </w:tc>
        <w:tc>
          <w:tcPr>
            <w:tcW w:w="959" w:type="dxa"/>
            <w:vMerge/>
            <w:tcBorders>
              <w:top w:val="nil"/>
              <w:bottom w:val="single" w:sz="4" w:space="0" w:color="auto"/>
            </w:tcBorders>
            <w:shd w:val="clear" w:color="auto" w:fill="F2F2F2" w:themeFill="background1" w:themeFillShade="F2"/>
            <w:vAlign w:val="center"/>
            <w:hideMark/>
          </w:tcPr>
          <w:p w:rsidR="00B178B0" w:rsidRPr="0001798F" w:rsidRDefault="00B178B0" w:rsidP="00B178B0">
            <w:pPr>
              <w:spacing w:after="0"/>
              <w:jc w:val="center"/>
              <w:rPr>
                <w:rFonts w:eastAsia="Times New Roman"/>
                <w:b/>
                <w:bCs/>
                <w:color w:val="000000"/>
                <w:sz w:val="18"/>
                <w:szCs w:val="18"/>
                <w:lang w:eastAsia="bg-BG"/>
              </w:rPr>
            </w:pPr>
          </w:p>
        </w:tc>
        <w:tc>
          <w:tcPr>
            <w:tcW w:w="996" w:type="dxa"/>
            <w:tcBorders>
              <w:top w:val="single" w:sz="4" w:space="0" w:color="auto"/>
              <w:bottom w:val="single" w:sz="4" w:space="0" w:color="auto"/>
            </w:tcBorders>
            <w:vAlign w:val="center"/>
            <w:hideMark/>
          </w:tcPr>
          <w:p w:rsidR="00B178B0" w:rsidRPr="0001798F" w:rsidRDefault="00B178B0" w:rsidP="00B178B0">
            <w:pPr>
              <w:spacing w:after="0"/>
              <w:jc w:val="center"/>
              <w:rPr>
                <w:rFonts w:eastAsia="Times New Roman"/>
                <w:b/>
                <w:bCs/>
                <w:i/>
                <w:iCs/>
                <w:color w:val="000000"/>
                <w:sz w:val="18"/>
                <w:szCs w:val="18"/>
                <w:lang w:eastAsia="bg-BG"/>
              </w:rPr>
            </w:pPr>
            <w:r w:rsidRPr="0001798F">
              <w:rPr>
                <w:b/>
                <w:bCs/>
                <w:i/>
                <w:iCs/>
                <w:color w:val="000000"/>
                <w:sz w:val="18"/>
                <w:szCs w:val="18"/>
              </w:rPr>
              <w:t>Програма 2019 г.</w:t>
            </w:r>
          </w:p>
        </w:tc>
        <w:tc>
          <w:tcPr>
            <w:tcW w:w="959" w:type="dxa"/>
            <w:tcBorders>
              <w:top w:val="single" w:sz="4" w:space="0" w:color="auto"/>
              <w:bottom w:val="single" w:sz="4" w:space="0" w:color="auto"/>
            </w:tcBorders>
            <w:vAlign w:val="center"/>
            <w:hideMark/>
          </w:tcPr>
          <w:p w:rsidR="00B178B0" w:rsidRPr="0001798F" w:rsidRDefault="00B178B0" w:rsidP="00B178B0">
            <w:pPr>
              <w:spacing w:after="0"/>
              <w:jc w:val="center"/>
              <w:rPr>
                <w:b/>
                <w:bCs/>
                <w:i/>
                <w:iCs/>
                <w:sz w:val="18"/>
                <w:szCs w:val="18"/>
              </w:rPr>
            </w:pPr>
            <w:r w:rsidRPr="0001798F">
              <w:rPr>
                <w:b/>
                <w:bCs/>
                <w:i/>
                <w:iCs/>
                <w:sz w:val="18"/>
                <w:szCs w:val="18"/>
              </w:rPr>
              <w:t>Проект</w:t>
            </w:r>
          </w:p>
          <w:p w:rsidR="00B178B0" w:rsidRPr="0001798F" w:rsidRDefault="00B178B0" w:rsidP="00B178B0">
            <w:pPr>
              <w:spacing w:after="0"/>
              <w:jc w:val="center"/>
              <w:rPr>
                <w:rFonts w:eastAsia="Times New Roman"/>
                <w:b/>
                <w:bCs/>
                <w:i/>
                <w:iCs/>
                <w:color w:val="000000"/>
                <w:sz w:val="18"/>
                <w:szCs w:val="18"/>
                <w:lang w:eastAsia="bg-BG"/>
              </w:rPr>
            </w:pPr>
            <w:r w:rsidRPr="0001798F">
              <w:rPr>
                <w:b/>
                <w:bCs/>
                <w:i/>
                <w:iCs/>
                <w:sz w:val="18"/>
                <w:szCs w:val="18"/>
              </w:rPr>
              <w:t>2020 г.</w:t>
            </w:r>
          </w:p>
        </w:tc>
        <w:tc>
          <w:tcPr>
            <w:tcW w:w="960" w:type="dxa"/>
            <w:tcBorders>
              <w:top w:val="single" w:sz="4" w:space="0" w:color="auto"/>
              <w:bottom w:val="single" w:sz="4" w:space="0" w:color="auto"/>
            </w:tcBorders>
            <w:vAlign w:val="center"/>
            <w:hideMark/>
          </w:tcPr>
          <w:p w:rsidR="00B178B0" w:rsidRPr="0001798F" w:rsidRDefault="00B178B0" w:rsidP="00B178B0">
            <w:pPr>
              <w:spacing w:after="0"/>
              <w:jc w:val="center"/>
              <w:rPr>
                <w:rFonts w:eastAsia="Times New Roman"/>
                <w:b/>
                <w:bCs/>
                <w:i/>
                <w:iCs/>
                <w:color w:val="000000"/>
                <w:sz w:val="18"/>
                <w:szCs w:val="18"/>
                <w:lang w:eastAsia="bg-BG"/>
              </w:rPr>
            </w:pPr>
            <w:r w:rsidRPr="0001798F">
              <w:rPr>
                <w:b/>
                <w:bCs/>
                <w:i/>
                <w:iCs/>
                <w:color w:val="000000"/>
                <w:sz w:val="18"/>
                <w:szCs w:val="18"/>
              </w:rPr>
              <w:t>Прогноза 2021 г.</w:t>
            </w:r>
          </w:p>
        </w:tc>
        <w:tc>
          <w:tcPr>
            <w:tcW w:w="960" w:type="dxa"/>
            <w:tcBorders>
              <w:top w:val="single" w:sz="4" w:space="0" w:color="auto"/>
              <w:bottom w:val="single" w:sz="4" w:space="0" w:color="auto"/>
            </w:tcBorders>
            <w:vAlign w:val="center"/>
            <w:hideMark/>
          </w:tcPr>
          <w:p w:rsidR="00B178B0" w:rsidRPr="0001798F" w:rsidRDefault="00B178B0" w:rsidP="00B178B0">
            <w:pPr>
              <w:spacing w:after="0"/>
              <w:jc w:val="center"/>
              <w:rPr>
                <w:rFonts w:eastAsia="Times New Roman"/>
                <w:b/>
                <w:bCs/>
                <w:i/>
                <w:iCs/>
                <w:color w:val="000000"/>
                <w:sz w:val="18"/>
                <w:szCs w:val="18"/>
                <w:lang w:eastAsia="bg-BG"/>
              </w:rPr>
            </w:pPr>
            <w:r w:rsidRPr="0001798F">
              <w:rPr>
                <w:b/>
                <w:bCs/>
                <w:i/>
                <w:iCs/>
                <w:color w:val="000000"/>
                <w:sz w:val="18"/>
                <w:szCs w:val="18"/>
              </w:rPr>
              <w:t>Прогноза 2022 г.</w:t>
            </w:r>
          </w:p>
        </w:tc>
      </w:tr>
      <w:tr w:rsidR="00B178B0" w:rsidRPr="0001798F" w:rsidTr="00B41461">
        <w:trPr>
          <w:trHeight w:val="540"/>
        </w:trPr>
        <w:tc>
          <w:tcPr>
            <w:tcW w:w="2664" w:type="dxa"/>
            <w:vMerge w:val="restart"/>
            <w:tcBorders>
              <w:top w:val="single" w:sz="4" w:space="0" w:color="auto"/>
              <w:bottom w:val="nil"/>
            </w:tcBorders>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 xml:space="preserve">1. Изпълнение на годишния план за приходите - дял на събраните приходи в общата стойност на планираните приходи </w:t>
            </w:r>
          </w:p>
        </w:tc>
        <w:tc>
          <w:tcPr>
            <w:tcW w:w="1697" w:type="dxa"/>
            <w:tcBorders>
              <w:top w:val="single" w:sz="4" w:space="0" w:color="auto"/>
              <w:bottom w:val="nil"/>
            </w:tcBorders>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i/>
                <w:sz w:val="18"/>
                <w:szCs w:val="18"/>
              </w:rPr>
            </w:pPr>
            <w:r w:rsidRPr="0001798F">
              <w:rPr>
                <w:rFonts w:asciiTheme="majorHAnsi" w:eastAsia="Times New Roman" w:hAnsiTheme="majorHAnsi" w:cstheme="majorHAnsi"/>
                <w:sz w:val="18"/>
                <w:szCs w:val="18"/>
              </w:rPr>
              <w:t xml:space="preserve">              </w:t>
            </w:r>
            <w:r w:rsidRPr="0001798F">
              <w:rPr>
                <w:rFonts w:asciiTheme="majorHAnsi" w:eastAsia="Times New Roman" w:hAnsiTheme="majorHAnsi" w:cstheme="majorHAnsi"/>
                <w:i/>
                <w:sz w:val="18"/>
                <w:szCs w:val="18"/>
              </w:rPr>
              <w:t>на НАП</w:t>
            </w:r>
          </w:p>
        </w:tc>
        <w:tc>
          <w:tcPr>
            <w:tcW w:w="959" w:type="dxa"/>
            <w:tcBorders>
              <w:top w:val="single" w:sz="4" w:space="0" w:color="auto"/>
              <w:bottom w:val="nil"/>
            </w:tcBorders>
            <w:shd w:val="clear" w:color="auto" w:fill="F2F2F2" w:themeFill="background1" w:themeFillShade="F2"/>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w:t>
            </w:r>
          </w:p>
        </w:tc>
        <w:tc>
          <w:tcPr>
            <w:tcW w:w="996" w:type="dxa"/>
            <w:tcBorders>
              <w:top w:val="single" w:sz="4" w:space="0" w:color="auto"/>
              <w:bottom w:val="nil"/>
            </w:tcBorders>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100</w:t>
            </w:r>
          </w:p>
        </w:tc>
        <w:tc>
          <w:tcPr>
            <w:tcW w:w="959" w:type="dxa"/>
            <w:tcBorders>
              <w:top w:val="single" w:sz="4" w:space="0" w:color="auto"/>
              <w:bottom w:val="nil"/>
            </w:tcBorders>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100</w:t>
            </w:r>
          </w:p>
        </w:tc>
        <w:tc>
          <w:tcPr>
            <w:tcW w:w="960" w:type="dxa"/>
            <w:tcBorders>
              <w:top w:val="single" w:sz="4" w:space="0" w:color="auto"/>
              <w:bottom w:val="nil"/>
            </w:tcBorders>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100</w:t>
            </w:r>
          </w:p>
        </w:tc>
        <w:tc>
          <w:tcPr>
            <w:tcW w:w="960" w:type="dxa"/>
            <w:tcBorders>
              <w:top w:val="single" w:sz="4" w:space="0" w:color="auto"/>
              <w:bottom w:val="nil"/>
            </w:tcBorders>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100</w:t>
            </w:r>
          </w:p>
        </w:tc>
      </w:tr>
      <w:tr w:rsidR="00B178B0" w:rsidRPr="0001798F" w:rsidTr="00B41461">
        <w:trPr>
          <w:trHeight w:val="576"/>
        </w:trPr>
        <w:tc>
          <w:tcPr>
            <w:tcW w:w="2664" w:type="dxa"/>
            <w:vMerge/>
            <w:tcBorders>
              <w:top w:val="nil"/>
            </w:tcBorders>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sz w:val="18"/>
                <w:szCs w:val="18"/>
              </w:rPr>
            </w:pPr>
          </w:p>
        </w:tc>
        <w:tc>
          <w:tcPr>
            <w:tcW w:w="1697" w:type="dxa"/>
            <w:tcBorders>
              <w:top w:val="nil"/>
            </w:tcBorders>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i/>
                <w:sz w:val="18"/>
                <w:szCs w:val="18"/>
              </w:rPr>
            </w:pPr>
            <w:r w:rsidRPr="0001798F">
              <w:rPr>
                <w:rFonts w:asciiTheme="majorHAnsi" w:eastAsia="Times New Roman" w:hAnsiTheme="majorHAnsi" w:cstheme="majorHAnsi"/>
                <w:sz w:val="18"/>
                <w:szCs w:val="18"/>
              </w:rPr>
              <w:t xml:space="preserve">               </w:t>
            </w:r>
            <w:r w:rsidRPr="0001798F">
              <w:rPr>
                <w:rFonts w:asciiTheme="majorHAnsi" w:eastAsia="Times New Roman" w:hAnsiTheme="majorHAnsi" w:cstheme="majorHAnsi"/>
                <w:i/>
                <w:sz w:val="18"/>
                <w:szCs w:val="18"/>
              </w:rPr>
              <w:t>на  АМ</w:t>
            </w:r>
          </w:p>
        </w:tc>
        <w:tc>
          <w:tcPr>
            <w:tcW w:w="959" w:type="dxa"/>
            <w:tcBorders>
              <w:top w:val="nil"/>
            </w:tcBorders>
            <w:shd w:val="clear" w:color="auto" w:fill="F2F2F2" w:themeFill="background1" w:themeFillShade="F2"/>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w:t>
            </w:r>
          </w:p>
        </w:tc>
        <w:tc>
          <w:tcPr>
            <w:tcW w:w="996" w:type="dxa"/>
            <w:tcBorders>
              <w:top w:val="nil"/>
            </w:tcBorders>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100</w:t>
            </w:r>
          </w:p>
        </w:tc>
        <w:tc>
          <w:tcPr>
            <w:tcW w:w="959" w:type="dxa"/>
            <w:tcBorders>
              <w:top w:val="nil"/>
            </w:tcBorders>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100</w:t>
            </w:r>
          </w:p>
        </w:tc>
        <w:tc>
          <w:tcPr>
            <w:tcW w:w="960" w:type="dxa"/>
            <w:tcBorders>
              <w:top w:val="nil"/>
            </w:tcBorders>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100</w:t>
            </w:r>
          </w:p>
        </w:tc>
        <w:tc>
          <w:tcPr>
            <w:tcW w:w="960" w:type="dxa"/>
            <w:tcBorders>
              <w:top w:val="nil"/>
            </w:tcBorders>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100</w:t>
            </w:r>
          </w:p>
        </w:tc>
      </w:tr>
      <w:tr w:rsidR="00B178B0" w:rsidRPr="0001798F" w:rsidTr="00B178B0">
        <w:trPr>
          <w:trHeight w:val="552"/>
        </w:trPr>
        <w:tc>
          <w:tcPr>
            <w:tcW w:w="4361" w:type="dxa"/>
            <w:gridSpan w:val="2"/>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2. Дял на подадените по електронен път декларации – по чл. 50 ЗДДФЛ (декларациите по ЗДДС, ЗМ и чл. 92 на ЗКПО се подават задължително по електронен път)</w:t>
            </w:r>
          </w:p>
        </w:tc>
        <w:tc>
          <w:tcPr>
            <w:tcW w:w="959" w:type="dxa"/>
            <w:shd w:val="clear" w:color="auto" w:fill="F2F2F2" w:themeFill="background1" w:themeFillShade="F2"/>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w:t>
            </w:r>
          </w:p>
        </w:tc>
        <w:tc>
          <w:tcPr>
            <w:tcW w:w="996"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45,0</w:t>
            </w:r>
          </w:p>
        </w:tc>
        <w:tc>
          <w:tcPr>
            <w:tcW w:w="959"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50,0</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55,0</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60,0</w:t>
            </w:r>
          </w:p>
        </w:tc>
      </w:tr>
      <w:tr w:rsidR="00B178B0" w:rsidRPr="0001798F" w:rsidTr="00B178B0">
        <w:trPr>
          <w:trHeight w:val="632"/>
        </w:trPr>
        <w:tc>
          <w:tcPr>
            <w:tcW w:w="4361" w:type="dxa"/>
            <w:gridSpan w:val="2"/>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3. Относителен дял на декларираните задължения към НАП, погасени в рамките на календарната година, спрямо общия размер на декларираните през годината задължения</w:t>
            </w:r>
          </w:p>
        </w:tc>
        <w:tc>
          <w:tcPr>
            <w:tcW w:w="959" w:type="dxa"/>
            <w:shd w:val="clear" w:color="auto" w:fill="F2F2F2" w:themeFill="background1" w:themeFillShade="F2"/>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w:t>
            </w:r>
          </w:p>
        </w:tc>
        <w:tc>
          <w:tcPr>
            <w:tcW w:w="996"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97,0</w:t>
            </w:r>
          </w:p>
        </w:tc>
        <w:tc>
          <w:tcPr>
            <w:tcW w:w="959"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97,0</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97,0</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97,0</w:t>
            </w:r>
          </w:p>
        </w:tc>
      </w:tr>
      <w:tr w:rsidR="00B178B0" w:rsidRPr="0001798F" w:rsidTr="00B178B0">
        <w:trPr>
          <w:trHeight w:val="127"/>
        </w:trPr>
        <w:tc>
          <w:tcPr>
            <w:tcW w:w="4361" w:type="dxa"/>
            <w:gridSpan w:val="2"/>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4. Извършени от НАП контролни производства в дигитална среда:</w:t>
            </w:r>
          </w:p>
        </w:tc>
        <w:tc>
          <w:tcPr>
            <w:tcW w:w="959" w:type="dxa"/>
            <w:shd w:val="clear" w:color="auto" w:fill="F2F2F2" w:themeFill="background1" w:themeFillShade="F2"/>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p>
        </w:tc>
        <w:tc>
          <w:tcPr>
            <w:tcW w:w="996"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 </w:t>
            </w:r>
          </w:p>
        </w:tc>
        <w:tc>
          <w:tcPr>
            <w:tcW w:w="959"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 </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 </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 </w:t>
            </w:r>
          </w:p>
        </w:tc>
      </w:tr>
      <w:tr w:rsidR="00B178B0" w:rsidRPr="0001798F" w:rsidTr="00B178B0">
        <w:trPr>
          <w:trHeight w:val="480"/>
        </w:trPr>
        <w:tc>
          <w:tcPr>
            <w:tcW w:w="4361" w:type="dxa"/>
            <w:gridSpan w:val="2"/>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 спрямо лица, осъществяващи търговска дейност в интернет;</w:t>
            </w:r>
          </w:p>
        </w:tc>
        <w:tc>
          <w:tcPr>
            <w:tcW w:w="959" w:type="dxa"/>
            <w:shd w:val="clear" w:color="auto" w:fill="F2F2F2" w:themeFill="background1" w:themeFillShade="F2"/>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брой</w:t>
            </w:r>
          </w:p>
        </w:tc>
        <w:tc>
          <w:tcPr>
            <w:tcW w:w="996"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800</w:t>
            </w:r>
          </w:p>
        </w:tc>
        <w:tc>
          <w:tcPr>
            <w:tcW w:w="959"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925</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950</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975</w:t>
            </w:r>
          </w:p>
        </w:tc>
      </w:tr>
      <w:tr w:rsidR="00B178B0" w:rsidRPr="0001798F" w:rsidTr="00B178B0">
        <w:trPr>
          <w:trHeight w:val="341"/>
        </w:trPr>
        <w:tc>
          <w:tcPr>
            <w:tcW w:w="4361" w:type="dxa"/>
            <w:gridSpan w:val="2"/>
            <w:hideMark/>
          </w:tcPr>
          <w:p w:rsidR="00B178B0" w:rsidRPr="0001798F" w:rsidRDefault="00B178B0" w:rsidP="00B178B0">
            <w:pPr>
              <w:widowControl w:val="0"/>
              <w:autoSpaceDE w:val="0"/>
              <w:autoSpaceDN w:val="0"/>
              <w:adjustRightInd w:val="0"/>
              <w:spacing w:after="0"/>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 в които е използван софтуер за анализ на данни в електронен вид.</w:t>
            </w:r>
          </w:p>
        </w:tc>
        <w:tc>
          <w:tcPr>
            <w:tcW w:w="959" w:type="dxa"/>
            <w:shd w:val="clear" w:color="auto" w:fill="F2F2F2" w:themeFill="background1" w:themeFillShade="F2"/>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брой</w:t>
            </w:r>
          </w:p>
        </w:tc>
        <w:tc>
          <w:tcPr>
            <w:tcW w:w="996"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675</w:t>
            </w:r>
          </w:p>
        </w:tc>
        <w:tc>
          <w:tcPr>
            <w:tcW w:w="959"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725</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750</w:t>
            </w:r>
          </w:p>
        </w:tc>
        <w:tc>
          <w:tcPr>
            <w:tcW w:w="960" w:type="dxa"/>
            <w:hideMark/>
          </w:tcPr>
          <w:p w:rsidR="00B178B0" w:rsidRPr="0001798F"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01798F">
              <w:rPr>
                <w:rFonts w:asciiTheme="majorHAnsi" w:eastAsia="Times New Roman" w:hAnsiTheme="majorHAnsi" w:cstheme="majorHAnsi"/>
                <w:sz w:val="18"/>
                <w:szCs w:val="18"/>
              </w:rPr>
              <w:t>775</w:t>
            </w:r>
          </w:p>
        </w:tc>
      </w:tr>
    </w:tbl>
    <w:p w:rsidR="00B178B0" w:rsidRPr="000C32FC" w:rsidRDefault="00B178B0" w:rsidP="000C32FC">
      <w:pPr>
        <w:rPr>
          <w:b/>
          <w:sz w:val="20"/>
          <w:szCs w:val="20"/>
        </w:rPr>
      </w:pPr>
    </w:p>
    <w:p w:rsidR="000C32FC" w:rsidRPr="00401CCB" w:rsidRDefault="000C32FC" w:rsidP="003403BF">
      <w:pPr>
        <w:pStyle w:val="Heading4"/>
        <w:numPr>
          <w:ilvl w:val="3"/>
          <w:numId w:val="32"/>
        </w:numPr>
        <w:rPr>
          <w:rFonts w:eastAsia="Times New Roman"/>
        </w:rPr>
      </w:pPr>
      <w:r w:rsidRPr="00401CCB">
        <w:rPr>
          <w:rFonts w:eastAsia="Times New Roman"/>
        </w:rPr>
        <w:t xml:space="preserve">Политика в областта на защитата на обществото и икономиката от финансови измами, контрабанда на стоки, изпиране на пари и финансиране на тероризма </w:t>
      </w:r>
    </w:p>
    <w:p w:rsidR="00B178B0" w:rsidRDefault="00B178B0" w:rsidP="00365ACC">
      <w:pPr>
        <w:spacing w:before="120" w:after="0"/>
        <w:rPr>
          <w:rFonts w:eastAsia="Times New Roman"/>
          <w:iCs/>
        </w:rPr>
      </w:pPr>
    </w:p>
    <w:p w:rsidR="00B178B0" w:rsidRPr="00B178B0" w:rsidRDefault="00B178B0" w:rsidP="00B178B0">
      <w:pPr>
        <w:spacing w:before="120" w:after="0"/>
        <w:rPr>
          <w:rFonts w:eastAsia="Times New Roman"/>
          <w:iCs/>
        </w:rPr>
      </w:pPr>
      <w:r w:rsidRPr="00B178B0">
        <w:rPr>
          <w:rFonts w:eastAsia="Times New Roman"/>
          <w:iCs/>
        </w:rPr>
        <w:t>Отчитането на степента на изпълнение на целите на политика</w:t>
      </w:r>
      <w:r w:rsidR="00376AFC">
        <w:rPr>
          <w:rFonts w:eastAsia="Times New Roman"/>
          <w:iCs/>
        </w:rPr>
        <w:t>та</w:t>
      </w:r>
      <w:r w:rsidRPr="00B178B0">
        <w:rPr>
          <w:rFonts w:eastAsia="Times New Roman"/>
          <w:iCs/>
        </w:rPr>
        <w:t xml:space="preserve"> е в зависимост от приноса на ангажираните институции, чиито показатели са разнородни предвид спецификата на дейността им:</w:t>
      </w:r>
    </w:p>
    <w:p w:rsidR="00B178B0" w:rsidRPr="00B178B0" w:rsidRDefault="00B178B0" w:rsidP="003403BF">
      <w:pPr>
        <w:numPr>
          <w:ilvl w:val="0"/>
          <w:numId w:val="61"/>
        </w:numPr>
        <w:spacing w:before="120" w:after="0"/>
        <w:rPr>
          <w:rFonts w:eastAsia="Times New Roman"/>
          <w:iCs/>
        </w:rPr>
      </w:pPr>
      <w:r w:rsidRPr="00B178B0">
        <w:rPr>
          <w:rFonts w:eastAsia="Times New Roman"/>
          <w:iCs/>
        </w:rPr>
        <w:t>За нефискалния контрол, осъществяван от Агенция „Митници“ – ефективни мерки срещу:</w:t>
      </w:r>
    </w:p>
    <w:p w:rsidR="00B178B0" w:rsidRPr="00B178B0" w:rsidRDefault="00B178B0" w:rsidP="003403BF">
      <w:pPr>
        <w:numPr>
          <w:ilvl w:val="1"/>
          <w:numId w:val="62"/>
        </w:numPr>
        <w:spacing w:before="120" w:after="0"/>
        <w:rPr>
          <w:rFonts w:eastAsia="Times New Roman"/>
          <w:iCs/>
        </w:rPr>
      </w:pPr>
      <w:r w:rsidRPr="00B178B0">
        <w:rPr>
          <w:rFonts w:eastAsia="Times New Roman"/>
          <w:iCs/>
        </w:rPr>
        <w:t>движението на стоки, подлежащи на ограничения и забрани;</w:t>
      </w:r>
    </w:p>
    <w:p w:rsidR="00B178B0" w:rsidRPr="00B178B0" w:rsidRDefault="00B178B0" w:rsidP="003403BF">
      <w:pPr>
        <w:numPr>
          <w:ilvl w:val="1"/>
          <w:numId w:val="62"/>
        </w:numPr>
        <w:spacing w:before="120" w:after="0"/>
        <w:rPr>
          <w:rFonts w:eastAsia="Times New Roman"/>
          <w:iCs/>
        </w:rPr>
      </w:pPr>
      <w:r w:rsidRPr="00B178B0">
        <w:rPr>
          <w:rFonts w:eastAsia="Times New Roman"/>
          <w:iCs/>
        </w:rPr>
        <w:t>терористичната и престъпната дейност, включително срещу трафика на наркотици, оръжие и прекурсори;</w:t>
      </w:r>
    </w:p>
    <w:p w:rsidR="00B178B0" w:rsidRPr="00B178B0" w:rsidRDefault="00B178B0" w:rsidP="003403BF">
      <w:pPr>
        <w:numPr>
          <w:ilvl w:val="1"/>
          <w:numId w:val="62"/>
        </w:numPr>
        <w:spacing w:before="120" w:after="0"/>
        <w:rPr>
          <w:rFonts w:eastAsia="Times New Roman"/>
          <w:iCs/>
        </w:rPr>
      </w:pPr>
      <w:r w:rsidRPr="00B178B0">
        <w:rPr>
          <w:rFonts w:eastAsia="Times New Roman"/>
          <w:iCs/>
        </w:rPr>
        <w:t>движението на стоки, нарушаващи права върху интелектуалната собственост;</w:t>
      </w:r>
    </w:p>
    <w:p w:rsidR="00B178B0" w:rsidRPr="00B178B0" w:rsidRDefault="00B178B0" w:rsidP="003403BF">
      <w:pPr>
        <w:numPr>
          <w:ilvl w:val="1"/>
          <w:numId w:val="62"/>
        </w:numPr>
        <w:spacing w:before="120" w:after="0"/>
        <w:rPr>
          <w:rFonts w:eastAsia="Times New Roman"/>
          <w:iCs/>
        </w:rPr>
      </w:pPr>
      <w:r w:rsidRPr="00B178B0">
        <w:rPr>
          <w:rFonts w:eastAsia="Times New Roman"/>
          <w:iCs/>
        </w:rPr>
        <w:t>измамите и нарушенията на митническото, валутното и акцизното законодателство.</w:t>
      </w:r>
    </w:p>
    <w:p w:rsidR="00B178B0" w:rsidRPr="00B178B0" w:rsidRDefault="00B178B0" w:rsidP="003403BF">
      <w:pPr>
        <w:numPr>
          <w:ilvl w:val="0"/>
          <w:numId w:val="61"/>
        </w:numPr>
        <w:spacing w:before="120" w:after="0"/>
        <w:rPr>
          <w:rFonts w:eastAsia="Times New Roman"/>
          <w:iCs/>
        </w:rPr>
      </w:pPr>
      <w:r w:rsidRPr="00B178B0">
        <w:rPr>
          <w:rFonts w:eastAsia="Times New Roman"/>
          <w:iCs/>
        </w:rPr>
        <w:t>За провеждане от Държавна</w:t>
      </w:r>
      <w:r w:rsidR="00376AFC">
        <w:rPr>
          <w:rFonts w:eastAsia="Times New Roman"/>
          <w:iCs/>
        </w:rPr>
        <w:t>та</w:t>
      </w:r>
      <w:r w:rsidRPr="00B178B0">
        <w:rPr>
          <w:rFonts w:eastAsia="Times New Roman"/>
          <w:iCs/>
        </w:rPr>
        <w:t xml:space="preserve"> комисия по хазарта /ДКХ/ на ясна и дългосрочна политика по отношение развитието на хазарта у нас:</w:t>
      </w:r>
    </w:p>
    <w:p w:rsidR="00B178B0" w:rsidRPr="00B178B0" w:rsidRDefault="00B178B0" w:rsidP="003403BF">
      <w:pPr>
        <w:numPr>
          <w:ilvl w:val="1"/>
          <w:numId w:val="63"/>
        </w:numPr>
        <w:spacing w:before="120" w:after="0"/>
        <w:rPr>
          <w:rFonts w:eastAsia="Times New Roman"/>
          <w:iCs/>
        </w:rPr>
      </w:pPr>
      <w:r w:rsidRPr="00B178B0">
        <w:rPr>
          <w:rFonts w:eastAsia="Times New Roman"/>
          <w:iCs/>
        </w:rPr>
        <w:t>проверки и проучвания по подадени искания за издаване на лицензи за организиране на хазартни игри и дейности, като техният годишен брой се очаква през периода 2019-2022 г. да е съответно 2 460, 2 500, 2 600 и 2</w:t>
      </w:r>
      <w:r w:rsidR="00376AFC">
        <w:rPr>
          <w:rFonts w:eastAsia="Times New Roman"/>
          <w:iCs/>
        </w:rPr>
        <w:t> </w:t>
      </w:r>
      <w:r w:rsidRPr="00B178B0">
        <w:rPr>
          <w:rFonts w:eastAsia="Times New Roman"/>
          <w:iCs/>
        </w:rPr>
        <w:t>800;</w:t>
      </w:r>
    </w:p>
    <w:p w:rsidR="00B178B0" w:rsidRPr="00B178B0" w:rsidRDefault="00B178B0" w:rsidP="003403BF">
      <w:pPr>
        <w:numPr>
          <w:ilvl w:val="1"/>
          <w:numId w:val="63"/>
        </w:numPr>
        <w:spacing w:before="120" w:after="0"/>
        <w:rPr>
          <w:rFonts w:eastAsia="Times New Roman"/>
          <w:iCs/>
        </w:rPr>
      </w:pPr>
      <w:r w:rsidRPr="00B178B0">
        <w:rPr>
          <w:rFonts w:eastAsia="Times New Roman"/>
          <w:iCs/>
        </w:rPr>
        <w:t>проверки на хазартни обекти, игри и дейности, като техният брой се очаква през периода 2019-2022 г. да е по 500 годишно;</w:t>
      </w:r>
    </w:p>
    <w:p w:rsidR="00B178B0" w:rsidRPr="00B178B0" w:rsidRDefault="00B178B0" w:rsidP="003403BF">
      <w:pPr>
        <w:numPr>
          <w:ilvl w:val="1"/>
          <w:numId w:val="63"/>
        </w:numPr>
        <w:spacing w:before="120" w:after="0"/>
        <w:rPr>
          <w:rFonts w:eastAsia="Times New Roman"/>
          <w:iCs/>
        </w:rPr>
      </w:pPr>
      <w:r w:rsidRPr="00B178B0">
        <w:rPr>
          <w:rFonts w:eastAsia="Times New Roman"/>
          <w:iCs/>
        </w:rPr>
        <w:t>нови интернет страници, чрез които се организират хазартни игри от лица, които не са получили лиценз по Закона за хазарта, включени в списъка, който ДКХ обновява и поддържа на страницата си в интернет, като очакванията са техния</w:t>
      </w:r>
      <w:r w:rsidR="00A30D81">
        <w:rPr>
          <w:rFonts w:eastAsia="Times New Roman"/>
          <w:iCs/>
        </w:rPr>
        <w:t>т</w:t>
      </w:r>
      <w:r w:rsidRPr="00B178B0">
        <w:rPr>
          <w:rFonts w:eastAsia="Times New Roman"/>
          <w:iCs/>
        </w:rPr>
        <w:t xml:space="preserve"> брой да намалява през годините от периода 2019-2022 г. съотве</w:t>
      </w:r>
      <w:r w:rsidR="00422DE1">
        <w:rPr>
          <w:rFonts w:eastAsia="Times New Roman"/>
          <w:iCs/>
        </w:rPr>
        <w:t xml:space="preserve">тно на 40, 30, </w:t>
      </w:r>
      <w:r w:rsidRPr="00B178B0">
        <w:rPr>
          <w:rFonts w:eastAsia="Times New Roman"/>
          <w:iCs/>
        </w:rPr>
        <w:t>25 и 20.</w:t>
      </w:r>
    </w:p>
    <w:p w:rsidR="00B178B0" w:rsidRPr="00B178B0" w:rsidRDefault="00B178B0" w:rsidP="003403BF">
      <w:pPr>
        <w:numPr>
          <w:ilvl w:val="0"/>
          <w:numId w:val="61"/>
        </w:numPr>
        <w:spacing w:before="120" w:after="0"/>
        <w:rPr>
          <w:rFonts w:eastAsia="Times New Roman"/>
          <w:iCs/>
        </w:rPr>
      </w:pPr>
      <w:r w:rsidRPr="00B178B0">
        <w:rPr>
          <w:rFonts w:eastAsia="Times New Roman"/>
          <w:iCs/>
        </w:rPr>
        <w:t>За провеждане на политиката в областта на регулацията на финансовите услуги и финансовите пазари чрез усъвършенстване и хармонизиране на българското законодателство с правото на ЕС с цел:</w:t>
      </w:r>
    </w:p>
    <w:p w:rsidR="00B178B0" w:rsidRPr="00B178B0" w:rsidRDefault="00B178B0" w:rsidP="003403BF">
      <w:pPr>
        <w:numPr>
          <w:ilvl w:val="1"/>
          <w:numId w:val="64"/>
        </w:numPr>
        <w:spacing w:before="120" w:after="0"/>
        <w:rPr>
          <w:rFonts w:eastAsia="Times New Roman"/>
          <w:iCs/>
        </w:rPr>
      </w:pPr>
      <w:r w:rsidRPr="00B178B0">
        <w:rPr>
          <w:rFonts w:eastAsia="Times New Roman"/>
          <w:iCs/>
        </w:rPr>
        <w:t>изграждане на прозрачни и сигурни финансови пазари;</w:t>
      </w:r>
    </w:p>
    <w:p w:rsidR="00B178B0" w:rsidRPr="00B178B0" w:rsidRDefault="00B178B0" w:rsidP="003403BF">
      <w:pPr>
        <w:numPr>
          <w:ilvl w:val="1"/>
          <w:numId w:val="64"/>
        </w:numPr>
        <w:spacing w:before="120" w:after="0"/>
        <w:rPr>
          <w:rFonts w:eastAsia="Times New Roman"/>
          <w:iCs/>
        </w:rPr>
      </w:pPr>
      <w:r w:rsidRPr="00B178B0">
        <w:rPr>
          <w:rFonts w:eastAsia="Times New Roman"/>
          <w:iCs/>
        </w:rPr>
        <w:t>интегриране на финансовата система на страната във финансовата система на ЕС;</w:t>
      </w:r>
    </w:p>
    <w:p w:rsidR="00B178B0" w:rsidRPr="00B178B0" w:rsidRDefault="00B178B0" w:rsidP="003403BF">
      <w:pPr>
        <w:numPr>
          <w:ilvl w:val="1"/>
          <w:numId w:val="64"/>
        </w:numPr>
        <w:spacing w:before="120" w:after="0"/>
        <w:rPr>
          <w:rFonts w:eastAsia="Times New Roman"/>
          <w:iCs/>
        </w:rPr>
      </w:pPr>
      <w:r w:rsidRPr="00B178B0">
        <w:rPr>
          <w:rFonts w:eastAsia="Times New Roman"/>
          <w:iCs/>
        </w:rPr>
        <w:t>запазване на финансовата стабилност;</w:t>
      </w:r>
    </w:p>
    <w:p w:rsidR="00B178B0" w:rsidRDefault="00B178B0" w:rsidP="003403BF">
      <w:pPr>
        <w:numPr>
          <w:ilvl w:val="1"/>
          <w:numId w:val="64"/>
        </w:numPr>
        <w:spacing w:before="120" w:after="0"/>
        <w:rPr>
          <w:rFonts w:eastAsia="Times New Roman"/>
          <w:iCs/>
        </w:rPr>
      </w:pPr>
      <w:r w:rsidRPr="00B178B0">
        <w:rPr>
          <w:rFonts w:eastAsia="Times New Roman"/>
          <w:iCs/>
        </w:rPr>
        <w:t>улесняване на достъпа до финансиране на реалната икономика;</w:t>
      </w:r>
    </w:p>
    <w:p w:rsidR="00B178B0" w:rsidRPr="00B178B0" w:rsidRDefault="00B178B0" w:rsidP="003403BF">
      <w:pPr>
        <w:numPr>
          <w:ilvl w:val="1"/>
          <w:numId w:val="64"/>
        </w:numPr>
        <w:spacing w:before="120" w:after="0"/>
        <w:rPr>
          <w:rFonts w:eastAsia="Times New Roman"/>
          <w:iCs/>
        </w:rPr>
      </w:pPr>
      <w:r w:rsidRPr="00B178B0">
        <w:rPr>
          <w:rFonts w:eastAsia="Times New Roman"/>
          <w:iCs/>
        </w:rPr>
        <w:t>повишаване защитата на интересите на потребителите на финансови услуги</w:t>
      </w:r>
      <w:r w:rsidR="00B57960">
        <w:rPr>
          <w:rFonts w:eastAsia="Times New Roman"/>
          <w:iCs/>
        </w:rPr>
        <w:t>.</w:t>
      </w:r>
    </w:p>
    <w:p w:rsidR="00B178B0" w:rsidRDefault="00B178B0" w:rsidP="00365ACC">
      <w:pPr>
        <w:spacing w:before="120" w:after="0"/>
        <w:rPr>
          <w:rFonts w:eastAsia="Times New Roman"/>
          <w:iCs/>
        </w:rPr>
      </w:pPr>
    </w:p>
    <w:p w:rsidR="000C32FC" w:rsidRPr="00401CCB" w:rsidRDefault="000C32FC" w:rsidP="003403BF">
      <w:pPr>
        <w:pStyle w:val="Heading4"/>
        <w:numPr>
          <w:ilvl w:val="3"/>
          <w:numId w:val="32"/>
        </w:numPr>
        <w:spacing w:before="120" w:after="0"/>
        <w:rPr>
          <w:rFonts w:eastAsia="Times New Roman"/>
        </w:rPr>
      </w:pPr>
      <w:r w:rsidRPr="00401CCB">
        <w:rPr>
          <w:rFonts w:eastAsia="Times New Roman"/>
        </w:rPr>
        <w:t>Политика в областта на управлението на дълга</w:t>
      </w:r>
    </w:p>
    <w:p w:rsidR="00B178B0" w:rsidRDefault="00B178B0" w:rsidP="00365ACC">
      <w:pPr>
        <w:spacing w:before="120" w:after="0"/>
        <w:rPr>
          <w:rFonts w:eastAsia="Times New Roman"/>
          <w:iCs/>
        </w:rPr>
      </w:pPr>
    </w:p>
    <w:p w:rsidR="00B178B0" w:rsidRPr="00B178B0" w:rsidRDefault="00B178B0" w:rsidP="00B178B0">
      <w:pPr>
        <w:spacing w:before="120" w:after="0"/>
        <w:rPr>
          <w:rFonts w:eastAsia="Times New Roman"/>
          <w:iCs/>
        </w:rPr>
      </w:pPr>
      <w:r w:rsidRPr="00B178B0">
        <w:rPr>
          <w:rFonts w:eastAsia="Times New Roman"/>
          <w:iCs/>
        </w:rPr>
        <w:t>Основната цел на провежданата от Министерството на финансите политика в областта на управлението на държавния дълг е насочена към осигуряване на необходимите ресурси за рефинансиране на дълга в обращение, при необходимост финансиране на държавния бюджет и обезпечаване стабилността на фискалния резерв при оптимално възможна цена и приемлива степен на риск. Усилията ще бъдат съсредоточени в посока обезпечаване на възможности за пазарно-ориентирано финансиране, основно чрез емисии на ДЦК на вътрешния пазар,</w:t>
      </w:r>
      <w:r w:rsidRPr="00B178B0" w:rsidDel="00256642">
        <w:rPr>
          <w:rFonts w:eastAsia="Times New Roman"/>
          <w:iCs/>
        </w:rPr>
        <w:t xml:space="preserve"> </w:t>
      </w:r>
      <w:r w:rsidRPr="00B178B0">
        <w:rPr>
          <w:rFonts w:eastAsia="Times New Roman"/>
          <w:iCs/>
        </w:rPr>
        <w:t xml:space="preserve">при спазване на годишните дългови ограничения. </w:t>
      </w:r>
    </w:p>
    <w:p w:rsidR="00B178B0" w:rsidRPr="00B178B0" w:rsidRDefault="00B178B0" w:rsidP="00B178B0">
      <w:pPr>
        <w:spacing w:before="120" w:after="0"/>
        <w:rPr>
          <w:rFonts w:eastAsia="Times New Roman"/>
          <w:iCs/>
        </w:rPr>
      </w:pPr>
      <w:r w:rsidRPr="00B178B0">
        <w:rPr>
          <w:rFonts w:eastAsia="Times New Roman"/>
          <w:iCs/>
        </w:rPr>
        <w:t>Политиката в областта на управлението на държавния дълг през следващите години ще бъде съобразена изцяло с конкретните нужди на държавата от заемен ресурс при запазване устойчивостта на основните дългови параметри. Определянето на конкретните характеристики на новопоетия дълг ще бъде съобразено с настоящата конюнктура на вътрешния пазар и профил на дълга в обр</w:t>
      </w:r>
      <w:r w:rsidRPr="00B178B0">
        <w:rPr>
          <w:rFonts w:eastAsia="Times New Roman"/>
          <w:iCs/>
          <w:lang w:val="en-US"/>
        </w:rPr>
        <w:t>a</w:t>
      </w:r>
      <w:r w:rsidRPr="00B178B0">
        <w:rPr>
          <w:rFonts w:eastAsia="Times New Roman"/>
          <w:iCs/>
        </w:rPr>
        <w:t xml:space="preserve">щение, при отчитане на възможностите за намаляване на риска при рефинансирането на държавния дълг и изглаждане на матуритетната структура на дълга. </w:t>
      </w:r>
    </w:p>
    <w:p w:rsidR="00B178B0" w:rsidRPr="00B178B0" w:rsidRDefault="00B178B0" w:rsidP="00B178B0">
      <w:pPr>
        <w:spacing w:before="120" w:after="0"/>
        <w:rPr>
          <w:rFonts w:eastAsia="Times New Roman"/>
          <w:iCs/>
        </w:rPr>
      </w:pPr>
      <w:r w:rsidRPr="00B178B0">
        <w:rPr>
          <w:rFonts w:eastAsia="Times New Roman"/>
          <w:iCs/>
        </w:rPr>
        <w:t xml:space="preserve">За ключови индикатори по политиката в областта на управлението на дълга могат да се третират дълговите ограничения, заложени в Закона за публичните финанси, чиито номинални стойности се определят ежегодно със </w:t>
      </w:r>
      <w:r w:rsidR="00B57960">
        <w:rPr>
          <w:rFonts w:eastAsia="Times New Roman"/>
          <w:iCs/>
        </w:rPr>
        <w:t>з</w:t>
      </w:r>
      <w:r w:rsidRPr="00B178B0">
        <w:rPr>
          <w:rFonts w:eastAsia="Times New Roman"/>
          <w:iCs/>
        </w:rPr>
        <w:t>акона за държавния бюджет:</w:t>
      </w:r>
    </w:p>
    <w:p w:rsidR="00B178B0" w:rsidRPr="00B178B0" w:rsidRDefault="00B178B0" w:rsidP="003403BF">
      <w:pPr>
        <w:numPr>
          <w:ilvl w:val="0"/>
          <w:numId w:val="61"/>
        </w:numPr>
        <w:spacing w:before="120" w:after="0"/>
        <w:rPr>
          <w:rFonts w:eastAsia="Times New Roman"/>
          <w:iCs/>
        </w:rPr>
      </w:pPr>
      <w:r w:rsidRPr="00B178B0">
        <w:rPr>
          <w:rFonts w:eastAsia="Times New Roman"/>
          <w:iCs/>
        </w:rPr>
        <w:t>максимален размер на новия държавен дълг, поет по реда на ЗДД: 1,0 млрд. лв. за 2019 г.;</w:t>
      </w:r>
    </w:p>
    <w:p w:rsidR="00B178B0" w:rsidRPr="00B178B0" w:rsidRDefault="00B178B0" w:rsidP="003403BF">
      <w:pPr>
        <w:numPr>
          <w:ilvl w:val="0"/>
          <w:numId w:val="61"/>
        </w:numPr>
        <w:spacing w:before="120" w:after="0"/>
        <w:rPr>
          <w:rFonts w:eastAsia="Times New Roman"/>
          <w:iCs/>
        </w:rPr>
      </w:pPr>
      <w:r w:rsidRPr="00B178B0">
        <w:rPr>
          <w:rFonts w:eastAsia="Times New Roman"/>
          <w:iCs/>
        </w:rPr>
        <w:t>максимален размер на държавния дълг към края годината: под 22,2 млрд. лв. за 2019  г.;</w:t>
      </w:r>
    </w:p>
    <w:p w:rsidR="00B178B0" w:rsidRPr="00B178B0" w:rsidRDefault="00B178B0" w:rsidP="003403BF">
      <w:pPr>
        <w:numPr>
          <w:ilvl w:val="0"/>
          <w:numId w:val="61"/>
        </w:numPr>
        <w:spacing w:before="120" w:after="0"/>
        <w:rPr>
          <w:rFonts w:eastAsia="Times New Roman"/>
          <w:iCs/>
        </w:rPr>
      </w:pPr>
      <w:r w:rsidRPr="00B178B0">
        <w:rPr>
          <w:rFonts w:eastAsia="Times New Roman"/>
          <w:iCs/>
        </w:rPr>
        <w:t>максимален размер на новите държавни гаранции, издадени по реда на ЗДД: до валутната равностойност на 215 млн. лв. за 2019 г.;</w:t>
      </w:r>
    </w:p>
    <w:p w:rsidR="00B178B0" w:rsidRPr="00B178B0" w:rsidRDefault="00B178B0" w:rsidP="003403BF">
      <w:pPr>
        <w:numPr>
          <w:ilvl w:val="0"/>
          <w:numId w:val="61"/>
        </w:numPr>
        <w:spacing w:before="120" w:after="0"/>
        <w:rPr>
          <w:rFonts w:eastAsia="Times New Roman"/>
          <w:iCs/>
        </w:rPr>
      </w:pPr>
      <w:r w:rsidRPr="00B178B0">
        <w:rPr>
          <w:rFonts w:eastAsia="Times New Roman"/>
          <w:iCs/>
        </w:rPr>
        <w:t>максимален размер на други нови държавни гаранции: 0,2 млрд. лв. за 2019 г.</w:t>
      </w:r>
    </w:p>
    <w:p w:rsidR="00B178B0" w:rsidRPr="00B178B0" w:rsidRDefault="00B178B0" w:rsidP="00B178B0">
      <w:pPr>
        <w:spacing w:before="120" w:after="0"/>
        <w:rPr>
          <w:rFonts w:eastAsia="Times New Roman"/>
          <w:iCs/>
        </w:rPr>
      </w:pPr>
      <w:r w:rsidRPr="00B178B0">
        <w:rPr>
          <w:rFonts w:eastAsia="Times New Roman"/>
          <w:iCs/>
        </w:rPr>
        <w:t>Освен това, в националното законодателство е възприето и фискалното правило, приложимо за държавите</w:t>
      </w:r>
      <w:r w:rsidR="00520971">
        <w:rPr>
          <w:rFonts w:eastAsia="Times New Roman"/>
          <w:iCs/>
        </w:rPr>
        <w:t xml:space="preserve"> </w:t>
      </w:r>
      <w:r w:rsidRPr="00B178B0">
        <w:rPr>
          <w:rFonts w:eastAsia="Times New Roman"/>
          <w:iCs/>
        </w:rPr>
        <w:t>членки на ЕС, относно ограничението за номиналния размер на консолидирания дълг на сектор „Държавно управление“, който към края на годината не може да надвишава 60 на сто от БВП.</w:t>
      </w:r>
    </w:p>
    <w:p w:rsidR="00C359A8" w:rsidRPr="00C359A8" w:rsidRDefault="00B178B0" w:rsidP="00C359A8">
      <w:pPr>
        <w:spacing w:before="120" w:after="0"/>
        <w:rPr>
          <w:rFonts w:eastAsia="Times New Roman"/>
          <w:iCs/>
        </w:rPr>
      </w:pPr>
      <w:r w:rsidRPr="00B178B0">
        <w:rPr>
          <w:rFonts w:eastAsia="Times New Roman"/>
          <w:iCs/>
        </w:rPr>
        <w:t xml:space="preserve">Приоритетните инвестиционни проекти, които са предвидени за изпълнение в рамките на разходите по проектобюджета за 2020 г. и актуализираните бюджетни прогнози за 2021 г. и 2022 г. на Министерството на финансите, са </w:t>
      </w:r>
      <w:r w:rsidR="00C359A8" w:rsidRPr="00C359A8">
        <w:rPr>
          <w:rFonts w:eastAsia="Times New Roman"/>
          <w:iCs/>
        </w:rPr>
        <w:t>свързани с реконструкция, модернизация и доставка на оборудване на ГКПП.</w:t>
      </w:r>
    </w:p>
    <w:p w:rsidR="00C359A8" w:rsidRDefault="00C359A8" w:rsidP="00B178B0">
      <w:pPr>
        <w:spacing w:before="120" w:after="0"/>
        <w:rPr>
          <w:rFonts w:eastAsia="Times New Roman"/>
          <w:iCs/>
        </w:rPr>
      </w:pPr>
    </w:p>
    <w:p w:rsidR="00B178B0" w:rsidRPr="00B178B0" w:rsidRDefault="00B178B0" w:rsidP="00B178B0">
      <w:pPr>
        <w:spacing w:before="120" w:after="0"/>
        <w:rPr>
          <w:rFonts w:eastAsia="Times New Roman"/>
          <w:b/>
          <w:iCs/>
        </w:rPr>
      </w:pPr>
      <w:r w:rsidRPr="00B178B0">
        <w:rPr>
          <w:rFonts w:eastAsia="Times New Roman"/>
          <w:b/>
          <w:iCs/>
        </w:rPr>
        <w:t>Сметна палата</w:t>
      </w:r>
    </w:p>
    <w:p w:rsidR="00B178B0" w:rsidRPr="00B178B0" w:rsidRDefault="00B178B0" w:rsidP="00B178B0">
      <w:pPr>
        <w:spacing w:before="120" w:after="0"/>
        <w:rPr>
          <w:rFonts w:eastAsia="Times New Roman"/>
          <w:iCs/>
        </w:rPr>
      </w:pPr>
      <w:r w:rsidRPr="00B178B0">
        <w:rPr>
          <w:rFonts w:eastAsia="Times New Roman"/>
          <w:iCs/>
        </w:rPr>
        <w:t>Сметната палата на Република България е държавен орган за независим външен одит в публичния сектор с основна задача да контролира надеждността и достоверността на финансовите отчети на бюджетните организации, законосъобразното, ефективно, ефикасно и икономично управление на публичните средства и дейности. Основният стремеж е към повишаване ефективността на цялостната работа на институцията.</w:t>
      </w:r>
    </w:p>
    <w:p w:rsidR="00B178B0" w:rsidRPr="00B178B0" w:rsidRDefault="00B178B0" w:rsidP="00B178B0">
      <w:pPr>
        <w:spacing w:before="120" w:after="0"/>
        <w:rPr>
          <w:rFonts w:eastAsia="Times New Roman"/>
          <w:iCs/>
        </w:rPr>
      </w:pPr>
      <w:r w:rsidRPr="00B178B0">
        <w:rPr>
          <w:rFonts w:eastAsia="Times New Roman"/>
          <w:iCs/>
        </w:rPr>
        <w:t>Основната цел на институцията е извършването на независим ефективен и ефикасен одит в публичния сектор, чрез прилагане на принципите за почтеност и етика, актуализиране и въвеждане на подходящи процедури и инструменти, включително одитни методологии, за изпълнение на законово установените правомощия на Сметната палата, както и изграждане на система за външен контрол на качеството на одитната дейност.</w:t>
      </w:r>
    </w:p>
    <w:p w:rsidR="00B178B0" w:rsidRPr="00B178B0" w:rsidRDefault="00B178B0" w:rsidP="00B178B0">
      <w:pPr>
        <w:spacing w:before="120" w:after="0"/>
        <w:rPr>
          <w:rFonts w:eastAsia="Times New Roman"/>
          <w:iCs/>
        </w:rPr>
      </w:pPr>
      <w:r w:rsidRPr="00B178B0">
        <w:rPr>
          <w:rFonts w:eastAsia="Times New Roman"/>
          <w:iCs/>
        </w:rPr>
        <w:t>За да подобри качеството на дейността си Сметната палата си е поставила за цел извършване на ежегодна оценка за осигуряване на качеството на одитната дейност и приемане на Концепция за осигуряване на качеството на одитната дейност и Методика за осигуряване на качеството, като акцентът ще бъде върху надграждане на контрола, осъществяван на различните управленчески нива.</w:t>
      </w:r>
    </w:p>
    <w:p w:rsidR="00B178B0" w:rsidRPr="00B178B0" w:rsidRDefault="00A561E9" w:rsidP="00B178B0">
      <w:pPr>
        <w:spacing w:before="120" w:after="0"/>
        <w:rPr>
          <w:rFonts w:eastAsia="Times New Roman"/>
          <w:iCs/>
        </w:rPr>
      </w:pPr>
      <w:r>
        <w:rPr>
          <w:rFonts w:eastAsia="Times New Roman"/>
          <w:iCs/>
        </w:rPr>
        <w:t>Актуализираната б</w:t>
      </w:r>
      <w:r w:rsidR="00B178B0" w:rsidRPr="00B178B0">
        <w:rPr>
          <w:rFonts w:eastAsia="Times New Roman"/>
          <w:iCs/>
        </w:rPr>
        <w:t>юджетна прогноза за периода 2020-2022 г. на Сметната палата е основана на визията за устойчиво изграждане и развитие на основните умения и капацитет, които да позволяват на Върховната одитна институция на Република България да използва оптимално ограничените ресурси и да изпълнява по-ефективно правомощията си, за да постига желаното въздействие – подобряване на отчетността на бюджетните организации, законосъобразното, ефективно и икономично управление на публичните средства и дейности. Първостепенен фактор, който съществено усилва тази необходимост е членството на Република България в Европейския съюз, което поставя значителни по обем управленски и административни изисквания и отговорности пред всички държавни органи.</w:t>
      </w:r>
    </w:p>
    <w:p w:rsidR="00B178B0" w:rsidRPr="00B178B0" w:rsidRDefault="00B178B0" w:rsidP="00B178B0">
      <w:pPr>
        <w:spacing w:before="120" w:after="0"/>
        <w:rPr>
          <w:rFonts w:eastAsia="Times New Roman"/>
          <w:iCs/>
        </w:rPr>
      </w:pPr>
    </w:p>
    <w:p w:rsidR="00B178B0" w:rsidRPr="00B178B0" w:rsidRDefault="00B178B0" w:rsidP="00B178B0">
      <w:pPr>
        <w:spacing w:before="120" w:after="0"/>
        <w:rPr>
          <w:rFonts w:eastAsia="Times New Roman"/>
          <w:b/>
          <w:iCs/>
        </w:rPr>
      </w:pPr>
      <w:r w:rsidRPr="00B178B0">
        <w:rPr>
          <w:rFonts w:eastAsia="Times New Roman"/>
          <w:b/>
          <w:iCs/>
        </w:rPr>
        <w:t>Комисия за финансов надзор</w:t>
      </w:r>
    </w:p>
    <w:p w:rsidR="00B178B0" w:rsidRPr="00B178B0" w:rsidRDefault="00B41461" w:rsidP="00B178B0">
      <w:pPr>
        <w:spacing w:before="120" w:after="0"/>
        <w:rPr>
          <w:rFonts w:eastAsia="Times New Roman"/>
          <w:iCs/>
        </w:rPr>
      </w:pPr>
      <w:r>
        <w:rPr>
          <w:rFonts w:eastAsia="Times New Roman"/>
          <w:iCs/>
        </w:rPr>
        <w:t>Комисията за финансов надзор</w:t>
      </w:r>
      <w:r w:rsidR="00B178B0" w:rsidRPr="00B178B0">
        <w:rPr>
          <w:rFonts w:eastAsia="Times New Roman"/>
          <w:iCs/>
        </w:rPr>
        <w:t xml:space="preserve"> е специализиран държавен орган за регулиране и надзор на небанковия финансов сектор. </w:t>
      </w:r>
      <w:r w:rsidR="00B57960">
        <w:rPr>
          <w:rFonts w:eastAsia="Times New Roman"/>
          <w:iCs/>
        </w:rPr>
        <w:t>Комисията</w:t>
      </w:r>
      <w:r w:rsidR="00B178B0" w:rsidRPr="00B178B0">
        <w:rPr>
          <w:rFonts w:eastAsia="Times New Roman"/>
          <w:iCs/>
        </w:rPr>
        <w:t xml:space="preserve"> извършва регулация и надзор на финансовите пазари, които са част от единния европейск</w:t>
      </w:r>
      <w:r>
        <w:rPr>
          <w:rFonts w:eastAsia="Times New Roman"/>
          <w:iCs/>
        </w:rPr>
        <w:t xml:space="preserve">и пазар на финансови услуги, и </w:t>
      </w:r>
      <w:r w:rsidR="00B178B0" w:rsidRPr="00B178B0">
        <w:rPr>
          <w:rFonts w:eastAsia="Times New Roman"/>
          <w:iCs/>
        </w:rPr>
        <w:t xml:space="preserve">осъществява надзор за спазването на европейското законодателство. </w:t>
      </w:r>
    </w:p>
    <w:p w:rsidR="00E0379B" w:rsidRPr="00B41461" w:rsidRDefault="00E0379B" w:rsidP="00E0379B">
      <w:pPr>
        <w:spacing w:before="120" w:after="0"/>
        <w:rPr>
          <w:rFonts w:eastAsia="Times New Roman"/>
          <w:iCs/>
        </w:rPr>
      </w:pPr>
      <w:r w:rsidRPr="00B41461">
        <w:rPr>
          <w:rFonts w:eastAsia="Times New Roman"/>
          <w:iCs/>
        </w:rPr>
        <w:t xml:space="preserve">С промени в Закона за Комисията за финансов надзор се промени моделът за финансиране на </w:t>
      </w:r>
      <w:r w:rsidR="00B57960">
        <w:rPr>
          <w:rFonts w:eastAsia="Times New Roman"/>
          <w:iCs/>
        </w:rPr>
        <w:t>комисията</w:t>
      </w:r>
      <w:r w:rsidRPr="00B41461">
        <w:rPr>
          <w:rFonts w:eastAsia="Times New Roman"/>
          <w:iCs/>
        </w:rPr>
        <w:t>, като бюджетът на комисията се финансира от такси, които се събират от дружествата. Възприемането на този законодателен подход, при който КФН се издържа самостоятелно, е насочено към осигуряване на необходимите условия за нормалното функциониране на институцията като самостоятелен надзорен и регулаторен орган на небанковия финансов сектор.</w:t>
      </w:r>
    </w:p>
    <w:p w:rsidR="00B178B0" w:rsidRPr="00B178B0" w:rsidRDefault="00B178B0" w:rsidP="00B178B0">
      <w:pPr>
        <w:spacing w:before="120" w:after="0"/>
        <w:rPr>
          <w:rFonts w:eastAsia="Times New Roman"/>
          <w:b/>
          <w:iCs/>
        </w:rPr>
      </w:pPr>
      <w:r w:rsidRPr="00B41461">
        <w:rPr>
          <w:rFonts w:eastAsia="Times New Roman"/>
          <w:iCs/>
        </w:rPr>
        <w:t xml:space="preserve">Считано от 2020 г. дейността на Комисията за финансов надзор попада в обхвата на </w:t>
      </w:r>
      <w:r w:rsidRPr="00B178B0">
        <w:rPr>
          <w:rFonts w:eastAsia="Times New Roman"/>
          <w:iCs/>
        </w:rPr>
        <w:t>функционална област „Регулация и надзор на небанковия финансов сектор“.</w:t>
      </w:r>
    </w:p>
    <w:p w:rsidR="00B178B0" w:rsidRPr="00B178B0" w:rsidRDefault="00B178B0" w:rsidP="00B178B0">
      <w:pPr>
        <w:spacing w:before="120" w:after="0"/>
        <w:rPr>
          <w:rFonts w:eastAsia="Times New Roman"/>
          <w:b/>
          <w:iCs/>
        </w:rPr>
      </w:pPr>
      <w:r w:rsidRPr="00B178B0">
        <w:rPr>
          <w:rFonts w:eastAsia="Times New Roman"/>
          <w:b/>
          <w:iCs/>
        </w:rPr>
        <w:t>Комисия за публичен надзор над регистрираните одитори</w:t>
      </w:r>
    </w:p>
    <w:p w:rsidR="00B178B0" w:rsidRPr="007D6981" w:rsidRDefault="00B178B0" w:rsidP="00B178B0">
      <w:pPr>
        <w:spacing w:before="120" w:after="0"/>
        <w:rPr>
          <w:rFonts w:eastAsia="Times New Roman"/>
          <w:iCs/>
          <w:lang w:val="ru-RU"/>
        </w:rPr>
      </w:pPr>
      <w:r w:rsidRPr="00B178B0">
        <w:rPr>
          <w:rFonts w:eastAsia="Times New Roman"/>
          <w:iCs/>
        </w:rPr>
        <w:t>Комисията за публичен надзор над регистрираните одитори е специализиран държавен орган за регулиране и надзор над регистрираните одитори, който осъществява периодични проверки на одиторските фирми, които извършват одити на предприятия от обществен интерес, изразяващи се в извършване на проверки за контрол на качеството на услугите с цел постигане на високо качество на предоставяните одиторски услуги. К</w:t>
      </w:r>
      <w:r w:rsidR="00B57960">
        <w:rPr>
          <w:rFonts w:eastAsia="Times New Roman"/>
          <w:iCs/>
        </w:rPr>
        <w:t>омисията</w:t>
      </w:r>
      <w:r w:rsidRPr="00B178B0">
        <w:rPr>
          <w:rFonts w:eastAsia="Times New Roman"/>
          <w:iCs/>
        </w:rPr>
        <w:t>, като компетентен орган, е активно ангажиран в процеса по прилагане на европейското законодателство в областта на независимия финансов одит.</w:t>
      </w:r>
    </w:p>
    <w:p w:rsidR="00B178B0" w:rsidRPr="00B178B0" w:rsidRDefault="00B178B0" w:rsidP="00B178B0">
      <w:pPr>
        <w:spacing w:before="120" w:after="0"/>
        <w:rPr>
          <w:rFonts w:eastAsia="Times New Roman"/>
          <w:iCs/>
        </w:rPr>
      </w:pPr>
      <w:r w:rsidRPr="00B178B0">
        <w:rPr>
          <w:rFonts w:eastAsia="Times New Roman"/>
          <w:iCs/>
        </w:rPr>
        <w:t xml:space="preserve">Комисията извършва разследвания, свързани с дейността на одиторите. Тя осъществява сътрудничество и обмен на информация с компетентните органи за публичен надзор над одиторите в другите държави-членки на ЕС. Приоритет на </w:t>
      </w:r>
      <w:r w:rsidR="00B57960">
        <w:rPr>
          <w:rFonts w:eastAsia="Times New Roman"/>
          <w:iCs/>
        </w:rPr>
        <w:t>к</w:t>
      </w:r>
      <w:r w:rsidRPr="00B178B0">
        <w:rPr>
          <w:rFonts w:eastAsia="Times New Roman"/>
          <w:iCs/>
        </w:rPr>
        <w:t xml:space="preserve">омисията е утвърждаването на правилата и процедурите за извършване на проверки на качеството на дейността  на регистрираните одитори, както и годишните планове за проверки. </w:t>
      </w:r>
    </w:p>
    <w:p w:rsidR="00B178B0" w:rsidRPr="007D6981" w:rsidRDefault="00B178B0" w:rsidP="00B178B0">
      <w:pPr>
        <w:spacing w:before="120" w:after="0"/>
        <w:rPr>
          <w:rFonts w:eastAsia="Times New Roman"/>
          <w:iCs/>
          <w:lang w:val="ru-RU"/>
        </w:rPr>
      </w:pPr>
      <w:r w:rsidRPr="00B178B0">
        <w:rPr>
          <w:rFonts w:eastAsia="Times New Roman"/>
          <w:iCs/>
        </w:rPr>
        <w:t xml:space="preserve">Считано от 2020 г. дейността на </w:t>
      </w:r>
      <w:r w:rsidR="00B57960">
        <w:rPr>
          <w:rFonts w:eastAsia="Times New Roman"/>
          <w:iCs/>
        </w:rPr>
        <w:t>комисията</w:t>
      </w:r>
      <w:r w:rsidRPr="00B178B0">
        <w:rPr>
          <w:rFonts w:eastAsia="Times New Roman"/>
          <w:iCs/>
        </w:rPr>
        <w:t xml:space="preserve"> попада в обхвата на функционална област „Осъществяване на публичен надзор над регистрираните одитори“.</w:t>
      </w:r>
    </w:p>
    <w:p w:rsidR="00B178B0" w:rsidRPr="00B178B0" w:rsidRDefault="00B178B0" w:rsidP="00B178B0">
      <w:pPr>
        <w:spacing w:before="120" w:after="0"/>
        <w:rPr>
          <w:rFonts w:eastAsia="Times New Roman"/>
          <w:b/>
          <w:iCs/>
        </w:rPr>
      </w:pPr>
      <w:r w:rsidRPr="00B178B0">
        <w:rPr>
          <w:rFonts w:eastAsia="Times New Roman"/>
          <w:b/>
          <w:iCs/>
        </w:rPr>
        <w:t>Комисия за защита на конкуренцията</w:t>
      </w:r>
    </w:p>
    <w:p w:rsidR="00B178B0" w:rsidRPr="00B178B0" w:rsidRDefault="00B178B0" w:rsidP="00B178B0">
      <w:pPr>
        <w:spacing w:before="120" w:after="0"/>
        <w:rPr>
          <w:rFonts w:eastAsia="Times New Roman"/>
          <w:iCs/>
        </w:rPr>
      </w:pPr>
      <w:r w:rsidRPr="00B178B0">
        <w:rPr>
          <w:rFonts w:eastAsia="Times New Roman"/>
          <w:iCs/>
        </w:rPr>
        <w:t xml:space="preserve">Комисията е независим специализиран държавен орган, оправомощен да прилага Закона за защита на конкуренцията, Закона за обществените поръчки и Закона за концесиите. Комисията установява нарушения на свободната конкуренция съгласно разпоредбите на Закона за защита на конкуренцията и/или на чл. 101 и чл. 102 от Договора за функционирането на Европейския съюз, извършва секторни анализи и застъпничество за конкуренцията, а също така разглежда и се произнася по жалбите за незаконосъобразност на решения, действия и бездействия на възложители или концеденти в процедури по възлагане на обществена поръчка или концесия съгласно разпоредбите на Закона за обществените поръчки и Закона за концесиите. </w:t>
      </w:r>
    </w:p>
    <w:p w:rsidR="003A1BE2" w:rsidRDefault="00B178B0" w:rsidP="00365ACC">
      <w:pPr>
        <w:spacing w:before="120" w:after="0"/>
        <w:rPr>
          <w:rFonts w:eastAsia="Times New Roman"/>
          <w:iCs/>
        </w:rPr>
      </w:pPr>
      <w:r w:rsidRPr="00B178B0">
        <w:rPr>
          <w:rFonts w:eastAsia="Times New Roman"/>
          <w:iCs/>
        </w:rPr>
        <w:t>Считано от 2020 г. дейността на Комисия</w:t>
      </w:r>
      <w:r>
        <w:rPr>
          <w:rFonts w:eastAsia="Times New Roman"/>
          <w:iCs/>
        </w:rPr>
        <w:t>та</w:t>
      </w:r>
      <w:r w:rsidRPr="00B178B0">
        <w:rPr>
          <w:rFonts w:eastAsia="Times New Roman"/>
          <w:iCs/>
        </w:rPr>
        <w:t xml:space="preserve"> за защита на конкуренцията попада в обхвата на функционална област „Защита на конкуренцията и контрол на законосъобразността при процедурите по възлагане на обществени поръчки и предоставяне на  концесии“. </w:t>
      </w:r>
    </w:p>
    <w:p w:rsidR="000C32FC" w:rsidRPr="00B12908" w:rsidRDefault="000C32FC" w:rsidP="00B12908">
      <w:pPr>
        <w:pStyle w:val="Heading3"/>
        <w:ind w:left="0"/>
      </w:pPr>
      <w:r w:rsidRPr="000C32FC">
        <w:t xml:space="preserve">Финансово осигуряване на дейността на държавни </w:t>
      </w:r>
      <w:r w:rsidR="00B12908">
        <w:t xml:space="preserve"> </w:t>
      </w:r>
      <w:r w:rsidRPr="000C32FC">
        <w:t>органи</w:t>
      </w:r>
    </w:p>
    <w:p w:rsidR="00B178B0" w:rsidRDefault="00B178B0" w:rsidP="00365ACC">
      <w:pPr>
        <w:spacing w:before="120" w:after="0"/>
        <w:rPr>
          <w:b/>
        </w:rPr>
      </w:pPr>
    </w:p>
    <w:p w:rsidR="00B178B0" w:rsidRPr="00B178B0" w:rsidRDefault="00B178B0" w:rsidP="00B178B0">
      <w:pPr>
        <w:rPr>
          <w:b/>
        </w:rPr>
      </w:pPr>
      <w:r w:rsidRPr="00B178B0">
        <w:rPr>
          <w:b/>
        </w:rPr>
        <w:t>Народно събрание</w:t>
      </w:r>
    </w:p>
    <w:p w:rsidR="00B178B0" w:rsidRPr="00B178B0" w:rsidRDefault="00B178B0" w:rsidP="00B178B0">
      <w:r w:rsidRPr="00B178B0">
        <w:t>Планираните бюджетни разходи са обвързани със стратегическите цели и приоритети по основни функционални области и програми, които Народното събрание изпълнява в съответствие с конституционните си правомощия. Стратегическите цели на Народното събрание за посочения период са насочени към:</w:t>
      </w:r>
    </w:p>
    <w:p w:rsidR="00B178B0" w:rsidRPr="00B178B0" w:rsidRDefault="00B178B0" w:rsidP="003403BF">
      <w:pPr>
        <w:numPr>
          <w:ilvl w:val="0"/>
          <w:numId w:val="65"/>
        </w:numPr>
        <w:tabs>
          <w:tab w:val="num" w:pos="567"/>
        </w:tabs>
        <w:spacing w:after="120"/>
        <w:ind w:left="568" w:hanging="284"/>
      </w:pPr>
      <w:r w:rsidRPr="00B178B0">
        <w:t>Осигуряване на ефективно представителство и отговорност;</w:t>
      </w:r>
    </w:p>
    <w:p w:rsidR="00B178B0" w:rsidRPr="00B178B0" w:rsidRDefault="00B178B0" w:rsidP="003403BF">
      <w:pPr>
        <w:numPr>
          <w:ilvl w:val="0"/>
          <w:numId w:val="65"/>
        </w:numPr>
        <w:tabs>
          <w:tab w:val="num" w:pos="567"/>
        </w:tabs>
        <w:spacing w:after="120"/>
        <w:ind w:left="568" w:hanging="284"/>
      </w:pPr>
      <w:r w:rsidRPr="00B178B0">
        <w:t>Осигуряване на по-голяма прозрачност и публичност на дейността на Народното събрание;</w:t>
      </w:r>
    </w:p>
    <w:p w:rsidR="00B178B0" w:rsidRPr="00B178B0" w:rsidRDefault="00B178B0" w:rsidP="003403BF">
      <w:pPr>
        <w:numPr>
          <w:ilvl w:val="0"/>
          <w:numId w:val="65"/>
        </w:numPr>
        <w:tabs>
          <w:tab w:val="num" w:pos="567"/>
        </w:tabs>
        <w:spacing w:after="120"/>
        <w:ind w:left="568" w:hanging="284"/>
      </w:pPr>
      <w:r w:rsidRPr="00B178B0">
        <w:t>Въвеждане в законите на изискванията на директивите и на мерките по прилагането на регламентите, включително на рамковите решения; наблюдение и контрол по въпросите на Европейския съюз;</w:t>
      </w:r>
    </w:p>
    <w:p w:rsidR="00B178B0" w:rsidRPr="00B178B0" w:rsidRDefault="00B178B0" w:rsidP="003403BF">
      <w:pPr>
        <w:numPr>
          <w:ilvl w:val="0"/>
          <w:numId w:val="65"/>
        </w:numPr>
        <w:tabs>
          <w:tab w:val="num" w:pos="567"/>
        </w:tabs>
        <w:spacing w:after="120"/>
        <w:ind w:left="568" w:hanging="284"/>
      </w:pPr>
      <w:r w:rsidRPr="00B178B0">
        <w:t>Подобряване качеството на внесените законопроекти и на законодателния процес;</w:t>
      </w:r>
    </w:p>
    <w:p w:rsidR="00B178B0" w:rsidRPr="00B178B0" w:rsidRDefault="00B178B0" w:rsidP="003403BF">
      <w:pPr>
        <w:numPr>
          <w:ilvl w:val="0"/>
          <w:numId w:val="65"/>
        </w:numPr>
        <w:tabs>
          <w:tab w:val="num" w:pos="567"/>
        </w:tabs>
        <w:spacing w:after="120"/>
        <w:ind w:left="568" w:hanging="284"/>
      </w:pPr>
      <w:r w:rsidRPr="00B178B0">
        <w:t>Оценка на въздействието на законите с цел своевременното актуализиране и синхронизиране на нормативната база;</w:t>
      </w:r>
    </w:p>
    <w:p w:rsidR="00B178B0" w:rsidRPr="00B178B0" w:rsidRDefault="00B178B0" w:rsidP="003403BF">
      <w:pPr>
        <w:numPr>
          <w:ilvl w:val="0"/>
          <w:numId w:val="65"/>
        </w:numPr>
        <w:tabs>
          <w:tab w:val="num" w:pos="567"/>
        </w:tabs>
        <w:spacing w:after="120"/>
        <w:ind w:left="568" w:hanging="284"/>
      </w:pPr>
      <w:r w:rsidRPr="00B178B0">
        <w:t>Повишаване ефикасността на парламентарния контрол;</w:t>
      </w:r>
    </w:p>
    <w:p w:rsidR="00B178B0" w:rsidRPr="00B178B0" w:rsidRDefault="00B178B0" w:rsidP="003403BF">
      <w:pPr>
        <w:numPr>
          <w:ilvl w:val="0"/>
          <w:numId w:val="65"/>
        </w:numPr>
        <w:tabs>
          <w:tab w:val="num" w:pos="567"/>
        </w:tabs>
        <w:spacing w:after="120"/>
        <w:ind w:left="568" w:hanging="284"/>
      </w:pPr>
      <w:r w:rsidRPr="00B178B0">
        <w:t>Усъвършенстване на конститутивната функция и парламентарния надзор;</w:t>
      </w:r>
    </w:p>
    <w:p w:rsidR="00B178B0" w:rsidRPr="00B178B0" w:rsidRDefault="00B178B0" w:rsidP="003403BF">
      <w:pPr>
        <w:numPr>
          <w:ilvl w:val="0"/>
          <w:numId w:val="65"/>
        </w:numPr>
        <w:tabs>
          <w:tab w:val="num" w:pos="567"/>
        </w:tabs>
        <w:spacing w:after="120"/>
        <w:ind w:left="568" w:hanging="284"/>
      </w:pPr>
      <w:r w:rsidRPr="00B178B0">
        <w:t>Приоритизиране на международната дейност на Народното събрание и засилване на междупарламентарното сътрудничество;</w:t>
      </w:r>
    </w:p>
    <w:p w:rsidR="00B178B0" w:rsidRPr="00B178B0" w:rsidRDefault="00B178B0" w:rsidP="003403BF">
      <w:pPr>
        <w:numPr>
          <w:ilvl w:val="0"/>
          <w:numId w:val="65"/>
        </w:numPr>
        <w:tabs>
          <w:tab w:val="num" w:pos="567"/>
        </w:tabs>
        <w:spacing w:after="120"/>
        <w:ind w:left="568" w:hanging="284"/>
      </w:pPr>
      <w:r w:rsidRPr="00B178B0">
        <w:t>Адаптиране на администрацията на Народното събрание към потребностите и предизвикателствата на съвременността, вкл. чрез повишаване на тежестта на електронния обмен в дейността на администрацията.</w:t>
      </w:r>
    </w:p>
    <w:p w:rsidR="00B178B0" w:rsidRPr="00B178B0" w:rsidRDefault="00B178B0" w:rsidP="00B178B0">
      <w:r w:rsidRPr="00B178B0">
        <w:t>За изпълнение на посочените цели и за осигуряване на по-добро управление Народното събрание предвижда:</w:t>
      </w:r>
    </w:p>
    <w:p w:rsidR="00B178B0" w:rsidRPr="00B178B0" w:rsidRDefault="00B178B0" w:rsidP="003403BF">
      <w:pPr>
        <w:numPr>
          <w:ilvl w:val="0"/>
          <w:numId w:val="66"/>
        </w:numPr>
        <w:tabs>
          <w:tab w:val="num" w:pos="567"/>
        </w:tabs>
        <w:spacing w:after="120"/>
        <w:ind w:left="568" w:hanging="284"/>
      </w:pPr>
      <w:r w:rsidRPr="00B178B0">
        <w:t>Увеличаване на съвместните инициативи с институции и неправителствени организации;</w:t>
      </w:r>
    </w:p>
    <w:p w:rsidR="00B178B0" w:rsidRPr="00B178B0" w:rsidRDefault="00B178B0" w:rsidP="003403BF">
      <w:pPr>
        <w:numPr>
          <w:ilvl w:val="0"/>
          <w:numId w:val="66"/>
        </w:numPr>
        <w:tabs>
          <w:tab w:val="num" w:pos="567"/>
        </w:tabs>
        <w:spacing w:after="120"/>
        <w:ind w:left="568" w:hanging="284"/>
      </w:pPr>
      <w:r w:rsidRPr="00B178B0">
        <w:t>Провеждане на публични консултации със заинтересованите страни от</w:t>
      </w:r>
      <w:r w:rsidR="00422DE1">
        <w:t>носно</w:t>
      </w:r>
      <w:r w:rsidRPr="00B178B0">
        <w:t xml:space="preserve"> законодателните промени;</w:t>
      </w:r>
    </w:p>
    <w:p w:rsidR="00B178B0" w:rsidRPr="00B178B0" w:rsidRDefault="00B178B0" w:rsidP="003403BF">
      <w:pPr>
        <w:numPr>
          <w:ilvl w:val="0"/>
          <w:numId w:val="66"/>
        </w:numPr>
        <w:tabs>
          <w:tab w:val="num" w:pos="567"/>
        </w:tabs>
        <w:spacing w:after="120"/>
        <w:ind w:left="568" w:hanging="284"/>
      </w:pPr>
      <w:r w:rsidRPr="00B178B0">
        <w:t>Засилване на юридическия капацитет на администрацията на Народното събрание;</w:t>
      </w:r>
    </w:p>
    <w:p w:rsidR="00B178B0" w:rsidRPr="00B178B0" w:rsidRDefault="00B178B0" w:rsidP="003403BF">
      <w:pPr>
        <w:numPr>
          <w:ilvl w:val="0"/>
          <w:numId w:val="66"/>
        </w:numPr>
        <w:tabs>
          <w:tab w:val="num" w:pos="567"/>
        </w:tabs>
        <w:spacing w:after="120"/>
        <w:ind w:left="568" w:hanging="284"/>
      </w:pPr>
      <w:r w:rsidRPr="00B178B0">
        <w:t>Въвеждане на механизма на оценка на въздействието на законите като инструмент за подпомагане на процеса на вземане на решения и подобряване на качеството, прозрачността, обосноваността и устойчивостта на програмите;</w:t>
      </w:r>
    </w:p>
    <w:p w:rsidR="00B178B0" w:rsidRPr="00B178B0" w:rsidRDefault="00B178B0" w:rsidP="003403BF">
      <w:pPr>
        <w:numPr>
          <w:ilvl w:val="0"/>
          <w:numId w:val="66"/>
        </w:numPr>
        <w:tabs>
          <w:tab w:val="num" w:pos="567"/>
        </w:tabs>
        <w:spacing w:after="120"/>
        <w:ind w:left="568" w:hanging="284"/>
      </w:pPr>
      <w:r w:rsidRPr="00B178B0">
        <w:t>Осигуряване на прозрачност и ясни правила и процедури за избор във връзка с конститутивната функция на Народното събрание;</w:t>
      </w:r>
    </w:p>
    <w:p w:rsidR="00B178B0" w:rsidRPr="00B178B0" w:rsidRDefault="00B178B0" w:rsidP="003403BF">
      <w:pPr>
        <w:numPr>
          <w:ilvl w:val="0"/>
          <w:numId w:val="66"/>
        </w:numPr>
        <w:tabs>
          <w:tab w:val="num" w:pos="567"/>
        </w:tabs>
        <w:spacing w:after="120"/>
        <w:ind w:left="568" w:hanging="284"/>
      </w:pPr>
      <w:r w:rsidRPr="00B178B0">
        <w:t>Хармонизиране на българското законодателство с актовете на Европейския съюз;</w:t>
      </w:r>
    </w:p>
    <w:p w:rsidR="00B178B0" w:rsidRPr="00B178B0" w:rsidRDefault="00B178B0" w:rsidP="003403BF">
      <w:pPr>
        <w:numPr>
          <w:ilvl w:val="0"/>
          <w:numId w:val="66"/>
        </w:numPr>
        <w:tabs>
          <w:tab w:val="num" w:pos="567"/>
        </w:tabs>
        <w:spacing w:after="120"/>
        <w:ind w:left="568" w:hanging="284"/>
      </w:pPr>
      <w:r w:rsidRPr="00B178B0">
        <w:t>Осигуряване на съответствие на разглежданите законопроекти с правото на Европейския съюз;</w:t>
      </w:r>
    </w:p>
    <w:p w:rsidR="00B178B0" w:rsidRPr="00B178B0" w:rsidRDefault="00B178B0" w:rsidP="003403BF">
      <w:pPr>
        <w:numPr>
          <w:ilvl w:val="0"/>
          <w:numId w:val="66"/>
        </w:numPr>
        <w:tabs>
          <w:tab w:val="num" w:pos="567"/>
        </w:tabs>
        <w:spacing w:after="120"/>
        <w:ind w:left="568" w:hanging="284"/>
      </w:pPr>
      <w:r w:rsidRPr="00B178B0">
        <w:t>Участие на Народното събрание в международни програми и инициативи за обмен и обучение на кадри;</w:t>
      </w:r>
    </w:p>
    <w:p w:rsidR="00B178B0" w:rsidRPr="00B178B0" w:rsidRDefault="00B178B0" w:rsidP="003403BF">
      <w:pPr>
        <w:numPr>
          <w:ilvl w:val="0"/>
          <w:numId w:val="66"/>
        </w:numPr>
        <w:tabs>
          <w:tab w:val="num" w:pos="567"/>
        </w:tabs>
        <w:spacing w:after="120"/>
        <w:ind w:left="568" w:hanging="284"/>
      </w:pPr>
      <w:r w:rsidRPr="00B178B0">
        <w:t>Подобряване на прозрачността, координацията, стратегическото планиране и отчетността в Народното събрание;</w:t>
      </w:r>
    </w:p>
    <w:p w:rsidR="00B178B0" w:rsidRPr="00B178B0" w:rsidRDefault="00B178B0" w:rsidP="003403BF">
      <w:pPr>
        <w:numPr>
          <w:ilvl w:val="0"/>
          <w:numId w:val="66"/>
        </w:numPr>
        <w:tabs>
          <w:tab w:val="num" w:pos="567"/>
        </w:tabs>
        <w:spacing w:after="120"/>
        <w:ind w:left="568" w:hanging="284"/>
      </w:pPr>
      <w:r w:rsidRPr="00B178B0">
        <w:t xml:space="preserve">Повишаване и укрепване на капацитета на администрацията за ефективно функциониране в условията на членство в Европейския съюз. </w:t>
      </w:r>
    </w:p>
    <w:p w:rsidR="00B178B0" w:rsidRPr="00B178B0" w:rsidRDefault="00B178B0" w:rsidP="00B178B0">
      <w:pPr>
        <w:rPr>
          <w:b/>
        </w:rPr>
      </w:pPr>
      <w:r w:rsidRPr="00B178B0">
        <w:rPr>
          <w:b/>
        </w:rPr>
        <w:t>Министерски съвет</w:t>
      </w:r>
    </w:p>
    <w:p w:rsidR="000C32FC" w:rsidRPr="002C758F" w:rsidRDefault="000C32FC" w:rsidP="003403BF">
      <w:pPr>
        <w:pStyle w:val="Heading4"/>
        <w:numPr>
          <w:ilvl w:val="3"/>
          <w:numId w:val="32"/>
        </w:numPr>
        <w:spacing w:before="120" w:after="0"/>
        <w:rPr>
          <w:rFonts w:eastAsia="Times New Roman"/>
        </w:rPr>
      </w:pPr>
      <w:r w:rsidRPr="002C758F">
        <w:rPr>
          <w:rFonts w:eastAsia="Times New Roman"/>
        </w:rPr>
        <w:t>Политика в областта на управлението на средствата от Европейския съюз</w:t>
      </w:r>
    </w:p>
    <w:p w:rsidR="00B178B0" w:rsidRDefault="00B178B0" w:rsidP="00365ACC">
      <w:pPr>
        <w:tabs>
          <w:tab w:val="left" w:pos="426"/>
        </w:tabs>
        <w:spacing w:before="120" w:after="0"/>
      </w:pPr>
    </w:p>
    <w:p w:rsidR="00B178B0" w:rsidRPr="00B178B0" w:rsidRDefault="00B178B0" w:rsidP="00B178B0">
      <w:pPr>
        <w:tabs>
          <w:tab w:val="left" w:pos="426"/>
        </w:tabs>
        <w:spacing w:after="120"/>
      </w:pPr>
      <w:r w:rsidRPr="00B178B0">
        <w:t xml:space="preserve">Политиката в областта на управлението на средствата от Европейския съюз обхваща координацията на дейностите по програмирането, изпълнението, наблюдението и оценката на Споразумението за партньорство и програмите, съфинансирани от Европейските структурни и инвестиционни фондове, както и на други донорски програми. </w:t>
      </w:r>
    </w:p>
    <w:p w:rsidR="00B178B0" w:rsidRPr="00B178B0" w:rsidRDefault="00B178B0" w:rsidP="00B178B0">
      <w:pPr>
        <w:tabs>
          <w:tab w:val="left" w:pos="426"/>
        </w:tabs>
        <w:spacing w:after="120"/>
      </w:pPr>
      <w:r w:rsidRPr="00B178B0">
        <w:t>Стратегическата цел на политиката е постигане на качествено подобряване на икономическата и социалната среда на българските граждани чрез изпълнение на целите и приоритетите на Кохезионната политика, Общата селскостопанска политика и Общата политика по рибарство на ЕС и на други донорски програми.</w:t>
      </w:r>
    </w:p>
    <w:p w:rsidR="00B178B0" w:rsidRDefault="00B178B0" w:rsidP="00365ACC">
      <w:pPr>
        <w:tabs>
          <w:tab w:val="left" w:pos="426"/>
        </w:tabs>
        <w:spacing w:before="120" w:after="0"/>
      </w:pPr>
    </w:p>
    <w:p w:rsidR="000C32FC" w:rsidRPr="000C32FC" w:rsidRDefault="000C32FC" w:rsidP="000C32FC">
      <w:pPr>
        <w:tabs>
          <w:tab w:val="left" w:pos="426"/>
        </w:tabs>
        <w:spacing w:after="120"/>
      </w:pPr>
      <w:r w:rsidRPr="000C32FC">
        <w:rPr>
          <w:b/>
          <w:sz w:val="20"/>
          <w:szCs w:val="20"/>
        </w:rPr>
        <w:t>КЛЮЧОВИ ИНДИКАТОРИ ЗА ИЗПЪЛНЕНИЕ И ЦЕЛЕВИ СТОЙНОСТИ</w:t>
      </w:r>
    </w:p>
    <w:tbl>
      <w:tblPr>
        <w:tblW w:w="5000" w:type="pct"/>
        <w:tblCellMar>
          <w:left w:w="70" w:type="dxa"/>
          <w:right w:w="70" w:type="dxa"/>
        </w:tblCellMar>
        <w:tblLook w:val="04A0" w:firstRow="1" w:lastRow="0" w:firstColumn="1" w:lastColumn="0" w:noHBand="0" w:noVBand="1"/>
      </w:tblPr>
      <w:tblGrid>
        <w:gridCol w:w="2772"/>
        <w:gridCol w:w="1754"/>
        <w:gridCol w:w="1145"/>
        <w:gridCol w:w="1132"/>
        <w:gridCol w:w="1137"/>
        <w:gridCol w:w="1130"/>
      </w:tblGrid>
      <w:tr w:rsidR="00B178B0" w:rsidRPr="00C232C6" w:rsidTr="008C1CE3">
        <w:trPr>
          <w:trHeight w:val="540"/>
          <w:tblHeader/>
        </w:trPr>
        <w:tc>
          <w:tcPr>
            <w:tcW w:w="1528" w:type="pct"/>
            <w:tcBorders>
              <w:top w:val="single" w:sz="4" w:space="0" w:color="auto"/>
              <w:left w:val="nil"/>
              <w:bottom w:val="nil"/>
              <w:right w:val="nil"/>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Политика в областта на управлението на средствата от Европейския съюз</w:t>
            </w:r>
          </w:p>
        </w:tc>
        <w:tc>
          <w:tcPr>
            <w:tcW w:w="967" w:type="pct"/>
            <w:vMerge w:val="restart"/>
            <w:tcBorders>
              <w:top w:val="single" w:sz="4" w:space="0" w:color="auto"/>
              <w:left w:val="nil"/>
              <w:bottom w:val="nil"/>
              <w:right w:val="nil"/>
            </w:tcBorders>
            <w:shd w:val="clear" w:color="auto" w:fill="F2F2F2"/>
            <w:vAlign w:val="center"/>
            <w:hideMark/>
          </w:tcPr>
          <w:p w:rsidR="00B178B0" w:rsidRPr="001566C0" w:rsidRDefault="00B178B0" w:rsidP="00B178B0">
            <w:pPr>
              <w:spacing w:after="0"/>
              <w:jc w:val="center"/>
              <w:rPr>
                <w:rFonts w:eastAsiaTheme="minorHAnsi"/>
                <w:b/>
                <w:iCs/>
                <w:sz w:val="18"/>
                <w:szCs w:val="18"/>
              </w:rPr>
            </w:pPr>
            <w:r w:rsidRPr="001566C0">
              <w:rPr>
                <w:rFonts w:eastAsiaTheme="minorHAnsi"/>
                <w:b/>
                <w:iCs/>
                <w:sz w:val="18"/>
                <w:szCs w:val="18"/>
              </w:rPr>
              <w:t>Мерна</w:t>
            </w:r>
            <w:r w:rsidRPr="001566C0">
              <w:rPr>
                <w:rFonts w:eastAsiaTheme="minorHAnsi"/>
                <w:b/>
                <w:iCs/>
                <w:sz w:val="18"/>
                <w:szCs w:val="18"/>
              </w:rPr>
              <w:br/>
              <w:t xml:space="preserve"> единица</w:t>
            </w:r>
          </w:p>
        </w:tc>
        <w:tc>
          <w:tcPr>
            <w:tcW w:w="2505" w:type="pct"/>
            <w:gridSpan w:val="4"/>
            <w:tcBorders>
              <w:top w:val="single" w:sz="4" w:space="0" w:color="auto"/>
              <w:left w:val="nil"/>
              <w:bottom w:val="single" w:sz="4" w:space="0" w:color="auto"/>
              <w:right w:val="nil"/>
            </w:tcBorders>
            <w:vAlign w:val="center"/>
            <w:hideMark/>
          </w:tcPr>
          <w:p w:rsidR="00B178B0" w:rsidRPr="00B178B0" w:rsidRDefault="00B178B0" w:rsidP="00B178B0">
            <w:pPr>
              <w:spacing w:after="0"/>
              <w:jc w:val="center"/>
              <w:rPr>
                <w:rFonts w:eastAsiaTheme="minorHAnsi"/>
                <w:b/>
                <w:iCs/>
                <w:sz w:val="18"/>
                <w:szCs w:val="18"/>
              </w:rPr>
            </w:pPr>
            <w:r w:rsidRPr="00B178B0">
              <w:rPr>
                <w:rFonts w:eastAsiaTheme="minorHAnsi"/>
                <w:b/>
                <w:iCs/>
                <w:sz w:val="18"/>
                <w:szCs w:val="18"/>
              </w:rPr>
              <w:t>Целева стойност</w:t>
            </w:r>
          </w:p>
        </w:tc>
      </w:tr>
      <w:tr w:rsidR="00B178B0" w:rsidRPr="00C232C6" w:rsidTr="008C1CE3">
        <w:trPr>
          <w:trHeight w:val="60"/>
          <w:tblHeader/>
        </w:trPr>
        <w:tc>
          <w:tcPr>
            <w:tcW w:w="1528" w:type="pct"/>
            <w:tcBorders>
              <w:bottom w:val="single" w:sz="4" w:space="0" w:color="auto"/>
            </w:tcBorders>
            <w:shd w:val="clear" w:color="auto" w:fill="FFFFFF"/>
            <w:vAlign w:val="center"/>
            <w:hideMark/>
          </w:tcPr>
          <w:p w:rsidR="00B178B0" w:rsidRPr="00B178B0" w:rsidRDefault="00B178B0" w:rsidP="00B178B0">
            <w:pPr>
              <w:spacing w:after="0"/>
              <w:jc w:val="center"/>
              <w:rPr>
                <w:rFonts w:eastAsiaTheme="minorHAnsi"/>
                <w:b/>
                <w:iCs/>
                <w:sz w:val="18"/>
                <w:szCs w:val="18"/>
              </w:rPr>
            </w:pPr>
            <w:r w:rsidRPr="00B178B0">
              <w:rPr>
                <w:rFonts w:eastAsiaTheme="minorHAnsi"/>
                <w:b/>
                <w:iCs/>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B178B0" w:rsidRPr="00C232C6" w:rsidRDefault="00B178B0" w:rsidP="00B178B0">
            <w:pPr>
              <w:spacing w:after="0"/>
              <w:jc w:val="center"/>
              <w:rPr>
                <w:rFonts w:eastAsiaTheme="minorHAnsi"/>
                <w:b/>
                <w:i/>
                <w:iCs/>
                <w:sz w:val="18"/>
                <w:szCs w:val="18"/>
              </w:rPr>
            </w:pPr>
          </w:p>
        </w:tc>
        <w:tc>
          <w:tcPr>
            <w:tcW w:w="631" w:type="pct"/>
            <w:tcBorders>
              <w:bottom w:val="single" w:sz="4" w:space="0" w:color="auto"/>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Програма                 2019 г.</w:t>
            </w:r>
          </w:p>
        </w:tc>
        <w:tc>
          <w:tcPr>
            <w:tcW w:w="624" w:type="pct"/>
            <w:tcBorders>
              <w:bottom w:val="single" w:sz="4" w:space="0" w:color="auto"/>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Про</w:t>
            </w:r>
            <w:r w:rsidR="006B367D">
              <w:rPr>
                <w:rFonts w:eastAsiaTheme="minorHAnsi"/>
                <w:b/>
                <w:i/>
                <w:iCs/>
                <w:sz w:val="18"/>
                <w:szCs w:val="18"/>
              </w:rPr>
              <w:t>ект</w:t>
            </w:r>
            <w:r w:rsidRPr="00C232C6">
              <w:rPr>
                <w:rFonts w:eastAsiaTheme="minorHAnsi"/>
                <w:b/>
                <w:i/>
                <w:iCs/>
                <w:sz w:val="18"/>
                <w:szCs w:val="18"/>
              </w:rPr>
              <w:t xml:space="preserve">                    2020 г.</w:t>
            </w:r>
          </w:p>
        </w:tc>
        <w:tc>
          <w:tcPr>
            <w:tcW w:w="627" w:type="pct"/>
            <w:tcBorders>
              <w:bottom w:val="single" w:sz="4" w:space="0" w:color="auto"/>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Прогноза 2021 г.</w:t>
            </w:r>
          </w:p>
        </w:tc>
        <w:tc>
          <w:tcPr>
            <w:tcW w:w="623" w:type="pct"/>
            <w:tcBorders>
              <w:bottom w:val="single" w:sz="4" w:space="0" w:color="auto"/>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Прогноза 2022 г.</w:t>
            </w:r>
          </w:p>
        </w:tc>
      </w:tr>
      <w:tr w:rsidR="00B178B0" w:rsidRPr="00C232C6" w:rsidTr="00B41461">
        <w:trPr>
          <w:trHeight w:val="60"/>
        </w:trPr>
        <w:tc>
          <w:tcPr>
            <w:tcW w:w="1528" w:type="pct"/>
            <w:tcBorders>
              <w:top w:val="single" w:sz="4" w:space="0" w:color="auto"/>
              <w:left w:val="nil"/>
              <w:bottom w:val="nil"/>
              <w:right w:val="nil"/>
            </w:tcBorders>
            <w:shd w:val="clear" w:color="auto" w:fill="FFFFFF"/>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 Осъществена хоризонтална координация на процеса на програмиране за периода 2021-2027 г.</w:t>
            </w:r>
          </w:p>
        </w:tc>
        <w:tc>
          <w:tcPr>
            <w:tcW w:w="967" w:type="pct"/>
            <w:tcBorders>
              <w:top w:val="single" w:sz="4" w:space="0" w:color="auto"/>
              <w:left w:val="nil"/>
              <w:bottom w:val="nil"/>
              <w:right w:val="nil"/>
            </w:tcBorders>
            <w:shd w:val="clear" w:color="auto" w:fill="F2F2F2"/>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Изготвен проект на Споразумение за партньорство на Република България за периода 2021-2027 г.</w:t>
            </w:r>
          </w:p>
        </w:tc>
        <w:tc>
          <w:tcPr>
            <w:tcW w:w="631" w:type="pct"/>
            <w:tcBorders>
              <w:top w:val="single" w:sz="4" w:space="0" w:color="auto"/>
              <w:left w:val="nil"/>
              <w:bottom w:val="nil"/>
              <w:right w:val="nil"/>
            </w:tcBorders>
            <w:shd w:val="clear" w:color="auto" w:fill="FFFFFF"/>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p>
        </w:tc>
        <w:tc>
          <w:tcPr>
            <w:tcW w:w="624" w:type="pct"/>
            <w:tcBorders>
              <w:top w:val="single" w:sz="4" w:space="0" w:color="auto"/>
              <w:left w:val="nil"/>
              <w:bottom w:val="nil"/>
              <w:right w:val="nil"/>
            </w:tcBorders>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627" w:type="pct"/>
            <w:tcBorders>
              <w:top w:val="single" w:sz="4" w:space="0" w:color="auto"/>
              <w:left w:val="nil"/>
              <w:bottom w:val="nil"/>
              <w:right w:val="nil"/>
            </w:tcBorders>
            <w:shd w:val="clear" w:color="auto" w:fill="FFFFFF"/>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p>
        </w:tc>
        <w:tc>
          <w:tcPr>
            <w:tcW w:w="623" w:type="pct"/>
            <w:tcBorders>
              <w:top w:val="single" w:sz="4" w:space="0" w:color="auto"/>
              <w:left w:val="nil"/>
              <w:bottom w:val="nil"/>
              <w:right w:val="nil"/>
            </w:tcBorders>
            <w:shd w:val="clear" w:color="auto" w:fill="FFFFFF"/>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p>
        </w:tc>
      </w:tr>
      <w:tr w:rsidR="00B178B0" w:rsidRPr="00C232C6" w:rsidTr="00B178B0">
        <w:trPr>
          <w:trHeight w:val="70"/>
        </w:trPr>
        <w:tc>
          <w:tcPr>
            <w:tcW w:w="1528" w:type="pct"/>
            <w:shd w:val="clear" w:color="auto" w:fill="FFFFFF"/>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2. Осигурена адекватна нормативна уредба за изпълнение на програмите, съфинансирани със средства от ЕСИФ</w:t>
            </w:r>
          </w:p>
        </w:tc>
        <w:tc>
          <w:tcPr>
            <w:tcW w:w="967" w:type="pct"/>
            <w:shd w:val="clear" w:color="auto" w:fill="F2F2F2"/>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 разработени проекти на нормативни актове, включително актове за изменение и допълнение</w:t>
            </w:r>
          </w:p>
        </w:tc>
        <w:tc>
          <w:tcPr>
            <w:tcW w:w="631" w:type="pct"/>
            <w:shd w:val="clear" w:color="auto" w:fill="FFFFFF"/>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p>
        </w:tc>
        <w:tc>
          <w:tcPr>
            <w:tcW w:w="624" w:type="pct"/>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2</w:t>
            </w:r>
          </w:p>
        </w:tc>
        <w:tc>
          <w:tcPr>
            <w:tcW w:w="627" w:type="pct"/>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w:t>
            </w:r>
          </w:p>
        </w:tc>
        <w:tc>
          <w:tcPr>
            <w:tcW w:w="623" w:type="pct"/>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w:t>
            </w:r>
          </w:p>
        </w:tc>
      </w:tr>
      <w:tr w:rsidR="00B178B0" w:rsidRPr="00C232C6" w:rsidTr="00B178B0">
        <w:trPr>
          <w:trHeight w:val="815"/>
        </w:trPr>
        <w:tc>
          <w:tcPr>
            <w:tcW w:w="1528" w:type="pct"/>
            <w:shd w:val="clear" w:color="auto" w:fill="FFFFFF"/>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 Функционираща Информационна система за управление и наблюдение</w:t>
            </w:r>
          </w:p>
        </w:tc>
        <w:tc>
          <w:tcPr>
            <w:tcW w:w="967" w:type="pct"/>
            <w:shd w:val="clear" w:color="auto" w:fill="F2F2F2"/>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631" w:type="pct"/>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624" w:type="pct"/>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627" w:type="pct"/>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623" w:type="pct"/>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r>
      <w:tr w:rsidR="00B178B0" w:rsidRPr="00C232C6" w:rsidTr="00B178B0">
        <w:trPr>
          <w:trHeight w:val="854"/>
        </w:trPr>
        <w:tc>
          <w:tcPr>
            <w:tcW w:w="1528" w:type="pct"/>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4. Електронни услуги, подкрепени за предоставянето им в транзакционен режим</w:t>
            </w:r>
          </w:p>
        </w:tc>
        <w:tc>
          <w:tcPr>
            <w:tcW w:w="967" w:type="pct"/>
            <w:shd w:val="clear" w:color="auto" w:fill="F2F2F2"/>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631" w:type="pct"/>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270</w:t>
            </w:r>
          </w:p>
        </w:tc>
        <w:tc>
          <w:tcPr>
            <w:tcW w:w="624" w:type="pct"/>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107</w:t>
            </w:r>
          </w:p>
        </w:tc>
        <w:tc>
          <w:tcPr>
            <w:tcW w:w="627" w:type="pct"/>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89</w:t>
            </w:r>
          </w:p>
        </w:tc>
        <w:tc>
          <w:tcPr>
            <w:tcW w:w="623" w:type="pct"/>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119</w:t>
            </w:r>
          </w:p>
        </w:tc>
      </w:tr>
      <w:tr w:rsidR="00B178B0" w:rsidRPr="00C232C6" w:rsidTr="00B178B0">
        <w:trPr>
          <w:trHeight w:val="70"/>
        </w:trPr>
        <w:tc>
          <w:tcPr>
            <w:tcW w:w="1528" w:type="pct"/>
            <w:tcBorders>
              <w:top w:val="nil"/>
              <w:left w:val="nil"/>
              <w:bottom w:val="single" w:sz="4" w:space="0" w:color="auto"/>
              <w:right w:val="nil"/>
            </w:tcBorders>
            <w:shd w:val="clear" w:color="auto" w:fill="FFFFFF"/>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5. Администрации, подкрепени за въвеждане на системи за управление на качеството</w:t>
            </w:r>
          </w:p>
        </w:tc>
        <w:tc>
          <w:tcPr>
            <w:tcW w:w="967" w:type="pct"/>
            <w:tcBorders>
              <w:top w:val="nil"/>
              <w:left w:val="nil"/>
              <w:bottom w:val="single" w:sz="4" w:space="0" w:color="auto"/>
              <w:right w:val="nil"/>
            </w:tcBorders>
            <w:shd w:val="clear" w:color="auto" w:fill="F2F2F2"/>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631" w:type="pct"/>
            <w:tcBorders>
              <w:top w:val="nil"/>
              <w:left w:val="nil"/>
              <w:bottom w:val="single" w:sz="4" w:space="0" w:color="auto"/>
              <w:right w:val="nil"/>
            </w:tcBorders>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0</w:t>
            </w:r>
          </w:p>
        </w:tc>
        <w:tc>
          <w:tcPr>
            <w:tcW w:w="624" w:type="pct"/>
            <w:tcBorders>
              <w:top w:val="nil"/>
              <w:left w:val="nil"/>
              <w:bottom w:val="single" w:sz="4" w:space="0" w:color="auto"/>
              <w:right w:val="nil"/>
            </w:tcBorders>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20</w:t>
            </w:r>
          </w:p>
        </w:tc>
        <w:tc>
          <w:tcPr>
            <w:tcW w:w="627" w:type="pct"/>
            <w:tcBorders>
              <w:top w:val="nil"/>
              <w:left w:val="nil"/>
              <w:bottom w:val="single" w:sz="4" w:space="0" w:color="auto"/>
              <w:right w:val="nil"/>
            </w:tcBorders>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0</w:t>
            </w:r>
          </w:p>
        </w:tc>
        <w:tc>
          <w:tcPr>
            <w:tcW w:w="623" w:type="pct"/>
            <w:tcBorders>
              <w:top w:val="nil"/>
              <w:left w:val="nil"/>
              <w:bottom w:val="single" w:sz="4" w:space="0" w:color="auto"/>
              <w:right w:val="nil"/>
            </w:tcBorders>
            <w:shd w:val="clear" w:color="auto" w:fill="FFFFFF"/>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30</w:t>
            </w:r>
          </w:p>
        </w:tc>
      </w:tr>
    </w:tbl>
    <w:p w:rsidR="00006F10" w:rsidRDefault="00006F10" w:rsidP="00B41461">
      <w:pPr>
        <w:rPr>
          <w:rFonts w:eastAsia="Times New Roman"/>
        </w:rPr>
      </w:pPr>
    </w:p>
    <w:p w:rsidR="000C32FC" w:rsidRPr="002C758F" w:rsidRDefault="000C32FC" w:rsidP="003403BF">
      <w:pPr>
        <w:pStyle w:val="Heading4"/>
        <w:numPr>
          <w:ilvl w:val="3"/>
          <w:numId w:val="32"/>
        </w:numPr>
        <w:spacing w:before="120" w:after="0"/>
        <w:rPr>
          <w:rFonts w:eastAsia="Times New Roman"/>
        </w:rPr>
      </w:pPr>
      <w:r w:rsidRPr="002C758F">
        <w:rPr>
          <w:rFonts w:eastAsia="Times New Roman"/>
        </w:rPr>
        <w:t>Политика в областта на осъществяването на държавните функции на територията на областите в България</w:t>
      </w:r>
    </w:p>
    <w:p w:rsidR="00B178B0" w:rsidRDefault="00B178B0" w:rsidP="00365ACC">
      <w:pPr>
        <w:spacing w:before="120" w:after="0"/>
      </w:pPr>
    </w:p>
    <w:p w:rsidR="00B178B0" w:rsidRPr="00C232C6" w:rsidRDefault="00B178B0" w:rsidP="00B178B0">
      <w:r w:rsidRPr="00C232C6">
        <w:t>Областите са административно-териториални единици за провеждане на регионална политика, за осъществяване на държавно управление по места и за осигуряване на съответствие между националните и местните интереси. Стратегическата цел е провеждане на ефективна регионална политика и държавно управление по места, осигуряване на съответствие между националните и местните интереси, с оглед създаване на благоприятна среда за живот и модернизация на инфраструктурата, осигуряваща условия за растеж, заетост и подобряване качеството на живот.</w:t>
      </w:r>
    </w:p>
    <w:p w:rsidR="00B178B0" w:rsidRDefault="00B178B0" w:rsidP="00365ACC">
      <w:pPr>
        <w:spacing w:before="120" w:after="0"/>
      </w:pPr>
    </w:p>
    <w:p w:rsidR="000C32FC" w:rsidRPr="002C758F" w:rsidRDefault="000C32FC" w:rsidP="003403BF">
      <w:pPr>
        <w:pStyle w:val="Heading4"/>
        <w:numPr>
          <w:ilvl w:val="3"/>
          <w:numId w:val="32"/>
        </w:numPr>
        <w:spacing w:before="120" w:after="0"/>
        <w:rPr>
          <w:rFonts w:eastAsia="Times New Roman"/>
        </w:rPr>
      </w:pPr>
      <w:r w:rsidRPr="002C758F">
        <w:rPr>
          <w:rFonts w:eastAsia="Times New Roman"/>
        </w:rPr>
        <w:t>Политика в областта на правото на вероизповедание</w:t>
      </w:r>
    </w:p>
    <w:p w:rsidR="00B178B0" w:rsidRDefault="00B178B0" w:rsidP="00365ACC">
      <w:pPr>
        <w:spacing w:before="120" w:after="0"/>
      </w:pPr>
    </w:p>
    <w:p w:rsidR="002F53E1" w:rsidRDefault="002F53E1" w:rsidP="002F53E1">
      <w:r>
        <w:t>Политиката в областта на вероизповеданията се регламентира от Конституцията на Република България и Закона за вероизповеданията. С направените през 2018 и 2019 г. изменения и допълнения на Закона за вероизповеданията се постигна по-ясна законова регламентация относно процеса по определяне, предоставяне, разходване и отчитане на държавната субсидия за регистрираните вероизповедания в страната.</w:t>
      </w:r>
    </w:p>
    <w:p w:rsidR="002F53E1" w:rsidRDefault="002F53E1" w:rsidP="00B178B0">
      <w:r>
        <w:t>Стратегическата цел на политиката в областта на правото на вероизповедание е свободно и безпрепятствено упражняване на правото на вероизповедание, поддържане на търпимост и уважение между вярващите от различните вероизповедания, както и между вярващи и невярващи в дългосрочен план.</w:t>
      </w:r>
    </w:p>
    <w:p w:rsidR="00B178B0" w:rsidRDefault="00B178B0" w:rsidP="00365ACC">
      <w:pPr>
        <w:spacing w:before="120" w:after="0"/>
      </w:pPr>
    </w:p>
    <w:p w:rsidR="000C32FC" w:rsidRPr="002C758F" w:rsidRDefault="000C32FC" w:rsidP="003403BF">
      <w:pPr>
        <w:pStyle w:val="Heading4"/>
        <w:numPr>
          <w:ilvl w:val="3"/>
          <w:numId w:val="32"/>
        </w:numPr>
        <w:spacing w:before="120" w:after="0"/>
        <w:rPr>
          <w:rFonts w:eastAsia="Times New Roman"/>
        </w:rPr>
      </w:pPr>
      <w:r w:rsidRPr="002C758F">
        <w:rPr>
          <w:rFonts w:eastAsia="Times New Roman"/>
        </w:rPr>
        <w:t>Политика в областта на архивното дело</w:t>
      </w:r>
    </w:p>
    <w:p w:rsidR="00B178B0" w:rsidRDefault="00B178B0" w:rsidP="00365ACC">
      <w:pPr>
        <w:spacing w:before="120" w:after="0"/>
      </w:pPr>
    </w:p>
    <w:p w:rsidR="00B178B0" w:rsidRPr="00C232C6" w:rsidRDefault="00B178B0" w:rsidP="00B178B0">
      <w:r w:rsidRPr="00C232C6">
        <w:t xml:space="preserve">Държавната агенция „Архиви” провежда държавната политика в областта на подбора, комплектуването, регистрирането, обработването, опазването, съхраняването и използването на документите от Националния архивен фонд, както и в областта на развитието и усъвършенстването на архивното дело. Дейността на </w:t>
      </w:r>
      <w:r w:rsidRPr="00C232C6">
        <w:rPr>
          <w:bCs/>
        </w:rPr>
        <w:t>институцията е насочена към изпълнение на правителствената програма „Национален архивен фонд</w:t>
      </w:r>
      <w:r w:rsidRPr="00C232C6">
        <w:t>“.</w:t>
      </w:r>
    </w:p>
    <w:p w:rsidR="00EE2FAE" w:rsidRPr="000C32FC" w:rsidRDefault="00EE2FAE" w:rsidP="000C32FC"/>
    <w:p w:rsidR="000C32FC" w:rsidRPr="000C32FC" w:rsidRDefault="000C32FC" w:rsidP="000C32FC">
      <w:pPr>
        <w:rPr>
          <w:b/>
          <w:sz w:val="20"/>
          <w:szCs w:val="20"/>
        </w:rPr>
      </w:pPr>
      <w:r w:rsidRPr="000C32FC">
        <w:rPr>
          <w:b/>
          <w:sz w:val="20"/>
          <w:szCs w:val="20"/>
        </w:rPr>
        <w:t>КЛЮЧОВИ ИНДИКАТОРИ ЗА ИЗПЪЛНЕНИЕ И ЦЕЛЕВИ СТОЙНОСТИ</w:t>
      </w:r>
    </w:p>
    <w:tbl>
      <w:tblPr>
        <w:tblW w:w="5000" w:type="pct"/>
        <w:tblCellMar>
          <w:left w:w="70" w:type="dxa"/>
          <w:right w:w="70" w:type="dxa"/>
        </w:tblCellMar>
        <w:tblLook w:val="04A0" w:firstRow="1" w:lastRow="0" w:firstColumn="1" w:lastColumn="0" w:noHBand="0" w:noVBand="1"/>
      </w:tblPr>
      <w:tblGrid>
        <w:gridCol w:w="3703"/>
        <w:gridCol w:w="1536"/>
        <w:gridCol w:w="992"/>
        <w:gridCol w:w="945"/>
        <w:gridCol w:w="945"/>
        <w:gridCol w:w="949"/>
      </w:tblGrid>
      <w:tr w:rsidR="00B178B0" w:rsidRPr="00C232C6" w:rsidTr="002F53E1">
        <w:trPr>
          <w:trHeight w:val="510"/>
          <w:tblHeader/>
        </w:trPr>
        <w:tc>
          <w:tcPr>
            <w:tcW w:w="2041" w:type="pct"/>
            <w:tcBorders>
              <w:top w:val="single" w:sz="4" w:space="0" w:color="auto"/>
              <w:left w:val="nil"/>
              <w:bottom w:val="nil"/>
              <w:right w:val="nil"/>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Политика в областта на архивното дело</w:t>
            </w:r>
          </w:p>
        </w:tc>
        <w:tc>
          <w:tcPr>
            <w:tcW w:w="847" w:type="pct"/>
            <w:vMerge w:val="restart"/>
            <w:tcBorders>
              <w:top w:val="single" w:sz="4" w:space="0" w:color="auto"/>
              <w:left w:val="nil"/>
              <w:bottom w:val="nil"/>
              <w:right w:val="nil"/>
            </w:tcBorders>
            <w:shd w:val="clear" w:color="auto" w:fill="F2F2F2" w:themeFill="background1" w:themeFillShade="F2"/>
            <w:vAlign w:val="center"/>
            <w:hideMark/>
          </w:tcPr>
          <w:p w:rsidR="00B178B0" w:rsidRPr="001566C0" w:rsidRDefault="00B178B0" w:rsidP="00B178B0">
            <w:pPr>
              <w:spacing w:after="0"/>
              <w:jc w:val="center"/>
              <w:rPr>
                <w:rFonts w:eastAsiaTheme="minorHAnsi"/>
                <w:b/>
                <w:iCs/>
                <w:sz w:val="18"/>
                <w:szCs w:val="18"/>
              </w:rPr>
            </w:pPr>
            <w:r w:rsidRPr="001566C0">
              <w:rPr>
                <w:rFonts w:eastAsiaTheme="minorHAnsi"/>
                <w:b/>
                <w:iCs/>
                <w:sz w:val="18"/>
                <w:szCs w:val="18"/>
              </w:rPr>
              <w:t>Мерна</w:t>
            </w:r>
            <w:r w:rsidRPr="001566C0">
              <w:rPr>
                <w:rFonts w:eastAsiaTheme="minorHAnsi"/>
                <w:b/>
                <w:iCs/>
                <w:sz w:val="18"/>
                <w:szCs w:val="18"/>
              </w:rPr>
              <w:br/>
              <w:t xml:space="preserve"> единица</w:t>
            </w:r>
          </w:p>
        </w:tc>
        <w:tc>
          <w:tcPr>
            <w:tcW w:w="2112" w:type="pct"/>
            <w:gridSpan w:val="4"/>
            <w:tcBorders>
              <w:top w:val="single" w:sz="4" w:space="0" w:color="auto"/>
              <w:left w:val="nil"/>
              <w:bottom w:val="single" w:sz="4" w:space="0" w:color="auto"/>
              <w:right w:val="nil"/>
            </w:tcBorders>
            <w:vAlign w:val="center"/>
            <w:hideMark/>
          </w:tcPr>
          <w:p w:rsidR="00B178B0" w:rsidRPr="00B178B0" w:rsidRDefault="00B178B0" w:rsidP="00B178B0">
            <w:pPr>
              <w:spacing w:after="0"/>
              <w:jc w:val="center"/>
              <w:rPr>
                <w:rFonts w:eastAsiaTheme="minorHAnsi"/>
                <w:b/>
                <w:iCs/>
                <w:sz w:val="18"/>
                <w:szCs w:val="18"/>
              </w:rPr>
            </w:pPr>
            <w:r>
              <w:rPr>
                <w:rFonts w:eastAsiaTheme="minorHAnsi"/>
                <w:b/>
                <w:iCs/>
                <w:sz w:val="18"/>
                <w:szCs w:val="18"/>
              </w:rPr>
              <w:t>Целева стойност</w:t>
            </w:r>
            <w:r w:rsidRPr="00B178B0">
              <w:rPr>
                <w:rFonts w:eastAsiaTheme="minorHAnsi"/>
                <w:b/>
                <w:iCs/>
                <w:sz w:val="18"/>
                <w:szCs w:val="18"/>
              </w:rPr>
              <w:t> </w:t>
            </w:r>
          </w:p>
        </w:tc>
      </w:tr>
      <w:tr w:rsidR="00B178B0" w:rsidRPr="00C232C6" w:rsidTr="00B41461">
        <w:trPr>
          <w:trHeight w:val="60"/>
          <w:tblHeader/>
        </w:trPr>
        <w:tc>
          <w:tcPr>
            <w:tcW w:w="2041" w:type="pct"/>
            <w:tcBorders>
              <w:bottom w:val="single" w:sz="4" w:space="0" w:color="auto"/>
            </w:tcBorders>
            <w:vAlign w:val="center"/>
            <w:hideMark/>
          </w:tcPr>
          <w:p w:rsidR="00B178B0" w:rsidRPr="00B178B0" w:rsidRDefault="00B178B0" w:rsidP="00B178B0">
            <w:pPr>
              <w:spacing w:after="0"/>
              <w:jc w:val="center"/>
              <w:rPr>
                <w:rFonts w:eastAsiaTheme="minorHAnsi"/>
                <w:b/>
                <w:iCs/>
                <w:sz w:val="18"/>
                <w:szCs w:val="18"/>
              </w:rPr>
            </w:pPr>
            <w:r w:rsidRPr="00B178B0">
              <w:rPr>
                <w:rFonts w:eastAsiaTheme="minorHAnsi"/>
                <w:b/>
                <w:iCs/>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B178B0" w:rsidRPr="00C232C6" w:rsidRDefault="00B178B0" w:rsidP="00B178B0">
            <w:pPr>
              <w:spacing w:after="0"/>
              <w:jc w:val="center"/>
              <w:rPr>
                <w:rFonts w:eastAsiaTheme="minorHAnsi"/>
                <w:b/>
                <w:i/>
                <w:iCs/>
                <w:sz w:val="18"/>
                <w:szCs w:val="18"/>
              </w:rPr>
            </w:pPr>
          </w:p>
        </w:tc>
        <w:tc>
          <w:tcPr>
            <w:tcW w:w="547" w:type="pct"/>
            <w:tcBorders>
              <w:bottom w:val="single" w:sz="4" w:space="0" w:color="auto"/>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Програма                 2019 г.</w:t>
            </w:r>
          </w:p>
        </w:tc>
        <w:tc>
          <w:tcPr>
            <w:tcW w:w="521" w:type="pct"/>
            <w:tcBorders>
              <w:bottom w:val="single" w:sz="4" w:space="0" w:color="auto"/>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Про</w:t>
            </w:r>
            <w:r w:rsidR="006B367D">
              <w:rPr>
                <w:rFonts w:eastAsiaTheme="minorHAnsi"/>
                <w:b/>
                <w:i/>
                <w:iCs/>
                <w:sz w:val="18"/>
                <w:szCs w:val="18"/>
              </w:rPr>
              <w:t>ект</w:t>
            </w:r>
            <w:r w:rsidRPr="00C232C6">
              <w:rPr>
                <w:rFonts w:eastAsiaTheme="minorHAnsi"/>
                <w:b/>
                <w:i/>
                <w:iCs/>
                <w:sz w:val="18"/>
                <w:szCs w:val="18"/>
              </w:rPr>
              <w:t xml:space="preserve">                    2020 г.</w:t>
            </w:r>
          </w:p>
        </w:tc>
        <w:tc>
          <w:tcPr>
            <w:tcW w:w="521" w:type="pct"/>
            <w:tcBorders>
              <w:bottom w:val="single" w:sz="4" w:space="0" w:color="auto"/>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Прогноза 2021 г.</w:t>
            </w:r>
          </w:p>
        </w:tc>
        <w:tc>
          <w:tcPr>
            <w:tcW w:w="522" w:type="pct"/>
            <w:tcBorders>
              <w:bottom w:val="single" w:sz="4" w:space="0" w:color="auto"/>
            </w:tcBorders>
            <w:vAlign w:val="center"/>
            <w:hideMark/>
          </w:tcPr>
          <w:p w:rsidR="00B178B0" w:rsidRPr="00C232C6" w:rsidRDefault="00B178B0" w:rsidP="00B178B0">
            <w:pPr>
              <w:spacing w:after="0"/>
              <w:jc w:val="center"/>
              <w:rPr>
                <w:rFonts w:eastAsiaTheme="minorHAnsi"/>
                <w:b/>
                <w:i/>
                <w:iCs/>
                <w:sz w:val="18"/>
                <w:szCs w:val="18"/>
              </w:rPr>
            </w:pPr>
            <w:r w:rsidRPr="00C232C6">
              <w:rPr>
                <w:rFonts w:eastAsiaTheme="minorHAnsi"/>
                <w:b/>
                <w:i/>
                <w:iCs/>
                <w:sz w:val="18"/>
                <w:szCs w:val="18"/>
              </w:rPr>
              <w:t>Прогноза 2022 г.</w:t>
            </w:r>
          </w:p>
        </w:tc>
      </w:tr>
      <w:tr w:rsidR="00B178B0" w:rsidRPr="00C232C6" w:rsidTr="00B41461">
        <w:trPr>
          <w:trHeight w:val="675"/>
        </w:trPr>
        <w:tc>
          <w:tcPr>
            <w:tcW w:w="2041" w:type="pct"/>
            <w:tcBorders>
              <w:top w:val="single" w:sz="4" w:space="0" w:color="auto"/>
              <w:left w:val="nil"/>
              <w:bottom w:val="nil"/>
              <w:right w:val="nil"/>
            </w:tcBorders>
            <w:vAlign w:val="center"/>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 Методически архивни изисквания за разработване на система за архивиране на електронни документи, подлежащи на постоянно съхранение</w:t>
            </w:r>
          </w:p>
        </w:tc>
        <w:tc>
          <w:tcPr>
            <w:tcW w:w="847" w:type="pct"/>
            <w:tcBorders>
              <w:top w:val="single" w:sz="4" w:space="0" w:color="auto"/>
              <w:left w:val="nil"/>
              <w:bottom w:val="nil"/>
              <w:right w:val="nil"/>
            </w:tcBorders>
            <w:shd w:val="clear" w:color="auto" w:fill="F2F2F2" w:themeFill="background1" w:themeFillShade="F2"/>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547" w:type="pct"/>
            <w:tcBorders>
              <w:top w:val="single" w:sz="4" w:space="0" w:color="auto"/>
              <w:left w:val="nil"/>
              <w:bottom w:val="nil"/>
              <w:right w:val="nil"/>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1" w:type="pct"/>
            <w:tcBorders>
              <w:top w:val="single" w:sz="4" w:space="0" w:color="auto"/>
              <w:left w:val="nil"/>
              <w:bottom w:val="nil"/>
              <w:right w:val="nil"/>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1" w:type="pct"/>
            <w:tcBorders>
              <w:top w:val="single" w:sz="4" w:space="0" w:color="auto"/>
              <w:left w:val="nil"/>
              <w:bottom w:val="nil"/>
              <w:right w:val="nil"/>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2" w:type="pct"/>
            <w:tcBorders>
              <w:top w:val="single" w:sz="4" w:space="0" w:color="auto"/>
              <w:left w:val="nil"/>
              <w:bottom w:val="nil"/>
              <w:right w:val="nil"/>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r>
      <w:tr w:rsidR="00B178B0" w:rsidRPr="00C232C6" w:rsidTr="002F53E1">
        <w:trPr>
          <w:trHeight w:val="675"/>
        </w:trPr>
        <w:tc>
          <w:tcPr>
            <w:tcW w:w="2041" w:type="pct"/>
            <w:tcBorders>
              <w:left w:val="nil"/>
              <w:bottom w:val="nil"/>
              <w:right w:val="nil"/>
            </w:tcBorders>
            <w:vAlign w:val="center"/>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 xml:space="preserve">2. Въведени архивни описания и данни в ИСДА </w:t>
            </w:r>
          </w:p>
        </w:tc>
        <w:tc>
          <w:tcPr>
            <w:tcW w:w="847" w:type="pct"/>
            <w:tcBorders>
              <w:left w:val="nil"/>
              <w:bottom w:val="nil"/>
              <w:right w:val="nil"/>
            </w:tcBorders>
            <w:shd w:val="clear" w:color="auto" w:fill="F2F2F2" w:themeFill="background1" w:themeFillShade="F2"/>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547" w:type="pct"/>
            <w:tcBorders>
              <w:left w:val="nil"/>
              <w:bottom w:val="nil"/>
              <w:right w:val="nil"/>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420 000</w:t>
            </w:r>
          </w:p>
        </w:tc>
        <w:tc>
          <w:tcPr>
            <w:tcW w:w="521" w:type="pct"/>
            <w:tcBorders>
              <w:left w:val="nil"/>
              <w:bottom w:val="nil"/>
              <w:right w:val="nil"/>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1" w:type="pct"/>
            <w:tcBorders>
              <w:left w:val="nil"/>
              <w:bottom w:val="nil"/>
              <w:right w:val="nil"/>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2" w:type="pct"/>
            <w:tcBorders>
              <w:left w:val="nil"/>
              <w:bottom w:val="nil"/>
              <w:right w:val="nil"/>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r>
      <w:tr w:rsidR="00B178B0" w:rsidRPr="00C232C6" w:rsidTr="002F53E1">
        <w:trPr>
          <w:trHeight w:val="300"/>
        </w:trPr>
        <w:tc>
          <w:tcPr>
            <w:tcW w:w="2041" w:type="pct"/>
            <w:vAlign w:val="center"/>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 Вписвания в Регистъра на Националния архивен фонд</w:t>
            </w:r>
          </w:p>
        </w:tc>
        <w:tc>
          <w:tcPr>
            <w:tcW w:w="847" w:type="pct"/>
            <w:shd w:val="clear" w:color="auto" w:fill="F2F2F2" w:themeFill="background1" w:themeFillShade="F2"/>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547"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1"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1"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2"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r>
      <w:tr w:rsidR="00B178B0" w:rsidRPr="00C232C6" w:rsidTr="002F53E1">
        <w:trPr>
          <w:trHeight w:val="900"/>
        </w:trPr>
        <w:tc>
          <w:tcPr>
            <w:tcW w:w="2041" w:type="pct"/>
            <w:vAlign w:val="center"/>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4. Посещения/показвания от потребители на данни от базите на информационната система на държавните архиви, Регистъра на Националния архивен фонд и сайтовете на ДАА</w:t>
            </w:r>
          </w:p>
        </w:tc>
        <w:tc>
          <w:tcPr>
            <w:tcW w:w="847" w:type="pct"/>
            <w:shd w:val="clear" w:color="auto" w:fill="F2F2F2" w:themeFill="background1" w:themeFillShade="F2"/>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547"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1"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1"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c>
          <w:tcPr>
            <w:tcW w:w="522"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w:t>
            </w:r>
          </w:p>
        </w:tc>
      </w:tr>
      <w:tr w:rsidR="00B178B0" w:rsidRPr="00C232C6" w:rsidTr="002F53E1">
        <w:trPr>
          <w:trHeight w:val="300"/>
        </w:trPr>
        <w:tc>
          <w:tcPr>
            <w:tcW w:w="2041" w:type="pct"/>
            <w:vAlign w:val="center"/>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5. Реставрирани листове от архивни документи</w:t>
            </w:r>
          </w:p>
        </w:tc>
        <w:tc>
          <w:tcPr>
            <w:tcW w:w="847" w:type="pct"/>
            <w:shd w:val="clear" w:color="auto" w:fill="F2F2F2" w:themeFill="background1" w:themeFillShade="F2"/>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547"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40 000</w:t>
            </w:r>
          </w:p>
        </w:tc>
        <w:tc>
          <w:tcPr>
            <w:tcW w:w="521"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30 000</w:t>
            </w:r>
          </w:p>
        </w:tc>
        <w:tc>
          <w:tcPr>
            <w:tcW w:w="521"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30 000</w:t>
            </w:r>
          </w:p>
        </w:tc>
        <w:tc>
          <w:tcPr>
            <w:tcW w:w="522"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30 000</w:t>
            </w:r>
          </w:p>
        </w:tc>
      </w:tr>
      <w:tr w:rsidR="00B178B0" w:rsidRPr="00C232C6" w:rsidTr="002F53E1">
        <w:trPr>
          <w:trHeight w:val="450"/>
        </w:trPr>
        <w:tc>
          <w:tcPr>
            <w:tcW w:w="2041" w:type="pct"/>
            <w:vAlign w:val="center"/>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6. Изготвени кадри негатив за Застрахователния фонд на ДАА</w:t>
            </w:r>
          </w:p>
        </w:tc>
        <w:tc>
          <w:tcPr>
            <w:tcW w:w="847" w:type="pct"/>
            <w:shd w:val="clear" w:color="auto" w:fill="F2F2F2" w:themeFill="background1" w:themeFillShade="F2"/>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547"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144 000</w:t>
            </w:r>
          </w:p>
        </w:tc>
        <w:tc>
          <w:tcPr>
            <w:tcW w:w="521"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144 000</w:t>
            </w:r>
          </w:p>
        </w:tc>
        <w:tc>
          <w:tcPr>
            <w:tcW w:w="521"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144 000</w:t>
            </w:r>
          </w:p>
        </w:tc>
        <w:tc>
          <w:tcPr>
            <w:tcW w:w="522" w:type="pct"/>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144 000</w:t>
            </w:r>
          </w:p>
        </w:tc>
      </w:tr>
      <w:tr w:rsidR="00B178B0" w:rsidRPr="00C232C6" w:rsidTr="002F53E1">
        <w:trPr>
          <w:trHeight w:val="300"/>
        </w:trPr>
        <w:tc>
          <w:tcPr>
            <w:tcW w:w="2041" w:type="pct"/>
            <w:tcBorders>
              <w:bottom w:val="single" w:sz="4" w:space="0" w:color="auto"/>
            </w:tcBorders>
            <w:vAlign w:val="center"/>
            <w:hideMark/>
          </w:tcPr>
          <w:p w:rsidR="00B178B0" w:rsidRPr="00C232C6" w:rsidRDefault="00B178B0" w:rsidP="00B178B0">
            <w:pPr>
              <w:widowControl w:val="0"/>
              <w:autoSpaceDE w:val="0"/>
              <w:autoSpaceDN w:val="0"/>
              <w:adjustRightInd w:val="0"/>
              <w:spacing w:after="0"/>
              <w:jc w:val="left"/>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7. Комплектувани постъпления</w:t>
            </w:r>
          </w:p>
        </w:tc>
        <w:tc>
          <w:tcPr>
            <w:tcW w:w="847" w:type="pct"/>
            <w:tcBorders>
              <w:bottom w:val="single" w:sz="4" w:space="0" w:color="auto"/>
            </w:tcBorders>
            <w:shd w:val="clear" w:color="auto" w:fill="F2F2F2" w:themeFill="background1" w:themeFillShade="F2"/>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брой</w:t>
            </w:r>
          </w:p>
        </w:tc>
        <w:tc>
          <w:tcPr>
            <w:tcW w:w="547" w:type="pct"/>
            <w:tcBorders>
              <w:bottom w:val="single" w:sz="4" w:space="0" w:color="auto"/>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560</w:t>
            </w:r>
          </w:p>
        </w:tc>
        <w:tc>
          <w:tcPr>
            <w:tcW w:w="521" w:type="pct"/>
            <w:tcBorders>
              <w:bottom w:val="single" w:sz="4" w:space="0" w:color="auto"/>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580</w:t>
            </w:r>
          </w:p>
        </w:tc>
        <w:tc>
          <w:tcPr>
            <w:tcW w:w="521" w:type="pct"/>
            <w:tcBorders>
              <w:bottom w:val="single" w:sz="4" w:space="0" w:color="auto"/>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590</w:t>
            </w:r>
          </w:p>
        </w:tc>
        <w:tc>
          <w:tcPr>
            <w:tcW w:w="522" w:type="pct"/>
            <w:tcBorders>
              <w:bottom w:val="single" w:sz="4" w:space="0" w:color="auto"/>
            </w:tcBorders>
            <w:vAlign w:val="center"/>
            <w:hideMark/>
          </w:tcPr>
          <w:p w:rsidR="00B178B0" w:rsidRPr="00C232C6" w:rsidRDefault="00B178B0" w:rsidP="00B178B0">
            <w:pPr>
              <w:widowControl w:val="0"/>
              <w:autoSpaceDE w:val="0"/>
              <w:autoSpaceDN w:val="0"/>
              <w:adjustRightInd w:val="0"/>
              <w:spacing w:after="0"/>
              <w:jc w:val="center"/>
              <w:rPr>
                <w:rFonts w:asciiTheme="majorHAnsi" w:eastAsia="Times New Roman" w:hAnsiTheme="majorHAnsi" w:cstheme="majorHAnsi"/>
                <w:sz w:val="18"/>
                <w:szCs w:val="18"/>
              </w:rPr>
            </w:pPr>
            <w:r w:rsidRPr="00C232C6">
              <w:rPr>
                <w:rFonts w:asciiTheme="majorHAnsi" w:eastAsia="Times New Roman" w:hAnsiTheme="majorHAnsi" w:cstheme="majorHAnsi"/>
                <w:sz w:val="18"/>
                <w:szCs w:val="18"/>
              </w:rPr>
              <w:t>600</w:t>
            </w:r>
          </w:p>
        </w:tc>
      </w:tr>
    </w:tbl>
    <w:p w:rsidR="000C32FC" w:rsidRPr="000C32FC" w:rsidRDefault="000C32FC" w:rsidP="000C32FC">
      <w:pPr>
        <w:widowControl w:val="0"/>
        <w:autoSpaceDE w:val="0"/>
        <w:autoSpaceDN w:val="0"/>
        <w:adjustRightInd w:val="0"/>
        <w:spacing w:after="0"/>
        <w:rPr>
          <w:rFonts w:asciiTheme="majorHAnsi" w:eastAsia="Times New Roman" w:hAnsiTheme="majorHAnsi" w:cstheme="majorHAnsi"/>
          <w:sz w:val="18"/>
          <w:szCs w:val="18"/>
        </w:rPr>
      </w:pPr>
    </w:p>
    <w:p w:rsidR="00B178B0" w:rsidRPr="005A1241" w:rsidRDefault="00B178B0" w:rsidP="00B178B0">
      <w:pPr>
        <w:spacing w:after="120"/>
        <w:rPr>
          <w:b/>
        </w:rPr>
      </w:pPr>
      <w:r w:rsidRPr="005A1241">
        <w:rPr>
          <w:b/>
        </w:rPr>
        <w:t>Централна избирателна комисия</w:t>
      </w:r>
    </w:p>
    <w:p w:rsidR="00B178B0" w:rsidRPr="005A1241" w:rsidRDefault="00B178B0" w:rsidP="00B178B0">
      <w:pPr>
        <w:spacing w:after="120"/>
      </w:pPr>
      <w:r w:rsidRPr="005A1241">
        <w:t xml:space="preserve">Централната избирателна комисия организира и произвежда законосъобразни, честни и свободни избори и национални референдуми за осигуряване правото на всеки избирател да упражни правото си на глас и работи за повишаване на доверието в изборния процес. За периода 2020-2022 г. са разчетени разходи за изпълнението  на дейността на Централната избирателна комисия като постоянно действащ независим държавен орган, </w:t>
      </w:r>
      <w:r w:rsidR="00422DE1">
        <w:t xml:space="preserve">функциите на който са </w:t>
      </w:r>
      <w:r w:rsidR="00422DE1" w:rsidRPr="005A1241">
        <w:t>насочен</w:t>
      </w:r>
      <w:r w:rsidR="00422DE1">
        <w:t>и</w:t>
      </w:r>
      <w:r w:rsidRPr="005A1241">
        <w:t xml:space="preserve"> към организиране и произвеждане на законосъобразни избори и референдуми, разработени съобразно Изборния кодекс. </w:t>
      </w:r>
    </w:p>
    <w:p w:rsidR="00B178B0" w:rsidRPr="005A1241" w:rsidRDefault="00B178B0" w:rsidP="00B178B0">
      <w:pPr>
        <w:spacing w:after="120"/>
      </w:pPr>
      <w:r w:rsidRPr="005A1241">
        <w:rPr>
          <w:szCs w:val="24"/>
        </w:rPr>
        <w:t xml:space="preserve">Считано от 2020 г. дейността на </w:t>
      </w:r>
      <w:r w:rsidRPr="005A1241">
        <w:t>Централната избирателна комисия</w:t>
      </w:r>
      <w:r w:rsidRPr="005A1241">
        <w:rPr>
          <w:szCs w:val="24"/>
        </w:rPr>
        <w:t xml:space="preserve"> попада в обхвата на функционална област „Организиране и произвеждане на законосъобразни, честни и свободни избори и национални референдуми“.</w:t>
      </w:r>
    </w:p>
    <w:p w:rsidR="00B178B0" w:rsidRPr="005A1241" w:rsidRDefault="00B178B0" w:rsidP="00B178B0">
      <w:pPr>
        <w:spacing w:after="120"/>
        <w:rPr>
          <w:rFonts w:eastAsia="Times New Roman"/>
          <w:b/>
          <w:szCs w:val="24"/>
        </w:rPr>
      </w:pPr>
      <w:r w:rsidRPr="005A1241">
        <w:rPr>
          <w:rFonts w:eastAsia="Times New Roman"/>
          <w:b/>
          <w:szCs w:val="24"/>
        </w:rPr>
        <w:t>Държавна комисия по сигурността на информацията</w:t>
      </w:r>
    </w:p>
    <w:p w:rsidR="00B178B0" w:rsidRPr="005A1241" w:rsidRDefault="00B178B0" w:rsidP="00B178B0">
      <w:pPr>
        <w:spacing w:after="120"/>
        <w:rPr>
          <w:rFonts w:eastAsia="Times New Roman"/>
          <w:szCs w:val="28"/>
        </w:rPr>
      </w:pPr>
      <w:r w:rsidRPr="005A1241">
        <w:rPr>
          <w:rFonts w:eastAsia="Times New Roman"/>
          <w:szCs w:val="28"/>
        </w:rPr>
        <w:t xml:space="preserve">Държавната комисия по сигурността на информацията отговаря за организирането, осъществяването, координирането и контролирането на дейността по защитата на класифицираната информация и осигуряването на еднаквата ѝ защита в национален и международен план. </w:t>
      </w:r>
    </w:p>
    <w:p w:rsidR="00D961B7" w:rsidRPr="005A1241" w:rsidRDefault="00D961B7" w:rsidP="00D961B7">
      <w:pPr>
        <w:spacing w:after="120"/>
        <w:rPr>
          <w:rFonts w:eastAsia="Times New Roman"/>
          <w:szCs w:val="28"/>
        </w:rPr>
      </w:pPr>
      <w:r w:rsidRPr="00D961B7">
        <w:rPr>
          <w:rFonts w:eastAsia="Times New Roman"/>
          <w:szCs w:val="28"/>
        </w:rPr>
        <w:t>Държавната комисия по сигурността на информацията чрез дирекция „Специална куриерска служба“ осъществява и приемане, съхранение, пренасяне и доставяне на документи и материали, съдържащи класифицирана информация.</w:t>
      </w:r>
      <w:r w:rsidRPr="005A1241">
        <w:rPr>
          <w:rFonts w:eastAsia="Times New Roman"/>
          <w:szCs w:val="28"/>
        </w:rPr>
        <w:t xml:space="preserve"> </w:t>
      </w:r>
    </w:p>
    <w:p w:rsidR="00B178B0" w:rsidRPr="005A1241" w:rsidRDefault="00B178B0" w:rsidP="006F2CDA">
      <w:pPr>
        <w:spacing w:after="120"/>
        <w:rPr>
          <w:rFonts w:eastAsia="Times New Roman"/>
          <w:szCs w:val="24"/>
        </w:rPr>
      </w:pPr>
      <w:r w:rsidRPr="005A1241">
        <w:rPr>
          <w:rFonts w:eastAsia="Times New Roman"/>
          <w:szCs w:val="24"/>
        </w:rPr>
        <w:t>Стратегическите и оперативните цели на Държавната комисия по сигурността на информацията включват:</w:t>
      </w:r>
    </w:p>
    <w:p w:rsidR="00B178B0" w:rsidRPr="005A1241" w:rsidRDefault="00B178B0" w:rsidP="006F2CDA">
      <w:pPr>
        <w:pStyle w:val="ListParagraph"/>
        <w:numPr>
          <w:ilvl w:val="0"/>
          <w:numId w:val="67"/>
        </w:numPr>
        <w:tabs>
          <w:tab w:val="left" w:pos="284"/>
        </w:tabs>
        <w:ind w:left="284" w:hanging="284"/>
        <w:rPr>
          <w:rFonts w:eastAsia="Times New Roman"/>
          <w:szCs w:val="24"/>
        </w:rPr>
      </w:pPr>
      <w:r w:rsidRPr="005A1241">
        <w:rPr>
          <w:rFonts w:eastAsia="Times New Roman"/>
          <w:szCs w:val="24"/>
        </w:rPr>
        <w:t xml:space="preserve">Защита на класифицираната информация от нерегламентиран достъп; </w:t>
      </w:r>
    </w:p>
    <w:p w:rsidR="00B178B0" w:rsidRPr="005A1241" w:rsidRDefault="00B178B0" w:rsidP="006F2CDA">
      <w:pPr>
        <w:pStyle w:val="ListParagraph"/>
        <w:numPr>
          <w:ilvl w:val="0"/>
          <w:numId w:val="67"/>
        </w:numPr>
        <w:tabs>
          <w:tab w:val="left" w:pos="284"/>
        </w:tabs>
        <w:ind w:left="284" w:hanging="284"/>
        <w:rPr>
          <w:rFonts w:eastAsia="Times New Roman"/>
          <w:szCs w:val="24"/>
        </w:rPr>
      </w:pPr>
      <w:r w:rsidRPr="005A1241">
        <w:rPr>
          <w:rFonts w:eastAsia="Times New Roman"/>
          <w:szCs w:val="24"/>
        </w:rPr>
        <w:t>Усъвършенстване, развитие, координация и общ контрол на системата за защита на класифицираната информация по персонална, документална, физическа, индустриална сигурност, сигурност на АИС/М и криптографска сигурност</w:t>
      </w:r>
      <w:r w:rsidR="00C70DDA">
        <w:rPr>
          <w:rFonts w:eastAsia="Times New Roman"/>
          <w:szCs w:val="24"/>
        </w:rPr>
        <w:t>;</w:t>
      </w:r>
    </w:p>
    <w:p w:rsidR="00B178B0" w:rsidRPr="005A1241" w:rsidRDefault="00B178B0" w:rsidP="006F2CDA">
      <w:pPr>
        <w:pStyle w:val="ListParagraph"/>
        <w:numPr>
          <w:ilvl w:val="0"/>
          <w:numId w:val="67"/>
        </w:numPr>
        <w:tabs>
          <w:tab w:val="left" w:pos="284"/>
        </w:tabs>
        <w:ind w:left="284" w:hanging="284"/>
        <w:rPr>
          <w:rFonts w:eastAsia="Times New Roman"/>
          <w:szCs w:val="24"/>
        </w:rPr>
      </w:pPr>
      <w:r w:rsidRPr="005A1241">
        <w:rPr>
          <w:rFonts w:eastAsia="Times New Roman"/>
          <w:szCs w:val="24"/>
        </w:rPr>
        <w:t>Усъвършенстване на системата за обучение по защита на класифицирана информация с цел изграждане на съзнание за сигурност в обществото</w:t>
      </w:r>
      <w:r w:rsidR="00C70DDA">
        <w:rPr>
          <w:rFonts w:eastAsia="Times New Roman"/>
          <w:szCs w:val="24"/>
        </w:rPr>
        <w:t>;</w:t>
      </w:r>
      <w:r w:rsidRPr="005A1241">
        <w:rPr>
          <w:rFonts w:eastAsia="Times New Roman"/>
          <w:szCs w:val="24"/>
        </w:rPr>
        <w:t xml:space="preserve"> </w:t>
      </w:r>
    </w:p>
    <w:p w:rsidR="00B178B0" w:rsidRPr="005A1241" w:rsidRDefault="00B178B0" w:rsidP="006F2CDA">
      <w:pPr>
        <w:pStyle w:val="ListParagraph"/>
        <w:numPr>
          <w:ilvl w:val="0"/>
          <w:numId w:val="67"/>
        </w:numPr>
        <w:tabs>
          <w:tab w:val="left" w:pos="284"/>
        </w:tabs>
        <w:ind w:left="284" w:hanging="284"/>
        <w:rPr>
          <w:rFonts w:eastAsia="Times New Roman"/>
          <w:szCs w:val="24"/>
        </w:rPr>
      </w:pPr>
      <w:r w:rsidRPr="005A1241">
        <w:rPr>
          <w:rFonts w:eastAsia="Times New Roman"/>
          <w:szCs w:val="24"/>
        </w:rPr>
        <w:t>Утвърждаване на авторитета на Държавната комисия по сигурността на информацията като национален орган по сигурността, който чрез националната система за защита на класифицираната информация, гарантира сигурността, както на националната, така и на чуждестранната класифицир</w:t>
      </w:r>
      <w:r w:rsidR="00C70DDA">
        <w:rPr>
          <w:rFonts w:eastAsia="Times New Roman"/>
          <w:szCs w:val="24"/>
        </w:rPr>
        <w:t>ана информация;</w:t>
      </w:r>
    </w:p>
    <w:p w:rsidR="00B178B0" w:rsidRPr="005A1241" w:rsidRDefault="00B178B0" w:rsidP="006F2CDA">
      <w:pPr>
        <w:pStyle w:val="ListParagraph"/>
        <w:numPr>
          <w:ilvl w:val="0"/>
          <w:numId w:val="67"/>
        </w:numPr>
        <w:tabs>
          <w:tab w:val="left" w:pos="284"/>
        </w:tabs>
        <w:ind w:left="284" w:hanging="284"/>
        <w:rPr>
          <w:rFonts w:eastAsia="Times New Roman"/>
          <w:szCs w:val="24"/>
        </w:rPr>
      </w:pPr>
      <w:r w:rsidRPr="005A1241">
        <w:rPr>
          <w:rFonts w:eastAsia="Times New Roman"/>
          <w:szCs w:val="24"/>
        </w:rPr>
        <w:t>Подобряване на институционалния и административен капацитет на Държавната комисия по сигурността на информацията за успешно изпълнение на мисията и функциите</w:t>
      </w:r>
      <w:r w:rsidR="00C70DDA">
        <w:rPr>
          <w:rFonts w:eastAsia="Times New Roman"/>
          <w:szCs w:val="24"/>
        </w:rPr>
        <w:t>.</w:t>
      </w:r>
    </w:p>
    <w:p w:rsidR="00B178B0" w:rsidRPr="005A1241" w:rsidRDefault="00D961B7" w:rsidP="00B178B0">
      <w:pPr>
        <w:spacing w:after="120"/>
        <w:rPr>
          <w:rFonts w:eastAsia="Times New Roman"/>
          <w:szCs w:val="24"/>
        </w:rPr>
      </w:pPr>
      <w:r>
        <w:rPr>
          <w:rFonts w:eastAsia="Times New Roman"/>
          <w:szCs w:val="24"/>
        </w:rPr>
        <w:t>Актуализираната б</w:t>
      </w:r>
      <w:r w:rsidR="00B178B0" w:rsidRPr="005A1241">
        <w:rPr>
          <w:rFonts w:eastAsia="Times New Roman"/>
          <w:szCs w:val="24"/>
        </w:rPr>
        <w:t>юджетна прогноза за периода 2020-2022 г. на Държавната комисия по сигурността на информацията цели финансовото осигуряване на дейността й, което ще гарантира устойчивост в изпълнението на приоритетите и заложените цели през периода.</w:t>
      </w:r>
    </w:p>
    <w:p w:rsidR="00B178B0" w:rsidRPr="005A1241" w:rsidRDefault="00B178B0" w:rsidP="00B178B0">
      <w:pPr>
        <w:spacing w:after="120"/>
        <w:rPr>
          <w:szCs w:val="24"/>
        </w:rPr>
      </w:pPr>
      <w:r w:rsidRPr="005A1241">
        <w:rPr>
          <w:szCs w:val="24"/>
        </w:rPr>
        <w:t>Считано от 2020 г. дейността на Държавната комисия по сигурността на информацията попада в обхвата на функционална област „Защита на класифицираната информация“.</w:t>
      </w:r>
    </w:p>
    <w:p w:rsidR="00B178B0" w:rsidRPr="005A1241" w:rsidRDefault="00B178B0" w:rsidP="00B178B0">
      <w:pPr>
        <w:spacing w:after="120"/>
        <w:rPr>
          <w:b/>
        </w:rPr>
      </w:pPr>
      <w:r w:rsidRPr="005A1241">
        <w:rPr>
          <w:b/>
        </w:rPr>
        <w:t>Комисия за защита от дискриминация</w:t>
      </w:r>
    </w:p>
    <w:p w:rsidR="00B178B0" w:rsidRPr="005A1241" w:rsidRDefault="00B178B0" w:rsidP="00B178B0">
      <w:pPr>
        <w:spacing w:after="120"/>
      </w:pPr>
      <w:r w:rsidRPr="005A1241">
        <w:t>Основните стратегически цели на комисията са:</w:t>
      </w:r>
    </w:p>
    <w:p w:rsidR="00B178B0" w:rsidRPr="005A1241" w:rsidRDefault="00B178B0" w:rsidP="00B178B0">
      <w:pPr>
        <w:spacing w:after="120"/>
      </w:pPr>
      <w:r w:rsidRPr="005A1241">
        <w:t>1. Предотвратяване, противодействие и ограничаване на всякакви форми на дискриминация;</w:t>
      </w:r>
    </w:p>
    <w:p w:rsidR="00B178B0" w:rsidRPr="005A1241" w:rsidRDefault="00B178B0" w:rsidP="00B178B0">
      <w:pPr>
        <w:spacing w:after="120"/>
      </w:pPr>
      <w:r w:rsidRPr="005A1241">
        <w:t>2. Подобряване на  прилагането на принципа за равенство в областта на труда и заетостта в държавния и частния сектор;</w:t>
      </w:r>
    </w:p>
    <w:p w:rsidR="00B178B0" w:rsidRPr="005A1241" w:rsidRDefault="00B178B0" w:rsidP="00B178B0">
      <w:pPr>
        <w:spacing w:after="120"/>
      </w:pPr>
      <w:r w:rsidRPr="005A1241">
        <w:t>3. Реализирана устойчивост на административните усл</w:t>
      </w:r>
      <w:r w:rsidR="00C70DDA">
        <w:t>уги, предоставяни на гражданите.</w:t>
      </w:r>
    </w:p>
    <w:p w:rsidR="00B178B0" w:rsidRPr="005A1241" w:rsidRDefault="00B178B0" w:rsidP="00B178B0">
      <w:pPr>
        <w:spacing w:after="120"/>
        <w:rPr>
          <w:b/>
        </w:rPr>
      </w:pPr>
      <w:r w:rsidRPr="005A1241">
        <w:rPr>
          <w:szCs w:val="24"/>
        </w:rPr>
        <w:t>Считано от 2020 г. дейността на</w:t>
      </w:r>
      <w:r w:rsidRPr="007D6981">
        <w:rPr>
          <w:szCs w:val="24"/>
          <w:lang w:val="ru-RU"/>
        </w:rPr>
        <w:t xml:space="preserve"> </w:t>
      </w:r>
      <w:r w:rsidRPr="005A1241">
        <w:t>Комисията за защита от дискриминация</w:t>
      </w:r>
      <w:r w:rsidRPr="007D6981">
        <w:rPr>
          <w:b/>
          <w:lang w:val="ru-RU"/>
        </w:rPr>
        <w:t xml:space="preserve"> </w:t>
      </w:r>
      <w:r w:rsidRPr="005A1241">
        <w:rPr>
          <w:szCs w:val="24"/>
        </w:rPr>
        <w:t>попада в обхвата на функционална област</w:t>
      </w:r>
      <w:r w:rsidRPr="007D6981">
        <w:rPr>
          <w:szCs w:val="24"/>
          <w:lang w:val="ru-RU"/>
        </w:rPr>
        <w:t xml:space="preserve"> </w:t>
      </w:r>
      <w:r w:rsidRPr="005A1241">
        <w:rPr>
          <w:szCs w:val="24"/>
        </w:rPr>
        <w:t>„Противодействие и защита на гражданите от дискриминация“</w:t>
      </w:r>
      <w:r w:rsidR="00C70DDA">
        <w:rPr>
          <w:szCs w:val="24"/>
        </w:rPr>
        <w:t>.</w:t>
      </w:r>
    </w:p>
    <w:p w:rsidR="00B178B0" w:rsidRPr="005A1241" w:rsidRDefault="00B178B0" w:rsidP="00B178B0">
      <w:pPr>
        <w:spacing w:after="120"/>
        <w:rPr>
          <w:b/>
        </w:rPr>
      </w:pPr>
      <w:r w:rsidRPr="005A1241">
        <w:rPr>
          <w:b/>
        </w:rPr>
        <w:t>Администрация на президента</w:t>
      </w:r>
    </w:p>
    <w:p w:rsidR="00B178B0" w:rsidRPr="005A1241" w:rsidRDefault="00B178B0" w:rsidP="00B178B0">
      <w:pPr>
        <w:spacing w:after="120"/>
        <w:rPr>
          <w:rFonts w:eastAsia="Times New Roman"/>
        </w:rPr>
      </w:pPr>
      <w:r w:rsidRPr="005A1241">
        <w:rPr>
          <w:rFonts w:eastAsia="Times New Roman"/>
        </w:rPr>
        <w:t>Планираните разходи са обвързани с изпълнението на Програмата за работата на Администрацията на президента по осъществяване на конституционните правомощия на президента и вицепрезидента на Република България в интерес на гражданите и обществото.</w:t>
      </w:r>
    </w:p>
    <w:p w:rsidR="00B178B0" w:rsidRPr="005A1241" w:rsidRDefault="00B178B0" w:rsidP="00B178B0">
      <w:pPr>
        <w:spacing w:after="120"/>
        <w:rPr>
          <w:rFonts w:eastAsia="Times New Roman"/>
        </w:rPr>
      </w:pPr>
      <w:r w:rsidRPr="005A1241">
        <w:rPr>
          <w:rFonts w:eastAsia="Times New Roman"/>
        </w:rPr>
        <w:t>Целите на Програмата включват:</w:t>
      </w:r>
    </w:p>
    <w:p w:rsidR="00B178B0" w:rsidRPr="005A1241" w:rsidRDefault="00B178B0" w:rsidP="003403BF">
      <w:pPr>
        <w:numPr>
          <w:ilvl w:val="0"/>
          <w:numId w:val="19"/>
        </w:numPr>
        <w:spacing w:after="120"/>
        <w:ind w:left="567" w:hanging="283"/>
        <w:rPr>
          <w:rFonts w:eastAsia="Times New Roman"/>
        </w:rPr>
      </w:pPr>
      <w:r w:rsidRPr="005A1241">
        <w:rPr>
          <w:rFonts w:eastAsia="Times New Roman"/>
        </w:rPr>
        <w:t>Защита и реализация на националните и</w:t>
      </w:r>
      <w:r w:rsidR="008342EB">
        <w:rPr>
          <w:rFonts w:eastAsia="Times New Roman"/>
        </w:rPr>
        <w:t xml:space="preserve">нтереси на Република България </w:t>
      </w:r>
      <w:r w:rsidRPr="005A1241">
        <w:rPr>
          <w:rFonts w:eastAsia="Times New Roman"/>
        </w:rPr>
        <w:t>чрез активно участие в международните отношения;</w:t>
      </w:r>
    </w:p>
    <w:p w:rsidR="00B178B0" w:rsidRPr="005A1241" w:rsidRDefault="00B178B0" w:rsidP="003403BF">
      <w:pPr>
        <w:numPr>
          <w:ilvl w:val="0"/>
          <w:numId w:val="19"/>
        </w:numPr>
        <w:spacing w:after="120"/>
        <w:ind w:left="567" w:hanging="283"/>
        <w:rPr>
          <w:rFonts w:eastAsia="Times New Roman"/>
        </w:rPr>
      </w:pPr>
      <w:r w:rsidRPr="005A1241">
        <w:rPr>
          <w:rFonts w:eastAsia="Times New Roman"/>
        </w:rPr>
        <w:t>Устойчиво развитие на българската нация и държава;</w:t>
      </w:r>
    </w:p>
    <w:p w:rsidR="00B178B0" w:rsidRPr="005A1241" w:rsidRDefault="00B178B0" w:rsidP="003403BF">
      <w:pPr>
        <w:numPr>
          <w:ilvl w:val="0"/>
          <w:numId w:val="19"/>
        </w:numPr>
        <w:spacing w:after="120"/>
        <w:ind w:left="567" w:hanging="283"/>
        <w:rPr>
          <w:rFonts w:eastAsia="Times New Roman"/>
        </w:rPr>
      </w:pPr>
      <w:r w:rsidRPr="005A1241">
        <w:rPr>
          <w:rFonts w:eastAsia="Times New Roman"/>
        </w:rPr>
        <w:t>Защита на националната сигурност и териториалната цялост на Република България - президентът върховен главнокомандващ на въоръжените сили на Република България;</w:t>
      </w:r>
    </w:p>
    <w:p w:rsidR="00B178B0" w:rsidRPr="005A1241" w:rsidRDefault="00B178B0" w:rsidP="003403BF">
      <w:pPr>
        <w:numPr>
          <w:ilvl w:val="0"/>
          <w:numId w:val="19"/>
        </w:numPr>
        <w:spacing w:after="120"/>
        <w:ind w:left="567" w:hanging="283"/>
        <w:rPr>
          <w:rFonts w:eastAsia="Times New Roman"/>
        </w:rPr>
      </w:pPr>
      <w:r w:rsidRPr="005A1241">
        <w:rPr>
          <w:rFonts w:eastAsia="Times New Roman"/>
        </w:rPr>
        <w:t>Усъвършенстване и развитие на съвременна,</w:t>
      </w:r>
      <w:r w:rsidRPr="005A1241">
        <w:rPr>
          <w:rFonts w:eastAsia="Times New Roman"/>
          <w:lang w:val="ru-RU"/>
        </w:rPr>
        <w:t xml:space="preserve"> </w:t>
      </w:r>
      <w:r w:rsidRPr="005A1241">
        <w:rPr>
          <w:rFonts w:eastAsia="Times New Roman"/>
        </w:rPr>
        <w:t>високо оперативна и функционира</w:t>
      </w:r>
      <w:r w:rsidR="007C48F1">
        <w:rPr>
          <w:rFonts w:eastAsia="Times New Roman"/>
        </w:rPr>
        <w:t>щ</w:t>
      </w:r>
      <w:r w:rsidRPr="005A1241">
        <w:rPr>
          <w:rFonts w:eastAsia="Times New Roman"/>
        </w:rPr>
        <w:t xml:space="preserve">а  администрация, която напълно да обезпечава организационно, логистично и финансово дейността на президента и вицепрезидента за изпълнение на правомощията им по Конституцията на Република България. Поддържане и модернизиране на сградния фонд и прилежащите площи в съответствие с изискванията за представителност.  </w:t>
      </w:r>
    </w:p>
    <w:p w:rsidR="00B178B0" w:rsidRPr="005A1241" w:rsidRDefault="00B178B0" w:rsidP="00B178B0">
      <w:pPr>
        <w:spacing w:after="120"/>
        <w:rPr>
          <w:szCs w:val="24"/>
        </w:rPr>
      </w:pPr>
      <w:r w:rsidRPr="005A1241">
        <w:rPr>
          <w:szCs w:val="24"/>
        </w:rPr>
        <w:t>Считано от 2020 г. дейността на</w:t>
      </w:r>
      <w:r w:rsidRPr="005A1241">
        <w:t xml:space="preserve"> </w:t>
      </w:r>
      <w:r w:rsidRPr="005A1241">
        <w:rPr>
          <w:szCs w:val="24"/>
        </w:rPr>
        <w:t>Администрацията на президента попада в обхвата на функционална област „Осъществяване на конституционните правомощия на президента на Република България“.</w:t>
      </w:r>
    </w:p>
    <w:p w:rsidR="00B178B0" w:rsidRPr="007D6981" w:rsidRDefault="00B178B0" w:rsidP="00B178B0">
      <w:pPr>
        <w:spacing w:after="120"/>
        <w:rPr>
          <w:b/>
          <w:sz w:val="12"/>
          <w:szCs w:val="12"/>
          <w:lang w:val="ru-RU"/>
        </w:rPr>
      </w:pPr>
    </w:p>
    <w:p w:rsidR="00B178B0" w:rsidRPr="005A1241" w:rsidRDefault="00B178B0" w:rsidP="00B178B0">
      <w:pPr>
        <w:spacing w:after="120"/>
        <w:rPr>
          <w:b/>
        </w:rPr>
      </w:pPr>
      <w:r w:rsidRPr="005A1241">
        <w:rPr>
          <w:b/>
        </w:rPr>
        <w:t>Омбудсман</w:t>
      </w:r>
    </w:p>
    <w:p w:rsidR="00B178B0" w:rsidRPr="005A1241" w:rsidRDefault="00B178B0" w:rsidP="00B178B0">
      <w:pPr>
        <w:spacing w:after="120"/>
        <w:rPr>
          <w:color w:val="000000"/>
          <w:szCs w:val="24"/>
        </w:rPr>
      </w:pPr>
      <w:r w:rsidRPr="005A1241">
        <w:rPr>
          <w:color w:val="000000"/>
          <w:szCs w:val="24"/>
        </w:rPr>
        <w:t xml:space="preserve">Основната функция на </w:t>
      </w:r>
      <w:r w:rsidR="008342EB" w:rsidRPr="005A1241">
        <w:rPr>
          <w:color w:val="000000"/>
          <w:szCs w:val="24"/>
        </w:rPr>
        <w:t xml:space="preserve">Омбудсмана </w:t>
      </w:r>
      <w:r w:rsidRPr="005A1241">
        <w:rPr>
          <w:color w:val="000000"/>
          <w:szCs w:val="24"/>
        </w:rPr>
        <w:t>е да защитава правото на гражданите да живеят в чиста и благоприятна околна среда, която гарантира здравето и живота им. В тази връзка държавата финансира дейността му, която е изключително разнородна и всеобхватна, а основните му инициативи са свързани предимно с:</w:t>
      </w:r>
    </w:p>
    <w:p w:rsidR="00B178B0" w:rsidRPr="00B178B0" w:rsidRDefault="00B178B0" w:rsidP="003403BF">
      <w:pPr>
        <w:numPr>
          <w:ilvl w:val="0"/>
          <w:numId w:val="19"/>
        </w:numPr>
        <w:spacing w:after="120"/>
        <w:ind w:left="567" w:hanging="283"/>
        <w:rPr>
          <w:rFonts w:eastAsia="Times New Roman"/>
        </w:rPr>
      </w:pPr>
      <w:r w:rsidRPr="00B178B0">
        <w:rPr>
          <w:rFonts w:eastAsia="Times New Roman"/>
        </w:rPr>
        <w:t>Правата на човека в местата за лишаване от свобода;</w:t>
      </w:r>
    </w:p>
    <w:p w:rsidR="00B178B0" w:rsidRPr="00B178B0" w:rsidRDefault="00B178B0" w:rsidP="003403BF">
      <w:pPr>
        <w:numPr>
          <w:ilvl w:val="0"/>
          <w:numId w:val="19"/>
        </w:numPr>
        <w:spacing w:after="120"/>
        <w:ind w:left="567" w:hanging="283"/>
        <w:rPr>
          <w:rFonts w:eastAsia="Times New Roman"/>
        </w:rPr>
      </w:pPr>
      <w:r w:rsidRPr="00B178B0">
        <w:rPr>
          <w:rFonts w:eastAsia="Times New Roman"/>
        </w:rPr>
        <w:t>Правата на децата;</w:t>
      </w:r>
    </w:p>
    <w:p w:rsidR="00B178B0" w:rsidRPr="00B178B0" w:rsidRDefault="00B178B0" w:rsidP="003403BF">
      <w:pPr>
        <w:numPr>
          <w:ilvl w:val="0"/>
          <w:numId w:val="19"/>
        </w:numPr>
        <w:spacing w:after="120"/>
        <w:ind w:left="567" w:hanging="283"/>
        <w:rPr>
          <w:rFonts w:eastAsia="Times New Roman"/>
        </w:rPr>
      </w:pPr>
      <w:r w:rsidRPr="00B178B0">
        <w:rPr>
          <w:rFonts w:eastAsia="Times New Roman"/>
        </w:rPr>
        <w:t>Правата на хората с увреждания;</w:t>
      </w:r>
    </w:p>
    <w:p w:rsidR="00B178B0" w:rsidRPr="00B178B0" w:rsidRDefault="00B178B0" w:rsidP="003403BF">
      <w:pPr>
        <w:numPr>
          <w:ilvl w:val="0"/>
          <w:numId w:val="19"/>
        </w:numPr>
        <w:spacing w:after="120"/>
        <w:ind w:left="567" w:hanging="283"/>
        <w:rPr>
          <w:rFonts w:eastAsia="Times New Roman"/>
        </w:rPr>
      </w:pPr>
      <w:r w:rsidRPr="00B178B0">
        <w:rPr>
          <w:rFonts w:eastAsia="Times New Roman"/>
        </w:rPr>
        <w:t>Правата на потребителите;</w:t>
      </w:r>
    </w:p>
    <w:p w:rsidR="00B178B0" w:rsidRPr="00B178B0" w:rsidRDefault="00B178B0" w:rsidP="003403BF">
      <w:pPr>
        <w:numPr>
          <w:ilvl w:val="0"/>
          <w:numId w:val="19"/>
        </w:numPr>
        <w:spacing w:after="120"/>
        <w:ind w:left="567" w:hanging="283"/>
        <w:rPr>
          <w:rFonts w:eastAsia="Times New Roman"/>
        </w:rPr>
      </w:pPr>
      <w:r w:rsidRPr="00B178B0">
        <w:rPr>
          <w:rFonts w:eastAsia="Times New Roman"/>
        </w:rPr>
        <w:t>Социалните права на гражданите;</w:t>
      </w:r>
    </w:p>
    <w:p w:rsidR="00B178B0" w:rsidRPr="00B178B0" w:rsidRDefault="00B178B0" w:rsidP="003403BF">
      <w:pPr>
        <w:numPr>
          <w:ilvl w:val="0"/>
          <w:numId w:val="19"/>
        </w:numPr>
        <w:spacing w:after="120"/>
        <w:ind w:left="567" w:hanging="283"/>
        <w:rPr>
          <w:rFonts w:eastAsia="Times New Roman"/>
        </w:rPr>
      </w:pPr>
      <w:r w:rsidRPr="00B178B0">
        <w:rPr>
          <w:rFonts w:eastAsia="Times New Roman"/>
        </w:rPr>
        <w:t>Здравеопазването;</w:t>
      </w:r>
    </w:p>
    <w:p w:rsidR="00B178B0" w:rsidRPr="00B178B0" w:rsidRDefault="00B178B0" w:rsidP="003403BF">
      <w:pPr>
        <w:numPr>
          <w:ilvl w:val="0"/>
          <w:numId w:val="19"/>
        </w:numPr>
        <w:spacing w:after="120"/>
        <w:ind w:left="567" w:hanging="283"/>
        <w:rPr>
          <w:rFonts w:eastAsia="Times New Roman"/>
        </w:rPr>
      </w:pPr>
      <w:r w:rsidRPr="00B178B0">
        <w:rPr>
          <w:rFonts w:eastAsia="Times New Roman"/>
        </w:rPr>
        <w:t>Образованието;</w:t>
      </w:r>
    </w:p>
    <w:p w:rsidR="00B178B0" w:rsidRPr="00B178B0" w:rsidRDefault="00B178B0" w:rsidP="003403BF">
      <w:pPr>
        <w:numPr>
          <w:ilvl w:val="0"/>
          <w:numId w:val="19"/>
        </w:numPr>
        <w:spacing w:after="120"/>
        <w:ind w:left="567" w:hanging="283"/>
        <w:rPr>
          <w:rFonts w:eastAsia="Times New Roman"/>
        </w:rPr>
      </w:pPr>
      <w:r w:rsidRPr="00B178B0">
        <w:rPr>
          <w:rFonts w:eastAsia="Times New Roman"/>
        </w:rPr>
        <w:t>Опазването на околната среда.</w:t>
      </w:r>
    </w:p>
    <w:p w:rsidR="00B178B0" w:rsidRPr="005A1241" w:rsidRDefault="00B178B0" w:rsidP="00B178B0">
      <w:pPr>
        <w:spacing w:after="120"/>
        <w:rPr>
          <w:color w:val="000000"/>
          <w:szCs w:val="24"/>
        </w:rPr>
      </w:pPr>
      <w:r w:rsidRPr="005A1241">
        <w:rPr>
          <w:color w:val="000000"/>
          <w:szCs w:val="24"/>
        </w:rPr>
        <w:t xml:space="preserve">Основните принципи, от които се ръководи </w:t>
      </w:r>
      <w:r w:rsidR="008342EB" w:rsidRPr="005A1241">
        <w:rPr>
          <w:color w:val="000000"/>
          <w:szCs w:val="24"/>
        </w:rPr>
        <w:t xml:space="preserve">Омбудсманът </w:t>
      </w:r>
      <w:r w:rsidRPr="005A1241">
        <w:rPr>
          <w:color w:val="000000"/>
          <w:szCs w:val="24"/>
        </w:rPr>
        <w:t>са безпристрастност, независимост, справедливост, утвърждаване на правова държава, защита на най-добрия интерес на детето, преценка по вътрешно убеждение относно спазването на изискванията за добро управление.</w:t>
      </w:r>
    </w:p>
    <w:p w:rsidR="00B178B0" w:rsidRPr="005A1241" w:rsidRDefault="00B178B0" w:rsidP="00B178B0">
      <w:pPr>
        <w:spacing w:after="120"/>
        <w:rPr>
          <w:color w:val="000000"/>
          <w:szCs w:val="24"/>
        </w:rPr>
      </w:pPr>
      <w:r w:rsidRPr="005A1241">
        <w:rPr>
          <w:color w:val="000000"/>
          <w:szCs w:val="24"/>
        </w:rPr>
        <w:t xml:space="preserve">В своята дейност </w:t>
      </w:r>
      <w:r w:rsidR="00F322C4" w:rsidRPr="005A1241">
        <w:rPr>
          <w:color w:val="000000"/>
          <w:szCs w:val="24"/>
        </w:rPr>
        <w:t xml:space="preserve">Омбудсманът </w:t>
      </w:r>
      <w:r w:rsidRPr="005A1241">
        <w:rPr>
          <w:color w:val="000000"/>
          <w:szCs w:val="24"/>
        </w:rPr>
        <w:t>се подпомага от своята администрация, осъществява сътрудничество със сродни институции в други държави, както и с международни организации, чийто предмет на дейност обхваща защитата на правата на човека. Взаимодейства с местните обществени посредници и други сродни институции в България, осъществява сътрудничество с неправителствени организации, чийто предмет на дейност обхваща защитата на правата на човека.</w:t>
      </w:r>
    </w:p>
    <w:p w:rsidR="00B178B0" w:rsidRPr="005A1241" w:rsidRDefault="00B178B0" w:rsidP="00B178B0">
      <w:pPr>
        <w:spacing w:after="120"/>
        <w:rPr>
          <w:color w:val="000000"/>
          <w:szCs w:val="24"/>
        </w:rPr>
      </w:pPr>
      <w:r w:rsidRPr="005A1241">
        <w:rPr>
          <w:color w:val="000000"/>
          <w:szCs w:val="24"/>
        </w:rPr>
        <w:t>Параметрите, заложени в актуализираната средносрочна бюджетна прогноза, касаещи Омбудсмана, целят финансовото осигуряване на дейността му, което ще гарантира устойчивост в изпълнението на приоритетите и заложените цели през периода.</w:t>
      </w:r>
    </w:p>
    <w:p w:rsidR="00B178B0" w:rsidRPr="005A1241" w:rsidRDefault="00B178B0" w:rsidP="00B178B0">
      <w:pPr>
        <w:spacing w:after="120"/>
        <w:rPr>
          <w:szCs w:val="24"/>
        </w:rPr>
      </w:pPr>
      <w:r w:rsidRPr="005A1241">
        <w:rPr>
          <w:szCs w:val="24"/>
        </w:rPr>
        <w:t>Считано от 2020 г. дейността на Омбудсмана попада в обхвата на функционална област „Защита правата на гражданите“.</w:t>
      </w:r>
    </w:p>
    <w:p w:rsidR="00B178B0" w:rsidRPr="005A1241" w:rsidRDefault="00B178B0" w:rsidP="00B178B0">
      <w:pPr>
        <w:spacing w:after="120"/>
        <w:rPr>
          <w:b/>
          <w:szCs w:val="24"/>
        </w:rPr>
      </w:pPr>
      <w:r w:rsidRPr="005A1241">
        <w:rPr>
          <w:b/>
          <w:szCs w:val="24"/>
        </w:rPr>
        <w:t>Комисия за разкриване на документите и за обявяване на принадлежност на български граждани към Държавна сигурност и разузнавателните служби на Българската народна армия</w:t>
      </w:r>
    </w:p>
    <w:p w:rsidR="00B178B0" w:rsidRPr="005A1241" w:rsidRDefault="00B178B0" w:rsidP="00B178B0">
      <w:pPr>
        <w:spacing w:after="120"/>
        <w:rPr>
          <w:szCs w:val="24"/>
        </w:rPr>
      </w:pPr>
      <w:r w:rsidRPr="005A1241">
        <w:rPr>
          <w:color w:val="000000"/>
          <w:szCs w:val="24"/>
        </w:rPr>
        <w:t xml:space="preserve">Комисията е </w:t>
      </w:r>
      <w:r w:rsidRPr="005A1241">
        <w:rPr>
          <w:bCs/>
          <w:color w:val="000000"/>
          <w:szCs w:val="24"/>
        </w:rPr>
        <w:t>независим държавен орган</w:t>
      </w:r>
      <w:r w:rsidRPr="005A1241">
        <w:rPr>
          <w:color w:val="000000"/>
          <w:szCs w:val="24"/>
        </w:rPr>
        <w:t xml:space="preserve">, който осъществява политиката на Република България за разкриването, обявяването и съхраняването на документите на Държавна сигурност и разузнавателните служби на Българската народна армия. През периода 2020-2022 г. </w:t>
      </w:r>
      <w:r w:rsidR="00F322C4" w:rsidRPr="005A1241">
        <w:rPr>
          <w:color w:val="000000"/>
          <w:szCs w:val="24"/>
        </w:rPr>
        <w:t xml:space="preserve">комисията </w:t>
      </w:r>
      <w:r w:rsidRPr="005A1241">
        <w:rPr>
          <w:color w:val="000000"/>
          <w:szCs w:val="24"/>
        </w:rPr>
        <w:t>ще продължава да води целенасочена политика в изпълнение на задълженията си</w:t>
      </w:r>
      <w:r w:rsidR="00E34F4D">
        <w:rPr>
          <w:color w:val="000000"/>
          <w:szCs w:val="24"/>
        </w:rPr>
        <w:t>,</w:t>
      </w:r>
      <w:r w:rsidRPr="005A1241">
        <w:rPr>
          <w:color w:val="000000"/>
          <w:szCs w:val="24"/>
        </w:rPr>
        <w:t xml:space="preserve"> </w:t>
      </w:r>
      <w:r w:rsidR="00F322C4">
        <w:rPr>
          <w:color w:val="000000"/>
          <w:szCs w:val="24"/>
        </w:rPr>
        <w:t>регламентирани в</w:t>
      </w:r>
      <w:r w:rsidRPr="005A1241">
        <w:rPr>
          <w:color w:val="000000"/>
          <w:szCs w:val="24"/>
        </w:rPr>
        <w:t xml:space="preserve"> </w:t>
      </w:r>
      <w:r w:rsidRPr="005A1241">
        <w:rPr>
          <w:szCs w:val="24"/>
        </w:rPr>
        <w:t>Закона за достъп и разкриване на документите и за обявяване на принадлежност на български граждани към Държавна сигурност и разузнавателните служби на Българската народна армия, а именно:</w:t>
      </w:r>
    </w:p>
    <w:p w:rsidR="00B178B0" w:rsidRPr="005A1241" w:rsidRDefault="00B178B0" w:rsidP="003403BF">
      <w:pPr>
        <w:widowControl w:val="0"/>
        <w:numPr>
          <w:ilvl w:val="0"/>
          <w:numId w:val="68"/>
        </w:numPr>
        <w:spacing w:after="120"/>
        <w:rPr>
          <w:iCs/>
          <w:szCs w:val="24"/>
        </w:rPr>
      </w:pPr>
      <w:r w:rsidRPr="005A1241">
        <w:rPr>
          <w:iCs/>
          <w:szCs w:val="24"/>
        </w:rPr>
        <w:t xml:space="preserve">да установява и обявява принадлежност към </w:t>
      </w:r>
      <w:r w:rsidR="007C48F1" w:rsidRPr="007C48F1">
        <w:rPr>
          <w:iCs/>
          <w:szCs w:val="24"/>
        </w:rPr>
        <w:t>Държавна сигурност и разузнавателните служби на Българската народна армия</w:t>
      </w:r>
      <w:r w:rsidRPr="005A1241">
        <w:rPr>
          <w:iCs/>
          <w:szCs w:val="24"/>
        </w:rPr>
        <w:t xml:space="preserve"> на български граждани, заемали/заемащи публични длъжности или извършвали/извършващи публични дейности, както и на другите лица по чл. 26 от закона, обект на задължителната проверка;</w:t>
      </w:r>
    </w:p>
    <w:p w:rsidR="00B178B0" w:rsidRPr="005A1241" w:rsidRDefault="00B178B0" w:rsidP="003403BF">
      <w:pPr>
        <w:widowControl w:val="0"/>
        <w:numPr>
          <w:ilvl w:val="0"/>
          <w:numId w:val="68"/>
        </w:numPr>
        <w:spacing w:after="120"/>
        <w:rPr>
          <w:iCs/>
          <w:szCs w:val="24"/>
        </w:rPr>
      </w:pPr>
      <w:r w:rsidRPr="005A1241">
        <w:rPr>
          <w:iCs/>
          <w:szCs w:val="24"/>
        </w:rPr>
        <w:t>да попълва Централизирания архив с документите на органите по чл. 1 от закона, съставени в периода от 9 септември 1944 г. до 16 юли 1991 г.;</w:t>
      </w:r>
    </w:p>
    <w:p w:rsidR="00B178B0" w:rsidRPr="005A1241" w:rsidRDefault="00B178B0" w:rsidP="003403BF">
      <w:pPr>
        <w:widowControl w:val="0"/>
        <w:numPr>
          <w:ilvl w:val="0"/>
          <w:numId w:val="68"/>
        </w:numPr>
        <w:spacing w:after="120"/>
        <w:rPr>
          <w:iCs/>
          <w:szCs w:val="24"/>
        </w:rPr>
      </w:pPr>
      <w:r w:rsidRPr="005A1241">
        <w:rPr>
          <w:iCs/>
          <w:szCs w:val="24"/>
        </w:rPr>
        <w:t>да осигурява достъп до тези документи.</w:t>
      </w:r>
    </w:p>
    <w:p w:rsidR="00B178B0" w:rsidRPr="005A1241" w:rsidRDefault="00B178B0" w:rsidP="00B178B0">
      <w:pPr>
        <w:pStyle w:val="ListParagraph"/>
        <w:numPr>
          <w:ilvl w:val="0"/>
          <w:numId w:val="0"/>
        </w:numPr>
        <w:rPr>
          <w:szCs w:val="24"/>
        </w:rPr>
      </w:pPr>
      <w:r w:rsidRPr="005A1241">
        <w:rPr>
          <w:szCs w:val="24"/>
        </w:rPr>
        <w:t xml:space="preserve">Считано от 2020 г. дейността на </w:t>
      </w:r>
      <w:r w:rsidR="00F322C4" w:rsidRPr="005A1241">
        <w:rPr>
          <w:szCs w:val="24"/>
        </w:rPr>
        <w:t xml:space="preserve">комисията </w:t>
      </w:r>
      <w:r w:rsidRPr="005A1241">
        <w:rPr>
          <w:szCs w:val="24"/>
        </w:rPr>
        <w:t>попада в обхвата на функционална област „Архив на Държавна сигурност и разузнавателните служби на Българската народна армия“</w:t>
      </w:r>
      <w:r w:rsidR="00F84FBD">
        <w:rPr>
          <w:szCs w:val="24"/>
        </w:rPr>
        <w:t>.</w:t>
      </w:r>
    </w:p>
    <w:p w:rsidR="00B178B0" w:rsidRPr="005A1241" w:rsidRDefault="00B178B0" w:rsidP="00B178B0">
      <w:pPr>
        <w:spacing w:after="120"/>
        <w:rPr>
          <w:b/>
          <w:szCs w:val="24"/>
        </w:rPr>
      </w:pPr>
      <w:r w:rsidRPr="005A1241">
        <w:rPr>
          <w:b/>
        </w:rPr>
        <w:t>Комисия за п</w:t>
      </w:r>
      <w:r w:rsidRPr="005A1241">
        <w:rPr>
          <w:b/>
          <w:szCs w:val="24"/>
        </w:rPr>
        <w:t>ротиводействие на корупцията и за отнемане на незаконно придобитото имущество</w:t>
      </w:r>
    </w:p>
    <w:p w:rsidR="00B178B0" w:rsidRPr="005A1241" w:rsidRDefault="00B178B0" w:rsidP="00B178B0">
      <w:pPr>
        <w:spacing w:after="120"/>
      </w:pPr>
      <w:r w:rsidRPr="005A1241">
        <w:t>Комисията за противодействие на корупцията и за отнемане на незаконно придобитото имущество е независим специализиран постоянно действащ държавен орган за осъществяване на политиката по противодействие на корупцията, създаване на гаранции, че лицата, заемащи висши публични длъжности изпълняват правомощията или задълженията си честно и почтено при спазване на Конституцията на Република България и законите, и предотвратяване на възможностите за незаконно придобиване на имущество и разпореждането с него.</w:t>
      </w:r>
    </w:p>
    <w:p w:rsidR="00B178B0" w:rsidRPr="005A1241" w:rsidRDefault="00B178B0" w:rsidP="00B178B0">
      <w:pPr>
        <w:spacing w:after="120"/>
      </w:pPr>
      <w:r w:rsidRPr="005A1241">
        <w:t xml:space="preserve">Разчетените в </w:t>
      </w:r>
      <w:r w:rsidR="004326E5">
        <w:t xml:space="preserve">актуализираната </w:t>
      </w:r>
      <w:r w:rsidRPr="005A1241">
        <w:t xml:space="preserve">средносрочна бюджетна прогноза за периода 2020-2022 г. разходи са свързани с обезпечаване изпълнението на възложените на </w:t>
      </w:r>
      <w:r w:rsidR="00B57960">
        <w:t>комисията</w:t>
      </w:r>
      <w:r w:rsidRPr="005A1241">
        <w:t xml:space="preserve"> функции по превенция и противодействие на корупцията, установяване на конфликт на интереси и отнемане на незаконно придобитото имущество.</w:t>
      </w:r>
    </w:p>
    <w:p w:rsidR="00B178B0" w:rsidRPr="005A1241" w:rsidRDefault="00B178B0" w:rsidP="00B178B0">
      <w:pPr>
        <w:spacing w:after="120"/>
      </w:pPr>
      <w:r w:rsidRPr="005A1241">
        <w:t>Считано от 2020 г.  дейността на Комисията за противодействие на корупцията и за отнемане на незаконно придобитото имущество попада в обхвата на функционална област „Осъществяване на превенция и противодействие на корупцията и публичност на имуществото на лицата, заемащи висши публични длъжности“.</w:t>
      </w:r>
    </w:p>
    <w:p w:rsidR="00B178B0" w:rsidRPr="005A1241" w:rsidRDefault="00B178B0" w:rsidP="00B178B0">
      <w:pPr>
        <w:spacing w:after="120"/>
        <w:rPr>
          <w:b/>
        </w:rPr>
      </w:pPr>
      <w:r w:rsidRPr="005A1241">
        <w:rPr>
          <w:b/>
        </w:rPr>
        <w:t>Комисия за защита на личните данни</w:t>
      </w:r>
    </w:p>
    <w:p w:rsidR="00B178B0" w:rsidRPr="005A1241" w:rsidRDefault="00B178B0" w:rsidP="00B178B0">
      <w:pPr>
        <w:spacing w:after="120"/>
      </w:pPr>
      <w:r w:rsidRPr="005A1241">
        <w:t>Основните стратегически цели на комисията са:</w:t>
      </w:r>
    </w:p>
    <w:p w:rsidR="00B178B0" w:rsidRPr="005A1241" w:rsidRDefault="00B178B0" w:rsidP="00B178B0">
      <w:pPr>
        <w:spacing w:after="120"/>
      </w:pPr>
      <w:r w:rsidRPr="005A1241">
        <w:t>1. Реализиране на система за предотвратяване и ограничаване на незаконните форми на обработване на лични данни и нарушаване правата на физическите лица;</w:t>
      </w:r>
    </w:p>
    <w:p w:rsidR="00B178B0" w:rsidRPr="005A1241" w:rsidRDefault="00B178B0" w:rsidP="00B178B0">
      <w:pPr>
        <w:spacing w:after="120"/>
      </w:pPr>
      <w:r w:rsidRPr="005A1241">
        <w:t>2. Разгърната система от обучения в областта на защитата на личните данни, мероприятия и инициативи за повишаване на осведомеността на обществото;</w:t>
      </w:r>
    </w:p>
    <w:p w:rsidR="00B178B0" w:rsidRPr="005A1241" w:rsidRDefault="00B178B0" w:rsidP="00B178B0">
      <w:pPr>
        <w:spacing w:after="120"/>
      </w:pPr>
      <w:r w:rsidRPr="005A1241">
        <w:t>3. Реализирана устойчивост на административните услуги, предоставяни на гражданите и администраторите на лични данни.</w:t>
      </w:r>
    </w:p>
    <w:p w:rsidR="00B178B0" w:rsidRPr="005A1241" w:rsidRDefault="00F84FBD" w:rsidP="00B178B0">
      <w:pPr>
        <w:spacing w:after="120"/>
      </w:pPr>
      <w:r>
        <w:t>Ползата/ефектът</w:t>
      </w:r>
      <w:r w:rsidR="00B178B0" w:rsidRPr="005A1241">
        <w:t xml:space="preserve"> за обществото от провежданата от комисията </w:t>
      </w:r>
      <w:r>
        <w:t xml:space="preserve">дейност във </w:t>
      </w:r>
      <w:r w:rsidR="00891A72">
        <w:t>функционална</w:t>
      </w:r>
      <w:r>
        <w:t>та</w:t>
      </w:r>
      <w:r w:rsidR="00891A72">
        <w:t xml:space="preserve"> област</w:t>
      </w:r>
      <w:r w:rsidR="00891A72" w:rsidRPr="005A1241">
        <w:t xml:space="preserve"> </w:t>
      </w:r>
      <w:r w:rsidR="00B178B0" w:rsidRPr="005A1241">
        <w:t>е осигуряването на упражняването и защитата на основното право на физическите лица на защита на личните им данни и гарантиране на свободното движение на данни в ЕС.</w:t>
      </w:r>
    </w:p>
    <w:p w:rsidR="00B178B0" w:rsidRPr="005A1241" w:rsidRDefault="00B178B0" w:rsidP="00B178B0">
      <w:pPr>
        <w:spacing w:after="120"/>
      </w:pPr>
      <w:r w:rsidRPr="005A1241">
        <w:rPr>
          <w:szCs w:val="24"/>
        </w:rPr>
        <w:t>Считано от 2020 г. дейността на</w:t>
      </w:r>
      <w:r w:rsidRPr="005A1241">
        <w:t xml:space="preserve"> Комисия за защита на личните данни попада в обхвата на функционална област „Защита на личните данни на физическите лица“.</w:t>
      </w:r>
    </w:p>
    <w:p w:rsidR="00B178B0" w:rsidRPr="004F4242" w:rsidRDefault="00B178B0" w:rsidP="00B178B0">
      <w:pPr>
        <w:spacing w:after="120"/>
        <w:rPr>
          <w:b/>
          <w:sz w:val="12"/>
          <w:szCs w:val="12"/>
        </w:rPr>
      </w:pPr>
    </w:p>
    <w:p w:rsidR="00B178B0" w:rsidRPr="005A1241" w:rsidRDefault="00B178B0" w:rsidP="00B178B0">
      <w:pPr>
        <w:spacing w:after="120"/>
        <w:rPr>
          <w:b/>
        </w:rPr>
      </w:pPr>
      <w:r w:rsidRPr="005A1241">
        <w:rPr>
          <w:b/>
        </w:rPr>
        <w:t>Национален статистически институт</w:t>
      </w:r>
    </w:p>
    <w:p w:rsidR="00B178B0" w:rsidRPr="005A1241" w:rsidRDefault="00B178B0" w:rsidP="00B178B0">
      <w:pPr>
        <w:spacing w:after="120"/>
      </w:pPr>
      <w:r w:rsidRPr="005A1241">
        <w:t>Н</w:t>
      </w:r>
      <w:r w:rsidR="00B57960">
        <w:t>ационалният статистически институт</w:t>
      </w:r>
      <w:r w:rsidRPr="005A1241">
        <w:t xml:space="preserve"> осъществява независима статистическа дейност на Република България. Мисията на </w:t>
      </w:r>
      <w:r w:rsidR="00F84FBD">
        <w:t>НСИ относно</w:t>
      </w:r>
      <w:r w:rsidR="00F84FBD" w:rsidRPr="005A1241">
        <w:t xml:space="preserve"> </w:t>
      </w:r>
      <w:r w:rsidRPr="005A1241">
        <w:t>Национална</w:t>
      </w:r>
      <w:r w:rsidR="00F84FBD">
        <w:t>та</w:t>
      </w:r>
      <w:r w:rsidRPr="005A1241">
        <w:t xml:space="preserve"> статистическа система е да осигурява безпристрастна, обективна, навременна и точна информация за състоянието и тенденциите в развитието на икономиката, социалната сфера, демографията и околната среда.</w:t>
      </w:r>
    </w:p>
    <w:p w:rsidR="00B178B0" w:rsidRPr="005A1241" w:rsidRDefault="00B178B0" w:rsidP="00B178B0">
      <w:pPr>
        <w:spacing w:after="120"/>
      </w:pPr>
      <w:r w:rsidRPr="005A1241">
        <w:t>Основна цел за развитието на Националн</w:t>
      </w:r>
      <w:r>
        <w:t xml:space="preserve">ата статистическа система </w:t>
      </w:r>
      <w:r w:rsidRPr="005A1241">
        <w:t xml:space="preserve">за периода 2020-2022 г. е да се усъвършенства разработването, производството и разпространението на качествена статистическа информация за всички групи потребители, съобразно техните информационни нужди. </w:t>
      </w:r>
    </w:p>
    <w:p w:rsidR="00B178B0" w:rsidRPr="005A1241" w:rsidRDefault="00B178B0" w:rsidP="00B178B0">
      <w:pPr>
        <w:spacing w:after="120"/>
        <w:rPr>
          <w:szCs w:val="24"/>
        </w:rPr>
      </w:pPr>
      <w:r w:rsidRPr="005A1241">
        <w:rPr>
          <w:szCs w:val="24"/>
        </w:rPr>
        <w:t xml:space="preserve">Считано от 2020 г. дейността на </w:t>
      </w:r>
      <w:r w:rsidRPr="005A1241">
        <w:t>НСИ</w:t>
      </w:r>
      <w:r w:rsidRPr="005A1241">
        <w:rPr>
          <w:szCs w:val="24"/>
        </w:rPr>
        <w:t xml:space="preserve"> попада в обхвата на </w:t>
      </w:r>
      <w:r w:rsidRPr="005A1241">
        <w:t>функционална област „Безпристрастна, обективна, навременна и точна информация за състоянието на Република България“</w:t>
      </w:r>
      <w:r w:rsidRPr="005A1241">
        <w:rPr>
          <w:szCs w:val="24"/>
        </w:rPr>
        <w:t>.</w:t>
      </w:r>
    </w:p>
    <w:p w:rsidR="00B178B0" w:rsidRPr="005A1241" w:rsidRDefault="00B178B0" w:rsidP="00B178B0">
      <w:pPr>
        <w:spacing w:after="120"/>
        <w:rPr>
          <w:rFonts w:eastAsia="Batang"/>
          <w:b/>
        </w:rPr>
      </w:pPr>
      <w:r w:rsidRPr="005A1241">
        <w:rPr>
          <w:rFonts w:eastAsia="Batang"/>
          <w:b/>
        </w:rPr>
        <w:t>Субсидиране на политическите партии</w:t>
      </w:r>
    </w:p>
    <w:p w:rsidR="00B178B0" w:rsidRPr="005A1241" w:rsidRDefault="00B178B0" w:rsidP="00B178B0">
      <w:pPr>
        <w:spacing w:after="120"/>
        <w:rPr>
          <w:rFonts w:eastAsia="Batang"/>
        </w:rPr>
      </w:pPr>
      <w:r w:rsidRPr="005A1241">
        <w:rPr>
          <w:rFonts w:eastAsia="Batang"/>
        </w:rPr>
        <w:t xml:space="preserve">Необходимите средства за държавна субсидия за политическите партии, които на последните парламентарни избори са получили не по-малко от едно на сто от действителните гласове и коалициите, които на последните парламентарни избори са </w:t>
      </w:r>
      <w:r>
        <w:rPr>
          <w:rFonts w:eastAsia="Batang"/>
        </w:rPr>
        <w:t>получили не по-малко от четири</w:t>
      </w:r>
      <w:r w:rsidRPr="005A1241">
        <w:rPr>
          <w:rFonts w:eastAsia="Batang"/>
        </w:rPr>
        <w:t xml:space="preserve"> на сто от действителните гласове, са планирани по централния бюджет за 2020 г. Планираните разходи са индикати</w:t>
      </w:r>
      <w:r>
        <w:rPr>
          <w:rFonts w:eastAsia="Batang"/>
        </w:rPr>
        <w:t>вни и са в размер на 2,</w:t>
      </w:r>
      <w:r w:rsidRPr="005A1241">
        <w:rPr>
          <w:rFonts w:eastAsia="Batang"/>
        </w:rPr>
        <w:t>9 млн. лв.</w:t>
      </w:r>
    </w:p>
    <w:p w:rsidR="00B178B0" w:rsidRDefault="00B178B0" w:rsidP="000C32FC">
      <w:pPr>
        <w:spacing w:after="120"/>
        <w:rPr>
          <w:b/>
        </w:rPr>
      </w:pPr>
    </w:p>
    <w:p w:rsidR="00C65C88" w:rsidRDefault="00C65C88" w:rsidP="000A0E3C">
      <w:pPr>
        <w:sectPr w:rsidR="00C65C88" w:rsidSect="00FF16A0">
          <w:pgSz w:w="11906" w:h="16838" w:code="9"/>
          <w:pgMar w:top="1418" w:right="1418" w:bottom="851" w:left="1418" w:header="708" w:footer="708" w:gutter="0"/>
          <w:cols w:space="708"/>
          <w:titlePg/>
          <w:docGrid w:linePitch="360"/>
        </w:sectPr>
      </w:pPr>
    </w:p>
    <w:p w:rsidR="00BA5B3F" w:rsidRPr="008D2B61" w:rsidRDefault="001E0DF0" w:rsidP="007D0124">
      <w:pPr>
        <w:pStyle w:val="Heading1"/>
      </w:pPr>
      <w:bookmarkStart w:id="507" w:name="_Toc464464925"/>
      <w:bookmarkStart w:id="508" w:name="_Toc464465431"/>
      <w:bookmarkStart w:id="509" w:name="_Toc464465619"/>
      <w:bookmarkStart w:id="510" w:name="_Toc464466444"/>
      <w:bookmarkStart w:id="511" w:name="_Toc464466688"/>
      <w:bookmarkStart w:id="512" w:name="_Toc464466731"/>
      <w:bookmarkStart w:id="513" w:name="_Toc464470237"/>
      <w:bookmarkStart w:id="514" w:name="_Toc464645003"/>
      <w:bookmarkStart w:id="515" w:name="_Toc464646370"/>
      <w:bookmarkStart w:id="516" w:name="_Toc23337479"/>
      <w:r w:rsidRPr="001E0DF0">
        <w:rPr>
          <w:noProof/>
        </w:rPr>
        <mc:AlternateContent>
          <mc:Choice Requires="wps">
            <w:drawing>
              <wp:anchor distT="0" distB="0" distL="114300" distR="114300" simplePos="0" relativeHeight="251663360" behindDoc="0" locked="0" layoutInCell="1" allowOverlap="1" wp14:anchorId="422AB09A" wp14:editId="7AC5D517">
                <wp:simplePos x="0" y="0"/>
                <wp:positionH relativeFrom="column">
                  <wp:posOffset>-898525</wp:posOffset>
                </wp:positionH>
                <wp:positionV relativeFrom="paragraph">
                  <wp:posOffset>1605128</wp:posOffset>
                </wp:positionV>
                <wp:extent cx="7560310" cy="0"/>
                <wp:effectExtent l="0" t="0" r="21590" b="19050"/>
                <wp:wrapNone/>
                <wp:docPr id="691" name="Straight Connector 691"/>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71D005" id="Straight Connector 69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70.75pt,126.4pt" to="524.55pt,1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" strokecolor="#b32c16 [3206]"/>
            </w:pict>
          </mc:Fallback>
        </mc:AlternateContent>
      </w:r>
      <w:r w:rsidRPr="001E0DF0">
        <w:rPr>
          <w:noProof/>
        </w:rPr>
        <mc:AlternateContent>
          <mc:Choice Requires="wps">
            <w:drawing>
              <wp:anchor distT="0" distB="0" distL="114300" distR="114300" simplePos="0" relativeHeight="251661312" behindDoc="1" locked="0" layoutInCell="1" allowOverlap="1" wp14:anchorId="128CC8B2" wp14:editId="3DFC1986">
                <wp:simplePos x="0" y="0"/>
                <wp:positionH relativeFrom="column">
                  <wp:posOffset>-897890</wp:posOffset>
                </wp:positionH>
                <wp:positionV relativeFrom="paragraph">
                  <wp:posOffset>-911225</wp:posOffset>
                </wp:positionV>
                <wp:extent cx="7560860" cy="2520000"/>
                <wp:effectExtent l="0" t="0" r="2540" b="0"/>
                <wp:wrapNone/>
                <wp:docPr id="690" name="Rectangle 690"/>
                <wp:cNvGraphicFramePr/>
                <a:graphic xmlns:a="http://schemas.openxmlformats.org/drawingml/2006/main">
                  <a:graphicData uri="http://schemas.microsoft.com/office/word/2010/wordprocessingShape">
                    <wps:wsp>
                      <wps:cNvSpPr/>
                      <wps:spPr>
                        <a:xfrm>
                          <a:off x="0" y="0"/>
                          <a:ext cx="7560860" cy="2520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2E8E328" id="Rectangle 690" o:spid="_x0000_s1026" style="position:absolute;margin-left:-70.7pt;margin-top:-71.75pt;width:595.35pt;height:198.45pt;z-index:-25165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" fillcolor="#f8cec7 [662]" stroked="f" strokeweight="1pt"/>
            </w:pict>
          </mc:Fallback>
        </mc:AlternateContent>
      </w:r>
      <w:r w:rsidR="00AA3035">
        <w:br/>
      </w:r>
      <w:bookmarkStart w:id="517" w:name="_Toc465205555"/>
      <w:r w:rsidR="00733B0F" w:rsidRPr="001E0DF0">
        <w:rPr>
          <w:color w:val="auto"/>
        </w:rPr>
        <w:t>Фискална децентрализация и бюджетни взаимоотн</w:t>
      </w:r>
      <w:r w:rsidR="002A37C0">
        <w:rPr>
          <w:color w:val="auto"/>
        </w:rPr>
        <w:t>ошения с общините за периода 2020</w:t>
      </w:r>
      <w:r w:rsidR="00733B0F" w:rsidRPr="001E0DF0">
        <w:rPr>
          <w:color w:val="auto"/>
        </w:rPr>
        <w:t>-20</w:t>
      </w:r>
      <w:r w:rsidR="00D16620">
        <w:rPr>
          <w:color w:val="auto"/>
        </w:rPr>
        <w:t>2</w:t>
      </w:r>
      <w:r w:rsidR="002A37C0">
        <w:rPr>
          <w:color w:val="auto"/>
        </w:rPr>
        <w:t>2</w:t>
      </w:r>
      <w:r w:rsidR="00AA3035" w:rsidRPr="001E0DF0">
        <w:rPr>
          <w:color w:val="auto"/>
        </w:rPr>
        <w:t> г.</w:t>
      </w:r>
      <w:bookmarkEnd w:id="507"/>
      <w:bookmarkEnd w:id="508"/>
      <w:bookmarkEnd w:id="509"/>
      <w:bookmarkEnd w:id="510"/>
      <w:bookmarkEnd w:id="511"/>
      <w:bookmarkEnd w:id="512"/>
      <w:bookmarkEnd w:id="513"/>
      <w:bookmarkEnd w:id="514"/>
      <w:bookmarkEnd w:id="515"/>
      <w:bookmarkEnd w:id="516"/>
      <w:bookmarkEnd w:id="517"/>
    </w:p>
    <w:p w:rsidR="005F72BF" w:rsidRDefault="005F72BF" w:rsidP="005F72BF">
      <w:bookmarkStart w:id="518" w:name="_Toc464645004"/>
      <w:bookmarkStart w:id="519" w:name="_Toc464646371"/>
      <w:bookmarkStart w:id="520" w:name="_Toc464737646"/>
      <w:r>
        <w:t>Политиките в държавния бюджет по отношение на общините са насочени към разширяване на възможностите за тяхното устойчиво и балансирано развитие, повишаване ефективността и подобряване на качеството и обхвата на дейностите на местно равнище. Основно предизвикателство пред общините e привеждане на фискалните показатели и правилата за дълга в съответствие с изискванията на Закона за публичните финанси, както и продължаване на действията за финансово оздравяване с цел постигане на финансова устойчивост и стабилност на общинските финанси.</w:t>
      </w:r>
    </w:p>
    <w:p w:rsidR="00220B83" w:rsidRPr="00264ABB" w:rsidRDefault="00220B83" w:rsidP="00220B83">
      <w:r w:rsidRPr="00264ABB">
        <w:rPr>
          <w:b/>
        </w:rPr>
        <w:t>Приходите на общините</w:t>
      </w:r>
      <w:r w:rsidRPr="00264ABB">
        <w:t xml:space="preserve">, разчетени с КФП за 2020 г., се предвижда да бъдат в размер на </w:t>
      </w:r>
      <w:r w:rsidRPr="00264ABB">
        <w:rPr>
          <w:lang w:val="ru-RU"/>
        </w:rPr>
        <w:t>2</w:t>
      </w:r>
      <w:r w:rsidRPr="00264ABB">
        <w:rPr>
          <w:lang w:val="en-US"/>
        </w:rPr>
        <w:t> </w:t>
      </w:r>
      <w:r w:rsidRPr="00264ABB">
        <w:rPr>
          <w:lang w:val="ru-RU"/>
        </w:rPr>
        <w:t>540</w:t>
      </w:r>
      <w:r w:rsidRPr="00264ABB">
        <w:t>,</w:t>
      </w:r>
      <w:r w:rsidRPr="00264ABB">
        <w:rPr>
          <w:lang w:val="ru-RU"/>
        </w:rPr>
        <w:t xml:space="preserve">1 </w:t>
      </w:r>
      <w:r w:rsidRPr="00264ABB">
        <w:t>млн. лв. или със 129,6 млн. лв. в повече спрямо разчетените с КФП за 2019 г. поради очертаващата се тенденция на нарастване на постъпленията от имуществени данъци и общински такси. В прогнозата за 2021 г. и 2022 г. се предвиждат съответно 2 641,0 млн. лв. и 2 746,9 млн. лв. приходи на общините.</w:t>
      </w:r>
    </w:p>
    <w:p w:rsidR="00220B83" w:rsidRPr="00264ABB" w:rsidRDefault="00220B83" w:rsidP="00220B83">
      <w:r w:rsidRPr="00264ABB">
        <w:rPr>
          <w:b/>
        </w:rPr>
        <w:t>Разходите на общините</w:t>
      </w:r>
      <w:r w:rsidRPr="00264ABB">
        <w:t>, разчетени с КФП за 2020 г. се предвижда да бъдат в размер на</w:t>
      </w:r>
      <w:r w:rsidRPr="00264ABB">
        <w:rPr>
          <w:b/>
        </w:rPr>
        <w:t xml:space="preserve"> 6 722,9 млн. лв.</w:t>
      </w:r>
      <w:r w:rsidRPr="00264ABB">
        <w:t>, които като относителен дял достигат 5,3% спрямо БВП, а спрямо общата структура на разходите по КФП –</w:t>
      </w:r>
      <w:r w:rsidRPr="00264ABB">
        <w:rPr>
          <w:lang w:val="ru-RU"/>
        </w:rPr>
        <w:t xml:space="preserve"> </w:t>
      </w:r>
      <w:r w:rsidR="001263FE" w:rsidRPr="00264ABB">
        <w:rPr>
          <w:lang w:val="ru-RU"/>
        </w:rPr>
        <w:t>14,8</w:t>
      </w:r>
      <w:r w:rsidRPr="00264ABB">
        <w:t xml:space="preserve">%. Разчетените разходи за местни дейности са в размер на 2 984,7 млн. лв. и представляват 44,4% от общите разходи на общините за следващата година. Увеличението на разчетените разходи за местни дейности за 2020 г. спрямо ЗДБРБ за 2019 г. е в размер на 148,7 млн. лв., от тях за: персонал – 60,3 млн. лв., издръжка – 40,5 млн. лв. и капиталови разходи – 39,2 млн. лв. Предвидено е увеличение на разходите за персонал с 10% на заетите в местните дейности по изграждане, ремонт, поддържане и осветление на уличната мрежа, поддържане на чистотата, управление на дейностите по отпадъците и опазването на околната среда, и дейностите по поддържане, ремонт и изграждане на общински пътища. В прогнозата за 2021 г. и 2022 г. се предвиждат разходи за общините в размер съответно на 7 281,5 млн. лв. и 7 279,0 млн. лв., от които за местни дейности са съответно 3 123,0 млн. лв. и 3 120,5 млн. лева. При </w:t>
      </w:r>
      <w:r w:rsidR="00946DBF" w:rsidRPr="00264ABB">
        <w:t>прогнозата</w:t>
      </w:r>
      <w:r w:rsidRPr="00264ABB">
        <w:t xml:space="preserve"> са заложени ръстове на разходите за общините с 597,4 млн. лв. за 2020 г. сп</w:t>
      </w:r>
      <w:r w:rsidR="0024514A">
        <w:t>рямо 2019 г., с 558,5 млн. лв. з</w:t>
      </w:r>
      <w:r w:rsidRPr="00264ABB">
        <w:t>а 2021 г. спрямо 2020 г. и намаление с 2,5 млн.</w:t>
      </w:r>
      <w:r w:rsidR="00264ABB">
        <w:t xml:space="preserve"> </w:t>
      </w:r>
      <w:r w:rsidR="0024514A">
        <w:t>лв. з</w:t>
      </w:r>
      <w:r w:rsidRPr="00264ABB">
        <w:t>а 2022 г. спрямо 2021 г., произтичащо от очакваното намаление в размера на разходите за лихви. Като цяло текущите нелихвени разходи на общините за 2022 г. се запазват на нивото на 2021 г.</w:t>
      </w:r>
    </w:p>
    <w:p w:rsidR="005F72BF" w:rsidRPr="00264ABB" w:rsidRDefault="00220B83" w:rsidP="00220B83">
      <w:pPr>
        <w:rPr>
          <w:highlight w:val="yellow"/>
        </w:rPr>
      </w:pPr>
      <w:r w:rsidRPr="00264ABB">
        <w:rPr>
          <w:b/>
        </w:rPr>
        <w:t>Основните бюджетни взаимоотношения между общините и централния бюджет</w:t>
      </w:r>
      <w:r w:rsidRPr="00264ABB">
        <w:t xml:space="preserve"> в проекта на ЗДБРБ за 2020 г. са в общ размер 4 202,5 млн. лв. Предвиденото увеличение, спрямо приетите със ЗДБРБ за 2019 г. е с 456,8 млн. лв., от тях за: общата субсидия за делегираните от държавата дейности – с 418,8 млн. лв.; изравнителната субсидия – с 13,0 млн. лв.; трансферите за зимно поддържане и снегопочистване – с 5,0 млн. лв.; целевата субсидия за капиталови разходи – с 20,0 млн. лв.</w:t>
      </w:r>
    </w:p>
    <w:p w:rsidR="00BA7682" w:rsidRDefault="00A77E4C" w:rsidP="00FF16A0">
      <w:pPr>
        <w:pStyle w:val="Caption"/>
      </w:pPr>
      <w:bookmarkStart w:id="521" w:name="_Toc23337530"/>
      <w:r w:rsidRPr="0037312A">
        <w:t xml:space="preserve">Табл. </w:t>
      </w:r>
      <w:fldSimple w:instr=" STYLEREF 1 \s ">
        <w:r w:rsidR="0034195B">
          <w:rPr>
            <w:noProof/>
          </w:rPr>
          <w:t>IV</w:t>
        </w:r>
      </w:fldSimple>
      <w:r w:rsidR="00927CD5" w:rsidRPr="0037312A">
        <w:noBreakHyphen/>
      </w:r>
      <w:fldSimple w:instr=" SEQ Табл. \* ARABIC \s 1 ">
        <w:r w:rsidR="0034195B">
          <w:rPr>
            <w:noProof/>
          </w:rPr>
          <w:t>1</w:t>
        </w:r>
      </w:fldSimple>
      <w:r w:rsidR="00BA7682" w:rsidRPr="0037312A">
        <w:t>:</w:t>
      </w:r>
      <w:r w:rsidRPr="0037312A">
        <w:tab/>
      </w:r>
      <w:r w:rsidR="0029227D" w:rsidRPr="0037312A">
        <w:t>Основни</w:t>
      </w:r>
      <w:r w:rsidR="00BA7682" w:rsidRPr="0037312A">
        <w:t xml:space="preserve"> </w:t>
      </w:r>
      <w:r w:rsidR="0029227D" w:rsidRPr="0037312A">
        <w:t>б</w:t>
      </w:r>
      <w:r w:rsidR="00BA7682" w:rsidRPr="0037312A">
        <w:t xml:space="preserve">юджетни взаимоотношения </w:t>
      </w:r>
      <w:r w:rsidR="00940B82">
        <w:t>на</w:t>
      </w:r>
      <w:r w:rsidR="00BA7682" w:rsidRPr="0037312A">
        <w:t xml:space="preserve"> общините </w:t>
      </w:r>
      <w:r w:rsidR="00940B82">
        <w:t xml:space="preserve">с централния бюджет </w:t>
      </w:r>
      <w:r w:rsidR="00BA7682" w:rsidRPr="0037312A">
        <w:t>(в</w:t>
      </w:r>
      <w:r w:rsidR="00874D61">
        <w:t xml:space="preserve"> хил</w:t>
      </w:r>
      <w:r w:rsidR="00BA7682" w:rsidRPr="0037312A">
        <w:t>. лв.)</w:t>
      </w:r>
      <w:bookmarkEnd w:id="518"/>
      <w:bookmarkEnd w:id="519"/>
      <w:bookmarkEnd w:id="520"/>
      <w:bookmarkEnd w:id="521"/>
    </w:p>
    <w:tbl>
      <w:tblPr>
        <w:tblW w:w="9802" w:type="dxa"/>
        <w:tblInd w:w="-717" w:type="dxa"/>
        <w:tblBorders>
          <w:top w:val="single" w:sz="8" w:space="0" w:color="auto"/>
          <w:bottom w:val="single" w:sz="8" w:space="0" w:color="auto"/>
        </w:tblBorders>
        <w:tblCellMar>
          <w:left w:w="70" w:type="dxa"/>
          <w:right w:w="70" w:type="dxa"/>
        </w:tblCellMar>
        <w:tblLook w:val="04A0" w:firstRow="1" w:lastRow="0" w:firstColumn="1" w:lastColumn="0" w:noHBand="0" w:noVBand="1"/>
      </w:tblPr>
      <w:tblGrid>
        <w:gridCol w:w="1460"/>
        <w:gridCol w:w="934"/>
        <w:gridCol w:w="860"/>
        <w:gridCol w:w="971"/>
        <w:gridCol w:w="980"/>
        <w:gridCol w:w="860"/>
        <w:gridCol w:w="971"/>
        <w:gridCol w:w="914"/>
        <w:gridCol w:w="980"/>
        <w:gridCol w:w="980"/>
      </w:tblGrid>
      <w:tr w:rsidR="00915FBD" w:rsidRPr="00BF3CDA" w:rsidTr="0021667D">
        <w:trPr>
          <w:trHeight w:val="300"/>
        </w:trPr>
        <w:tc>
          <w:tcPr>
            <w:tcW w:w="1460" w:type="dxa"/>
            <w:tcBorders>
              <w:top w:val="single" w:sz="4" w:space="0" w:color="auto"/>
              <w:left w:val="nil"/>
              <w:bottom w:val="nil"/>
              <w:right w:val="single" w:sz="4" w:space="0" w:color="auto"/>
            </w:tcBorders>
            <w:shd w:val="clear" w:color="auto" w:fill="auto"/>
            <w:noWrap/>
            <w:hideMark/>
          </w:tcPr>
          <w:p w:rsidR="00915FBD" w:rsidRPr="00BF3CDA" w:rsidRDefault="00915FBD" w:rsidP="006B367D">
            <w:pPr>
              <w:spacing w:after="0"/>
              <w:jc w:val="center"/>
              <w:rPr>
                <w:rFonts w:eastAsia="Times New Roman" w:cs="Times New Roman"/>
                <w:b/>
                <w:bCs/>
                <w:sz w:val="16"/>
                <w:szCs w:val="16"/>
              </w:rPr>
            </w:pPr>
            <w:r w:rsidRPr="00BF3CDA">
              <w:rPr>
                <w:rFonts w:eastAsia="Times New Roman" w:cs="Times New Roman"/>
                <w:b/>
                <w:bCs/>
                <w:sz w:val="16"/>
                <w:szCs w:val="16"/>
              </w:rPr>
              <w:t>Основни бюджетни</w:t>
            </w:r>
          </w:p>
        </w:tc>
        <w:tc>
          <w:tcPr>
            <w:tcW w:w="934" w:type="dxa"/>
            <w:tcBorders>
              <w:top w:val="single" w:sz="4" w:space="0" w:color="auto"/>
              <w:left w:val="single" w:sz="4" w:space="0" w:color="auto"/>
              <w:bottom w:val="nil"/>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Закон</w:t>
            </w:r>
          </w:p>
        </w:tc>
        <w:tc>
          <w:tcPr>
            <w:tcW w:w="1777"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от тях:</w:t>
            </w:r>
          </w:p>
        </w:tc>
        <w:tc>
          <w:tcPr>
            <w:tcW w:w="980" w:type="dxa"/>
            <w:tcBorders>
              <w:top w:val="single" w:sz="4" w:space="0" w:color="auto"/>
              <w:left w:val="single" w:sz="4" w:space="0" w:color="auto"/>
              <w:bottom w:val="nil"/>
              <w:right w:val="single" w:sz="4" w:space="0" w:color="auto"/>
            </w:tcBorders>
            <w:shd w:val="clear" w:color="auto" w:fill="F2F2F2" w:themeFill="background1" w:themeFillShade="F2"/>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Проект</w:t>
            </w:r>
          </w:p>
        </w:tc>
        <w:tc>
          <w:tcPr>
            <w:tcW w:w="1777"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от тях:</w:t>
            </w:r>
          </w:p>
        </w:tc>
        <w:tc>
          <w:tcPr>
            <w:tcW w:w="914" w:type="dxa"/>
            <w:tcBorders>
              <w:top w:val="single" w:sz="4" w:space="0" w:color="auto"/>
              <w:left w:val="single" w:sz="4" w:space="0" w:color="auto"/>
              <w:bottom w:val="nil"/>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разлика</w:t>
            </w:r>
          </w:p>
        </w:tc>
        <w:tc>
          <w:tcPr>
            <w:tcW w:w="980" w:type="dxa"/>
            <w:tcBorders>
              <w:top w:val="single" w:sz="4" w:space="0" w:color="auto"/>
              <w:left w:val="single" w:sz="4" w:space="0" w:color="auto"/>
              <w:bottom w:val="nil"/>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Прогноза</w:t>
            </w:r>
          </w:p>
        </w:tc>
        <w:tc>
          <w:tcPr>
            <w:tcW w:w="980" w:type="dxa"/>
            <w:tcBorders>
              <w:top w:val="single" w:sz="4" w:space="0" w:color="auto"/>
              <w:left w:val="single" w:sz="4" w:space="0" w:color="auto"/>
              <w:bottom w:val="nil"/>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Прогноза</w:t>
            </w:r>
          </w:p>
        </w:tc>
      </w:tr>
      <w:tr w:rsidR="00915FBD" w:rsidRPr="00BF3CDA" w:rsidTr="0021667D">
        <w:trPr>
          <w:trHeight w:val="300"/>
        </w:trPr>
        <w:tc>
          <w:tcPr>
            <w:tcW w:w="1460" w:type="dxa"/>
            <w:tcBorders>
              <w:top w:val="nil"/>
              <w:left w:val="nil"/>
              <w:bottom w:val="single" w:sz="4" w:space="0" w:color="auto"/>
              <w:right w:val="single" w:sz="4" w:space="0" w:color="auto"/>
            </w:tcBorders>
            <w:shd w:val="clear" w:color="auto" w:fill="auto"/>
            <w:noWrap/>
            <w:hideMark/>
          </w:tcPr>
          <w:p w:rsidR="00915FBD" w:rsidRPr="00BF3CDA" w:rsidRDefault="00915FBD" w:rsidP="006B367D">
            <w:pPr>
              <w:spacing w:after="0"/>
              <w:jc w:val="center"/>
              <w:rPr>
                <w:rFonts w:eastAsia="Times New Roman" w:cs="Times New Roman"/>
                <w:b/>
                <w:bCs/>
                <w:sz w:val="16"/>
                <w:szCs w:val="16"/>
              </w:rPr>
            </w:pPr>
            <w:r w:rsidRPr="00BF3CDA">
              <w:rPr>
                <w:rFonts w:eastAsia="Times New Roman" w:cs="Times New Roman"/>
                <w:b/>
                <w:bCs/>
                <w:sz w:val="16"/>
                <w:szCs w:val="16"/>
              </w:rPr>
              <w:t>взаимоотношения</w:t>
            </w:r>
          </w:p>
        </w:tc>
        <w:tc>
          <w:tcPr>
            <w:tcW w:w="934" w:type="dxa"/>
            <w:tcBorders>
              <w:top w:val="nil"/>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2019</w:t>
            </w:r>
          </w:p>
        </w:tc>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местни</w:t>
            </w:r>
          </w:p>
        </w:tc>
        <w:tc>
          <w:tcPr>
            <w:tcW w:w="9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 xml:space="preserve">делегирани </w:t>
            </w:r>
          </w:p>
        </w:tc>
        <w:tc>
          <w:tcPr>
            <w:tcW w:w="980"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2020</w:t>
            </w:r>
          </w:p>
        </w:tc>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местни</w:t>
            </w:r>
          </w:p>
        </w:tc>
        <w:tc>
          <w:tcPr>
            <w:tcW w:w="9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 xml:space="preserve">делегирани </w:t>
            </w:r>
          </w:p>
        </w:tc>
        <w:tc>
          <w:tcPr>
            <w:tcW w:w="914" w:type="dxa"/>
            <w:tcBorders>
              <w:top w:val="nil"/>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2020-2019</w:t>
            </w:r>
          </w:p>
        </w:tc>
        <w:tc>
          <w:tcPr>
            <w:tcW w:w="980" w:type="dxa"/>
            <w:tcBorders>
              <w:top w:val="nil"/>
              <w:left w:val="single" w:sz="4" w:space="0" w:color="auto"/>
              <w:bottom w:val="single" w:sz="4" w:space="0" w:color="auto"/>
              <w:right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2021</w:t>
            </w:r>
          </w:p>
        </w:tc>
        <w:tc>
          <w:tcPr>
            <w:tcW w:w="980" w:type="dxa"/>
            <w:tcBorders>
              <w:top w:val="nil"/>
              <w:left w:val="single" w:sz="4" w:space="0" w:color="auto"/>
              <w:bottom w:val="single" w:sz="4" w:space="0" w:color="auto"/>
            </w:tcBorders>
            <w:shd w:val="clear" w:color="auto" w:fill="auto"/>
            <w:noWrap/>
            <w:vAlign w:val="bottom"/>
            <w:hideMark/>
          </w:tcPr>
          <w:p w:rsidR="00915FBD" w:rsidRPr="0021667D" w:rsidRDefault="00915FBD" w:rsidP="006B367D">
            <w:pPr>
              <w:spacing w:after="0"/>
              <w:jc w:val="center"/>
              <w:rPr>
                <w:rFonts w:eastAsia="Times New Roman" w:cs="Times New Roman"/>
                <w:b/>
                <w:sz w:val="16"/>
                <w:szCs w:val="16"/>
              </w:rPr>
            </w:pPr>
            <w:r w:rsidRPr="0021667D">
              <w:rPr>
                <w:rFonts w:eastAsia="Times New Roman" w:cs="Times New Roman"/>
                <w:b/>
                <w:sz w:val="16"/>
                <w:szCs w:val="16"/>
              </w:rPr>
              <w:t>2022</w:t>
            </w:r>
          </w:p>
        </w:tc>
      </w:tr>
      <w:tr w:rsidR="00915FBD" w:rsidRPr="00BF3CDA" w:rsidTr="009F6150">
        <w:trPr>
          <w:trHeight w:val="330"/>
        </w:trPr>
        <w:tc>
          <w:tcPr>
            <w:tcW w:w="1460" w:type="dxa"/>
            <w:tcBorders>
              <w:top w:val="single" w:sz="4" w:space="0" w:color="auto"/>
              <w:bottom w:val="nil"/>
            </w:tcBorders>
            <w:shd w:val="clear" w:color="auto" w:fill="auto"/>
            <w:noWrap/>
            <w:vAlign w:val="bottom"/>
            <w:hideMark/>
          </w:tcPr>
          <w:p w:rsidR="00915FBD" w:rsidRPr="00BF3CDA" w:rsidRDefault="00915FBD" w:rsidP="006B367D">
            <w:pPr>
              <w:spacing w:after="0"/>
              <w:jc w:val="left"/>
              <w:rPr>
                <w:rFonts w:eastAsia="Times New Roman" w:cs="Times New Roman"/>
                <w:b/>
                <w:bCs/>
                <w:sz w:val="16"/>
                <w:szCs w:val="16"/>
              </w:rPr>
            </w:pPr>
            <w:r w:rsidRPr="00BF3CDA">
              <w:rPr>
                <w:rFonts w:eastAsia="Times New Roman" w:cs="Times New Roman"/>
                <w:b/>
                <w:bCs/>
                <w:sz w:val="16"/>
                <w:szCs w:val="16"/>
              </w:rPr>
              <w:t>Общо</w:t>
            </w:r>
          </w:p>
        </w:tc>
        <w:tc>
          <w:tcPr>
            <w:tcW w:w="934" w:type="dxa"/>
            <w:tcBorders>
              <w:top w:val="single" w:sz="4" w:space="0" w:color="auto"/>
              <w:bottom w:val="nil"/>
            </w:tcBorders>
            <w:shd w:val="clear" w:color="auto" w:fill="auto"/>
            <w:noWrap/>
            <w:vAlign w:val="bottom"/>
            <w:hideMark/>
          </w:tcPr>
          <w:p w:rsidR="00915FBD" w:rsidRPr="00BF3CDA" w:rsidRDefault="00915FBD" w:rsidP="006B367D">
            <w:pPr>
              <w:spacing w:after="0"/>
              <w:jc w:val="right"/>
              <w:rPr>
                <w:rFonts w:eastAsia="Times New Roman" w:cs="Times New Roman"/>
                <w:b/>
                <w:bCs/>
                <w:sz w:val="16"/>
                <w:szCs w:val="16"/>
              </w:rPr>
            </w:pPr>
            <w:r>
              <w:rPr>
                <w:rFonts w:eastAsia="Times New Roman" w:cs="Times New Roman"/>
                <w:b/>
                <w:bCs/>
                <w:sz w:val="16"/>
                <w:szCs w:val="16"/>
              </w:rPr>
              <w:t>3 745 750,</w:t>
            </w:r>
            <w:r w:rsidRPr="00BF3CDA">
              <w:rPr>
                <w:rFonts w:eastAsia="Times New Roman" w:cs="Times New Roman"/>
                <w:b/>
                <w:bCs/>
                <w:sz w:val="16"/>
                <w:szCs w:val="16"/>
              </w:rPr>
              <w:t>5</w:t>
            </w:r>
          </w:p>
        </w:tc>
        <w:tc>
          <w:tcPr>
            <w:tcW w:w="860" w:type="dxa"/>
            <w:tcBorders>
              <w:top w:val="single" w:sz="4" w:space="0" w:color="auto"/>
              <w:bottom w:val="nil"/>
            </w:tcBorders>
            <w:shd w:val="clear" w:color="auto" w:fill="auto"/>
            <w:noWrap/>
            <w:vAlign w:val="bottom"/>
            <w:hideMark/>
          </w:tcPr>
          <w:p w:rsidR="00915FBD" w:rsidRPr="00BF3CDA" w:rsidRDefault="00915FBD" w:rsidP="006B367D">
            <w:pPr>
              <w:spacing w:after="0"/>
              <w:jc w:val="right"/>
              <w:rPr>
                <w:rFonts w:eastAsia="Times New Roman" w:cs="Times New Roman"/>
                <w:b/>
                <w:bCs/>
                <w:sz w:val="16"/>
                <w:szCs w:val="16"/>
              </w:rPr>
            </w:pPr>
            <w:r>
              <w:rPr>
                <w:rFonts w:eastAsia="Times New Roman" w:cs="Times New Roman"/>
                <w:b/>
                <w:bCs/>
                <w:sz w:val="16"/>
                <w:szCs w:val="16"/>
              </w:rPr>
              <w:t>456 140,</w:t>
            </w:r>
            <w:r w:rsidRPr="00BF3CDA">
              <w:rPr>
                <w:rFonts w:eastAsia="Times New Roman" w:cs="Times New Roman"/>
                <w:b/>
                <w:bCs/>
                <w:sz w:val="16"/>
                <w:szCs w:val="16"/>
              </w:rPr>
              <w:t>6</w:t>
            </w:r>
          </w:p>
        </w:tc>
        <w:tc>
          <w:tcPr>
            <w:tcW w:w="917" w:type="dxa"/>
            <w:tcBorders>
              <w:top w:val="single" w:sz="4" w:space="0" w:color="auto"/>
              <w:bottom w:val="nil"/>
            </w:tcBorders>
            <w:shd w:val="clear" w:color="auto" w:fill="auto"/>
            <w:noWrap/>
            <w:vAlign w:val="bottom"/>
            <w:hideMark/>
          </w:tcPr>
          <w:p w:rsidR="00915FBD" w:rsidRPr="00BF3CDA" w:rsidRDefault="00915FBD" w:rsidP="006B367D">
            <w:pPr>
              <w:spacing w:after="0"/>
              <w:jc w:val="right"/>
              <w:rPr>
                <w:rFonts w:eastAsia="Times New Roman" w:cs="Times New Roman"/>
                <w:b/>
                <w:bCs/>
                <w:sz w:val="16"/>
                <w:szCs w:val="16"/>
              </w:rPr>
            </w:pPr>
            <w:r>
              <w:rPr>
                <w:rFonts w:eastAsia="Times New Roman" w:cs="Times New Roman"/>
                <w:b/>
                <w:bCs/>
                <w:sz w:val="16"/>
                <w:szCs w:val="16"/>
              </w:rPr>
              <w:t>3 289 609,</w:t>
            </w:r>
            <w:r w:rsidRPr="00BF3CDA">
              <w:rPr>
                <w:rFonts w:eastAsia="Times New Roman" w:cs="Times New Roman"/>
                <w:b/>
                <w:bCs/>
                <w:sz w:val="16"/>
                <w:szCs w:val="16"/>
              </w:rPr>
              <w:t>9</w:t>
            </w:r>
          </w:p>
        </w:tc>
        <w:tc>
          <w:tcPr>
            <w:tcW w:w="980" w:type="dxa"/>
            <w:tcBorders>
              <w:top w:val="single" w:sz="4" w:space="0" w:color="auto"/>
              <w:bottom w:val="nil"/>
            </w:tcBorders>
            <w:shd w:val="clear" w:color="auto" w:fill="F2F2F2" w:themeFill="background1" w:themeFillShade="F2"/>
            <w:noWrap/>
            <w:vAlign w:val="bottom"/>
            <w:hideMark/>
          </w:tcPr>
          <w:p w:rsidR="00915FBD" w:rsidRPr="008132C2" w:rsidRDefault="00915FBD" w:rsidP="006B367D">
            <w:pPr>
              <w:spacing w:after="0"/>
              <w:jc w:val="right"/>
              <w:rPr>
                <w:rFonts w:eastAsia="Times New Roman" w:cs="Times New Roman"/>
                <w:b/>
                <w:bCs/>
                <w:sz w:val="16"/>
                <w:szCs w:val="16"/>
              </w:rPr>
            </w:pPr>
            <w:r w:rsidRPr="008132C2">
              <w:rPr>
                <w:rFonts w:eastAsia="Times New Roman" w:cs="Times New Roman"/>
                <w:b/>
                <w:bCs/>
                <w:sz w:val="16"/>
                <w:szCs w:val="16"/>
              </w:rPr>
              <w:t>4 202 545,5</w:t>
            </w:r>
          </w:p>
        </w:tc>
        <w:tc>
          <w:tcPr>
            <w:tcW w:w="860" w:type="dxa"/>
            <w:tcBorders>
              <w:top w:val="single" w:sz="4" w:space="0" w:color="auto"/>
              <w:bottom w:val="nil"/>
            </w:tcBorders>
            <w:shd w:val="clear" w:color="auto" w:fill="auto"/>
            <w:noWrap/>
            <w:vAlign w:val="bottom"/>
            <w:hideMark/>
          </w:tcPr>
          <w:p w:rsidR="00915FBD" w:rsidRPr="00BF3CDA" w:rsidRDefault="00915FBD" w:rsidP="006B367D">
            <w:pPr>
              <w:spacing w:after="0"/>
              <w:jc w:val="right"/>
              <w:rPr>
                <w:rFonts w:eastAsia="Times New Roman" w:cs="Times New Roman"/>
                <w:b/>
                <w:bCs/>
                <w:sz w:val="16"/>
                <w:szCs w:val="16"/>
              </w:rPr>
            </w:pPr>
            <w:r>
              <w:rPr>
                <w:rFonts w:eastAsia="Times New Roman" w:cs="Times New Roman"/>
                <w:b/>
                <w:bCs/>
                <w:sz w:val="16"/>
                <w:szCs w:val="16"/>
              </w:rPr>
              <w:t>464 293,</w:t>
            </w:r>
            <w:r w:rsidRPr="00BF3CDA">
              <w:rPr>
                <w:rFonts w:eastAsia="Times New Roman" w:cs="Times New Roman"/>
                <w:b/>
                <w:bCs/>
                <w:sz w:val="16"/>
                <w:szCs w:val="16"/>
              </w:rPr>
              <w:t>8</w:t>
            </w:r>
          </w:p>
        </w:tc>
        <w:tc>
          <w:tcPr>
            <w:tcW w:w="917" w:type="dxa"/>
            <w:tcBorders>
              <w:top w:val="single" w:sz="4" w:space="0" w:color="auto"/>
              <w:bottom w:val="nil"/>
            </w:tcBorders>
            <w:shd w:val="clear" w:color="auto" w:fill="auto"/>
            <w:noWrap/>
            <w:vAlign w:val="bottom"/>
            <w:hideMark/>
          </w:tcPr>
          <w:p w:rsidR="00915FBD" w:rsidRPr="00BF3CDA" w:rsidRDefault="00915FBD" w:rsidP="006B367D">
            <w:pPr>
              <w:spacing w:after="0"/>
              <w:jc w:val="right"/>
              <w:rPr>
                <w:rFonts w:eastAsia="Times New Roman" w:cs="Times New Roman"/>
                <w:b/>
                <w:bCs/>
                <w:sz w:val="16"/>
                <w:szCs w:val="16"/>
              </w:rPr>
            </w:pPr>
            <w:r>
              <w:rPr>
                <w:rFonts w:eastAsia="Times New Roman" w:cs="Times New Roman"/>
                <w:b/>
                <w:bCs/>
                <w:sz w:val="16"/>
                <w:szCs w:val="16"/>
              </w:rPr>
              <w:t>3 738 251,</w:t>
            </w:r>
            <w:r w:rsidRPr="00BF3CDA">
              <w:rPr>
                <w:rFonts w:eastAsia="Times New Roman" w:cs="Times New Roman"/>
                <w:b/>
                <w:bCs/>
                <w:sz w:val="16"/>
                <w:szCs w:val="16"/>
              </w:rPr>
              <w:t>7</w:t>
            </w:r>
          </w:p>
        </w:tc>
        <w:tc>
          <w:tcPr>
            <w:tcW w:w="914" w:type="dxa"/>
            <w:tcBorders>
              <w:top w:val="single" w:sz="4" w:space="0" w:color="auto"/>
              <w:bottom w:val="nil"/>
            </w:tcBorders>
            <w:shd w:val="clear" w:color="auto" w:fill="auto"/>
            <w:noWrap/>
            <w:vAlign w:val="bottom"/>
            <w:hideMark/>
          </w:tcPr>
          <w:p w:rsidR="00915FBD" w:rsidRPr="00BF3CDA" w:rsidRDefault="00915FBD" w:rsidP="006B367D">
            <w:pPr>
              <w:spacing w:after="0"/>
              <w:jc w:val="right"/>
              <w:rPr>
                <w:rFonts w:eastAsia="Times New Roman" w:cs="Times New Roman"/>
                <w:b/>
                <w:bCs/>
                <w:sz w:val="16"/>
                <w:szCs w:val="16"/>
              </w:rPr>
            </w:pPr>
            <w:r>
              <w:rPr>
                <w:rFonts w:eastAsia="Times New Roman" w:cs="Times New Roman"/>
                <w:b/>
                <w:bCs/>
                <w:sz w:val="16"/>
                <w:szCs w:val="16"/>
              </w:rPr>
              <w:t>456 795,</w:t>
            </w:r>
            <w:r w:rsidRPr="00BF3CDA">
              <w:rPr>
                <w:rFonts w:eastAsia="Times New Roman" w:cs="Times New Roman"/>
                <w:b/>
                <w:bCs/>
                <w:sz w:val="16"/>
                <w:szCs w:val="16"/>
              </w:rPr>
              <w:t>0</w:t>
            </w:r>
          </w:p>
        </w:tc>
        <w:tc>
          <w:tcPr>
            <w:tcW w:w="980" w:type="dxa"/>
            <w:tcBorders>
              <w:top w:val="single" w:sz="4" w:space="0" w:color="auto"/>
              <w:bottom w:val="nil"/>
            </w:tcBorders>
            <w:shd w:val="clear" w:color="auto" w:fill="auto"/>
            <w:noWrap/>
            <w:vAlign w:val="bottom"/>
            <w:hideMark/>
          </w:tcPr>
          <w:p w:rsidR="00915FBD" w:rsidRPr="00BF3CDA" w:rsidRDefault="00915FBD" w:rsidP="006B367D">
            <w:pPr>
              <w:spacing w:after="0"/>
              <w:jc w:val="right"/>
              <w:rPr>
                <w:rFonts w:eastAsia="Times New Roman" w:cs="Times New Roman"/>
                <w:b/>
                <w:bCs/>
                <w:sz w:val="16"/>
                <w:szCs w:val="16"/>
              </w:rPr>
            </w:pPr>
            <w:r>
              <w:rPr>
                <w:rFonts w:eastAsia="Times New Roman" w:cs="Times New Roman"/>
                <w:b/>
                <w:bCs/>
                <w:sz w:val="16"/>
                <w:szCs w:val="16"/>
              </w:rPr>
              <w:t>4 639 500,</w:t>
            </w:r>
            <w:r w:rsidRPr="00BF3CDA">
              <w:rPr>
                <w:rFonts w:eastAsia="Times New Roman" w:cs="Times New Roman"/>
                <w:b/>
                <w:bCs/>
                <w:sz w:val="16"/>
                <w:szCs w:val="16"/>
              </w:rPr>
              <w:t>7</w:t>
            </w:r>
          </w:p>
        </w:tc>
        <w:tc>
          <w:tcPr>
            <w:tcW w:w="980" w:type="dxa"/>
            <w:tcBorders>
              <w:top w:val="single" w:sz="4" w:space="0" w:color="auto"/>
              <w:bottom w:val="nil"/>
            </w:tcBorders>
            <w:shd w:val="clear" w:color="auto" w:fill="auto"/>
            <w:noWrap/>
            <w:vAlign w:val="bottom"/>
            <w:hideMark/>
          </w:tcPr>
          <w:p w:rsidR="00915FBD" w:rsidRPr="00BF3CDA" w:rsidRDefault="00915FBD" w:rsidP="006B367D">
            <w:pPr>
              <w:spacing w:after="0"/>
              <w:jc w:val="right"/>
              <w:rPr>
                <w:rFonts w:eastAsia="Times New Roman" w:cs="Times New Roman"/>
                <w:b/>
                <w:bCs/>
                <w:sz w:val="16"/>
                <w:szCs w:val="16"/>
              </w:rPr>
            </w:pPr>
            <w:r>
              <w:rPr>
                <w:rFonts w:eastAsia="Times New Roman" w:cs="Times New Roman"/>
                <w:b/>
                <w:bCs/>
                <w:sz w:val="16"/>
                <w:szCs w:val="16"/>
              </w:rPr>
              <w:t>4 664 500,</w:t>
            </w:r>
            <w:r w:rsidRPr="00BF3CDA">
              <w:rPr>
                <w:rFonts w:eastAsia="Times New Roman" w:cs="Times New Roman"/>
                <w:b/>
                <w:bCs/>
                <w:sz w:val="16"/>
                <w:szCs w:val="16"/>
              </w:rPr>
              <w:t>7</w:t>
            </w:r>
          </w:p>
        </w:tc>
      </w:tr>
      <w:tr w:rsidR="00915FBD" w:rsidRPr="00BF3CDA" w:rsidTr="009F6150">
        <w:trPr>
          <w:trHeight w:val="700"/>
        </w:trPr>
        <w:tc>
          <w:tcPr>
            <w:tcW w:w="1460" w:type="dxa"/>
            <w:tcBorders>
              <w:top w:val="nil"/>
            </w:tcBorders>
            <w:shd w:val="clear" w:color="auto" w:fill="auto"/>
            <w:vAlign w:val="bottom"/>
            <w:hideMark/>
          </w:tcPr>
          <w:p w:rsidR="00915FBD" w:rsidRPr="00BF3CDA" w:rsidRDefault="00915FBD" w:rsidP="006B367D">
            <w:pPr>
              <w:spacing w:after="0"/>
              <w:jc w:val="left"/>
              <w:rPr>
                <w:rFonts w:eastAsia="Times New Roman" w:cs="Times New Roman"/>
                <w:sz w:val="16"/>
                <w:szCs w:val="16"/>
              </w:rPr>
            </w:pPr>
            <w:r w:rsidRPr="00BF3CDA">
              <w:rPr>
                <w:rFonts w:eastAsia="Times New Roman" w:cs="Times New Roman"/>
                <w:sz w:val="16"/>
                <w:szCs w:val="16"/>
              </w:rPr>
              <w:t>обща субсидия за държавни дейности</w:t>
            </w:r>
          </w:p>
        </w:tc>
        <w:tc>
          <w:tcPr>
            <w:tcW w:w="934" w:type="dxa"/>
            <w:tcBorders>
              <w:top w:val="nil"/>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3 234 390,</w:t>
            </w:r>
            <w:r w:rsidRPr="00BF3CDA">
              <w:rPr>
                <w:rFonts w:eastAsia="Times New Roman" w:cs="Times New Roman"/>
                <w:sz w:val="16"/>
                <w:szCs w:val="16"/>
              </w:rPr>
              <w:t>2</w:t>
            </w:r>
          </w:p>
        </w:tc>
        <w:tc>
          <w:tcPr>
            <w:tcW w:w="860" w:type="dxa"/>
            <w:tcBorders>
              <w:top w:val="nil"/>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p>
        </w:tc>
        <w:tc>
          <w:tcPr>
            <w:tcW w:w="917" w:type="dxa"/>
            <w:tcBorders>
              <w:top w:val="nil"/>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3 234 390,</w:t>
            </w:r>
            <w:r w:rsidRPr="00BF3CDA">
              <w:rPr>
                <w:rFonts w:eastAsia="Times New Roman" w:cs="Times New Roman"/>
                <w:sz w:val="16"/>
                <w:szCs w:val="16"/>
              </w:rPr>
              <w:t>2</w:t>
            </w:r>
          </w:p>
        </w:tc>
        <w:tc>
          <w:tcPr>
            <w:tcW w:w="980" w:type="dxa"/>
            <w:tcBorders>
              <w:top w:val="nil"/>
            </w:tcBorders>
            <w:shd w:val="clear" w:color="auto" w:fill="F2F2F2" w:themeFill="background1" w:themeFillShade="F2"/>
            <w:noWrap/>
            <w:vAlign w:val="bottom"/>
            <w:hideMark/>
          </w:tcPr>
          <w:p w:rsidR="00915FBD" w:rsidRPr="008132C2" w:rsidRDefault="00915FBD" w:rsidP="006B367D">
            <w:pPr>
              <w:spacing w:after="0"/>
              <w:jc w:val="right"/>
              <w:rPr>
                <w:rFonts w:eastAsia="Times New Roman" w:cs="Times New Roman"/>
                <w:sz w:val="16"/>
                <w:szCs w:val="16"/>
              </w:rPr>
            </w:pPr>
            <w:r w:rsidRPr="008132C2">
              <w:rPr>
                <w:rFonts w:eastAsia="Times New Roman" w:cs="Times New Roman"/>
                <w:sz w:val="16"/>
                <w:szCs w:val="16"/>
              </w:rPr>
              <w:t>3 653 185,2</w:t>
            </w:r>
          </w:p>
        </w:tc>
        <w:tc>
          <w:tcPr>
            <w:tcW w:w="860" w:type="dxa"/>
            <w:tcBorders>
              <w:top w:val="nil"/>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p>
        </w:tc>
        <w:tc>
          <w:tcPr>
            <w:tcW w:w="917" w:type="dxa"/>
            <w:tcBorders>
              <w:top w:val="nil"/>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3 653 185,</w:t>
            </w:r>
            <w:r w:rsidRPr="00BF3CDA">
              <w:rPr>
                <w:rFonts w:eastAsia="Times New Roman" w:cs="Times New Roman"/>
                <w:sz w:val="16"/>
                <w:szCs w:val="16"/>
              </w:rPr>
              <w:t>2</w:t>
            </w:r>
          </w:p>
        </w:tc>
        <w:tc>
          <w:tcPr>
            <w:tcW w:w="914" w:type="dxa"/>
            <w:tcBorders>
              <w:top w:val="nil"/>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418 795,</w:t>
            </w:r>
            <w:r w:rsidRPr="00BF3CDA">
              <w:rPr>
                <w:rFonts w:eastAsia="Times New Roman" w:cs="Times New Roman"/>
                <w:sz w:val="16"/>
                <w:szCs w:val="16"/>
              </w:rPr>
              <w:t>0</w:t>
            </w:r>
          </w:p>
        </w:tc>
        <w:tc>
          <w:tcPr>
            <w:tcW w:w="980" w:type="dxa"/>
            <w:tcBorders>
              <w:top w:val="nil"/>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4 065 140,</w:t>
            </w:r>
            <w:r w:rsidRPr="00BF3CDA">
              <w:rPr>
                <w:rFonts w:eastAsia="Times New Roman" w:cs="Times New Roman"/>
                <w:sz w:val="16"/>
                <w:szCs w:val="16"/>
              </w:rPr>
              <w:t>4</w:t>
            </w:r>
          </w:p>
        </w:tc>
        <w:tc>
          <w:tcPr>
            <w:tcW w:w="980" w:type="dxa"/>
            <w:tcBorders>
              <w:top w:val="nil"/>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4 065 140,</w:t>
            </w:r>
            <w:r w:rsidRPr="00BF3CDA">
              <w:rPr>
                <w:rFonts w:eastAsia="Times New Roman" w:cs="Times New Roman"/>
                <w:sz w:val="16"/>
                <w:szCs w:val="16"/>
              </w:rPr>
              <w:t>4</w:t>
            </w:r>
          </w:p>
        </w:tc>
      </w:tr>
      <w:tr w:rsidR="00915FBD" w:rsidRPr="00BF3CDA" w:rsidTr="0021667D">
        <w:trPr>
          <w:trHeight w:val="480"/>
        </w:trPr>
        <w:tc>
          <w:tcPr>
            <w:tcW w:w="1460" w:type="dxa"/>
            <w:shd w:val="clear" w:color="auto" w:fill="auto"/>
            <w:vAlign w:val="bottom"/>
            <w:hideMark/>
          </w:tcPr>
          <w:p w:rsidR="00915FBD" w:rsidRPr="00BF3CDA" w:rsidRDefault="00915FBD" w:rsidP="006B367D">
            <w:pPr>
              <w:spacing w:after="0"/>
              <w:jc w:val="left"/>
              <w:rPr>
                <w:rFonts w:eastAsia="Times New Roman" w:cs="Times New Roman"/>
                <w:sz w:val="16"/>
                <w:szCs w:val="16"/>
              </w:rPr>
            </w:pPr>
            <w:r w:rsidRPr="00BF3CDA">
              <w:rPr>
                <w:rFonts w:eastAsia="Times New Roman" w:cs="Times New Roman"/>
                <w:sz w:val="16"/>
                <w:szCs w:val="16"/>
              </w:rPr>
              <w:t>обща изравнителна субсидия</w:t>
            </w:r>
          </w:p>
        </w:tc>
        <w:tc>
          <w:tcPr>
            <w:tcW w:w="934"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294 022,</w:t>
            </w:r>
            <w:r w:rsidRPr="00BF3CDA">
              <w:rPr>
                <w:rFonts w:eastAsia="Times New Roman" w:cs="Times New Roman"/>
                <w:sz w:val="16"/>
                <w:szCs w:val="16"/>
              </w:rPr>
              <w:t>0</w:t>
            </w:r>
          </w:p>
        </w:tc>
        <w:tc>
          <w:tcPr>
            <w:tcW w:w="860"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294 022,</w:t>
            </w:r>
            <w:r w:rsidRPr="00BF3CDA">
              <w:rPr>
                <w:rFonts w:eastAsia="Times New Roman" w:cs="Times New Roman"/>
                <w:sz w:val="16"/>
                <w:szCs w:val="16"/>
              </w:rPr>
              <w:t>0</w:t>
            </w:r>
          </w:p>
        </w:tc>
        <w:tc>
          <w:tcPr>
            <w:tcW w:w="917"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p>
        </w:tc>
        <w:tc>
          <w:tcPr>
            <w:tcW w:w="980" w:type="dxa"/>
            <w:shd w:val="clear" w:color="auto" w:fill="F2F2F2" w:themeFill="background1" w:themeFillShade="F2"/>
            <w:noWrap/>
            <w:vAlign w:val="bottom"/>
            <w:hideMark/>
          </w:tcPr>
          <w:p w:rsidR="00915FBD" w:rsidRPr="008132C2" w:rsidRDefault="00915FBD" w:rsidP="006B367D">
            <w:pPr>
              <w:spacing w:after="0"/>
              <w:jc w:val="right"/>
              <w:rPr>
                <w:rFonts w:eastAsia="Times New Roman" w:cs="Times New Roman"/>
                <w:sz w:val="16"/>
                <w:szCs w:val="16"/>
              </w:rPr>
            </w:pPr>
            <w:r w:rsidRPr="008132C2">
              <w:rPr>
                <w:rFonts w:eastAsia="Times New Roman" w:cs="Times New Roman"/>
                <w:sz w:val="16"/>
                <w:szCs w:val="16"/>
              </w:rPr>
              <w:t>307 022,0</w:t>
            </w:r>
          </w:p>
        </w:tc>
        <w:tc>
          <w:tcPr>
            <w:tcW w:w="860"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307 022,</w:t>
            </w:r>
            <w:r w:rsidRPr="00BF3CDA">
              <w:rPr>
                <w:rFonts w:eastAsia="Times New Roman" w:cs="Times New Roman"/>
                <w:sz w:val="16"/>
                <w:szCs w:val="16"/>
              </w:rPr>
              <w:t>0</w:t>
            </w:r>
          </w:p>
        </w:tc>
        <w:tc>
          <w:tcPr>
            <w:tcW w:w="917"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p>
        </w:tc>
        <w:tc>
          <w:tcPr>
            <w:tcW w:w="914"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13 000,</w:t>
            </w:r>
            <w:r w:rsidRPr="00BF3CDA">
              <w:rPr>
                <w:rFonts w:eastAsia="Times New Roman" w:cs="Times New Roman"/>
                <w:sz w:val="16"/>
                <w:szCs w:val="16"/>
              </w:rPr>
              <w:t>0</w:t>
            </w:r>
          </w:p>
        </w:tc>
        <w:tc>
          <w:tcPr>
            <w:tcW w:w="980"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317 022,</w:t>
            </w:r>
            <w:r w:rsidRPr="00BF3CDA">
              <w:rPr>
                <w:rFonts w:eastAsia="Times New Roman" w:cs="Times New Roman"/>
                <w:sz w:val="16"/>
                <w:szCs w:val="16"/>
              </w:rPr>
              <w:t>0</w:t>
            </w:r>
          </w:p>
        </w:tc>
        <w:tc>
          <w:tcPr>
            <w:tcW w:w="980"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327 022,</w:t>
            </w:r>
            <w:r w:rsidRPr="00BF3CDA">
              <w:rPr>
                <w:rFonts w:eastAsia="Times New Roman" w:cs="Times New Roman"/>
                <w:sz w:val="16"/>
                <w:szCs w:val="16"/>
              </w:rPr>
              <w:t>0</w:t>
            </w:r>
          </w:p>
        </w:tc>
      </w:tr>
      <w:tr w:rsidR="00915FBD" w:rsidRPr="00BF3CDA" w:rsidTr="0021667D">
        <w:trPr>
          <w:trHeight w:val="648"/>
        </w:trPr>
        <w:tc>
          <w:tcPr>
            <w:tcW w:w="1460" w:type="dxa"/>
            <w:shd w:val="clear" w:color="auto" w:fill="auto"/>
            <w:vAlign w:val="bottom"/>
            <w:hideMark/>
          </w:tcPr>
          <w:p w:rsidR="00915FBD" w:rsidRPr="00BF3CDA" w:rsidRDefault="00915FBD" w:rsidP="006B367D">
            <w:pPr>
              <w:spacing w:after="0"/>
              <w:jc w:val="left"/>
              <w:rPr>
                <w:rFonts w:eastAsia="Times New Roman" w:cs="Times New Roman"/>
                <w:sz w:val="16"/>
                <w:szCs w:val="16"/>
              </w:rPr>
            </w:pPr>
            <w:r w:rsidRPr="00BF3CDA">
              <w:rPr>
                <w:rFonts w:eastAsia="Times New Roman" w:cs="Times New Roman"/>
                <w:sz w:val="16"/>
                <w:szCs w:val="16"/>
              </w:rPr>
              <w:t>трансфер за зимно поддържане и снегопочистване</w:t>
            </w:r>
          </w:p>
        </w:tc>
        <w:tc>
          <w:tcPr>
            <w:tcW w:w="934"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38 228,</w:t>
            </w:r>
            <w:r w:rsidRPr="00BF3CDA">
              <w:rPr>
                <w:rFonts w:eastAsia="Times New Roman" w:cs="Times New Roman"/>
                <w:sz w:val="16"/>
                <w:szCs w:val="16"/>
              </w:rPr>
              <w:t>1</w:t>
            </w:r>
          </w:p>
        </w:tc>
        <w:tc>
          <w:tcPr>
            <w:tcW w:w="860"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38 228,</w:t>
            </w:r>
            <w:r w:rsidRPr="00BF3CDA">
              <w:rPr>
                <w:rFonts w:eastAsia="Times New Roman" w:cs="Times New Roman"/>
                <w:sz w:val="16"/>
                <w:szCs w:val="16"/>
              </w:rPr>
              <w:t>1</w:t>
            </w:r>
          </w:p>
        </w:tc>
        <w:tc>
          <w:tcPr>
            <w:tcW w:w="917"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p>
        </w:tc>
        <w:tc>
          <w:tcPr>
            <w:tcW w:w="980" w:type="dxa"/>
            <w:shd w:val="clear" w:color="auto" w:fill="F2F2F2" w:themeFill="background1" w:themeFillShade="F2"/>
            <w:noWrap/>
            <w:vAlign w:val="bottom"/>
            <w:hideMark/>
          </w:tcPr>
          <w:p w:rsidR="00915FBD" w:rsidRPr="008132C2" w:rsidRDefault="00915FBD" w:rsidP="006B367D">
            <w:pPr>
              <w:spacing w:after="0"/>
              <w:jc w:val="right"/>
              <w:rPr>
                <w:rFonts w:eastAsia="Times New Roman" w:cs="Times New Roman"/>
                <w:sz w:val="16"/>
                <w:szCs w:val="16"/>
              </w:rPr>
            </w:pPr>
            <w:r w:rsidRPr="008132C2">
              <w:rPr>
                <w:rFonts w:eastAsia="Times New Roman" w:cs="Times New Roman"/>
                <w:sz w:val="16"/>
                <w:szCs w:val="16"/>
              </w:rPr>
              <w:t>43 228,1</w:t>
            </w:r>
          </w:p>
        </w:tc>
        <w:tc>
          <w:tcPr>
            <w:tcW w:w="860"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43 228,</w:t>
            </w:r>
            <w:r w:rsidRPr="00BF3CDA">
              <w:rPr>
                <w:rFonts w:eastAsia="Times New Roman" w:cs="Times New Roman"/>
                <w:sz w:val="16"/>
                <w:szCs w:val="16"/>
              </w:rPr>
              <w:t>1</w:t>
            </w:r>
          </w:p>
        </w:tc>
        <w:tc>
          <w:tcPr>
            <w:tcW w:w="917"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p>
        </w:tc>
        <w:tc>
          <w:tcPr>
            <w:tcW w:w="914"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5 000,</w:t>
            </w:r>
            <w:r w:rsidRPr="00BF3CDA">
              <w:rPr>
                <w:rFonts w:eastAsia="Times New Roman" w:cs="Times New Roman"/>
                <w:sz w:val="16"/>
                <w:szCs w:val="16"/>
              </w:rPr>
              <w:t>0</w:t>
            </w:r>
          </w:p>
        </w:tc>
        <w:tc>
          <w:tcPr>
            <w:tcW w:w="980"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48 228,</w:t>
            </w:r>
            <w:r w:rsidRPr="00BF3CDA">
              <w:rPr>
                <w:rFonts w:eastAsia="Times New Roman" w:cs="Times New Roman"/>
                <w:sz w:val="16"/>
                <w:szCs w:val="16"/>
              </w:rPr>
              <w:t>1</w:t>
            </w:r>
          </w:p>
        </w:tc>
        <w:tc>
          <w:tcPr>
            <w:tcW w:w="980" w:type="dxa"/>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53 228,</w:t>
            </w:r>
            <w:r w:rsidRPr="00BF3CDA">
              <w:rPr>
                <w:rFonts w:eastAsia="Times New Roman" w:cs="Times New Roman"/>
                <w:sz w:val="16"/>
                <w:szCs w:val="16"/>
              </w:rPr>
              <w:t>1</w:t>
            </w:r>
          </w:p>
        </w:tc>
      </w:tr>
      <w:tr w:rsidR="00915FBD" w:rsidRPr="00BF3CDA" w:rsidTr="009F6150">
        <w:trPr>
          <w:trHeight w:val="724"/>
        </w:trPr>
        <w:tc>
          <w:tcPr>
            <w:tcW w:w="1460" w:type="dxa"/>
            <w:tcBorders>
              <w:bottom w:val="single" w:sz="4" w:space="0" w:color="auto"/>
            </w:tcBorders>
            <w:shd w:val="clear" w:color="auto" w:fill="auto"/>
            <w:vAlign w:val="bottom"/>
            <w:hideMark/>
          </w:tcPr>
          <w:p w:rsidR="00915FBD" w:rsidRPr="00BF3CDA" w:rsidRDefault="00915FBD" w:rsidP="006B367D">
            <w:pPr>
              <w:spacing w:after="0"/>
              <w:jc w:val="left"/>
              <w:rPr>
                <w:rFonts w:eastAsia="Times New Roman" w:cs="Times New Roman"/>
                <w:sz w:val="16"/>
                <w:szCs w:val="16"/>
              </w:rPr>
            </w:pPr>
            <w:r w:rsidRPr="00BF3CDA">
              <w:rPr>
                <w:rFonts w:eastAsia="Times New Roman" w:cs="Times New Roman"/>
                <w:sz w:val="16"/>
                <w:szCs w:val="16"/>
              </w:rPr>
              <w:t>целева субсидия за капиталови разходи</w:t>
            </w:r>
          </w:p>
        </w:tc>
        <w:tc>
          <w:tcPr>
            <w:tcW w:w="934" w:type="dxa"/>
            <w:tcBorders>
              <w:bottom w:val="single" w:sz="4" w:space="0" w:color="auto"/>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179 110,</w:t>
            </w:r>
            <w:r w:rsidRPr="00BF3CDA">
              <w:rPr>
                <w:rFonts w:eastAsia="Times New Roman" w:cs="Times New Roman"/>
                <w:sz w:val="16"/>
                <w:szCs w:val="16"/>
              </w:rPr>
              <w:t>2</w:t>
            </w:r>
          </w:p>
        </w:tc>
        <w:tc>
          <w:tcPr>
            <w:tcW w:w="860" w:type="dxa"/>
            <w:tcBorders>
              <w:bottom w:val="single" w:sz="4" w:space="0" w:color="auto"/>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123 890,</w:t>
            </w:r>
            <w:r w:rsidRPr="00BF3CDA">
              <w:rPr>
                <w:rFonts w:eastAsia="Times New Roman" w:cs="Times New Roman"/>
                <w:sz w:val="16"/>
                <w:szCs w:val="16"/>
              </w:rPr>
              <w:t>5</w:t>
            </w:r>
          </w:p>
        </w:tc>
        <w:tc>
          <w:tcPr>
            <w:tcW w:w="917" w:type="dxa"/>
            <w:tcBorders>
              <w:bottom w:val="single" w:sz="4" w:space="0" w:color="auto"/>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55 219,</w:t>
            </w:r>
            <w:r w:rsidRPr="00BF3CDA">
              <w:rPr>
                <w:rFonts w:eastAsia="Times New Roman" w:cs="Times New Roman"/>
                <w:sz w:val="16"/>
                <w:szCs w:val="16"/>
              </w:rPr>
              <w:t>7</w:t>
            </w:r>
          </w:p>
        </w:tc>
        <w:tc>
          <w:tcPr>
            <w:tcW w:w="980" w:type="dxa"/>
            <w:tcBorders>
              <w:bottom w:val="single" w:sz="4" w:space="0" w:color="auto"/>
            </w:tcBorders>
            <w:shd w:val="clear" w:color="auto" w:fill="F2F2F2" w:themeFill="background1" w:themeFillShade="F2"/>
            <w:noWrap/>
            <w:vAlign w:val="bottom"/>
            <w:hideMark/>
          </w:tcPr>
          <w:p w:rsidR="00915FBD" w:rsidRPr="008132C2" w:rsidRDefault="00915FBD" w:rsidP="006B367D">
            <w:pPr>
              <w:spacing w:after="0"/>
              <w:jc w:val="right"/>
              <w:rPr>
                <w:rFonts w:eastAsia="Times New Roman" w:cs="Times New Roman"/>
                <w:sz w:val="16"/>
                <w:szCs w:val="16"/>
              </w:rPr>
            </w:pPr>
            <w:r w:rsidRPr="008132C2">
              <w:rPr>
                <w:rFonts w:eastAsia="Times New Roman" w:cs="Times New Roman"/>
                <w:sz w:val="16"/>
                <w:szCs w:val="16"/>
              </w:rPr>
              <w:t>199 110,2</w:t>
            </w:r>
          </w:p>
        </w:tc>
        <w:tc>
          <w:tcPr>
            <w:tcW w:w="860" w:type="dxa"/>
            <w:tcBorders>
              <w:bottom w:val="single" w:sz="4" w:space="0" w:color="auto"/>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114 043,</w:t>
            </w:r>
            <w:r w:rsidRPr="00BF3CDA">
              <w:rPr>
                <w:rFonts w:eastAsia="Times New Roman" w:cs="Times New Roman"/>
                <w:sz w:val="16"/>
                <w:szCs w:val="16"/>
              </w:rPr>
              <w:t>7</w:t>
            </w:r>
          </w:p>
        </w:tc>
        <w:tc>
          <w:tcPr>
            <w:tcW w:w="917" w:type="dxa"/>
            <w:tcBorders>
              <w:bottom w:val="single" w:sz="4" w:space="0" w:color="auto"/>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85 066,</w:t>
            </w:r>
            <w:r w:rsidRPr="00BF3CDA">
              <w:rPr>
                <w:rFonts w:eastAsia="Times New Roman" w:cs="Times New Roman"/>
                <w:sz w:val="16"/>
                <w:szCs w:val="16"/>
              </w:rPr>
              <w:t>5</w:t>
            </w:r>
          </w:p>
        </w:tc>
        <w:tc>
          <w:tcPr>
            <w:tcW w:w="914" w:type="dxa"/>
            <w:tcBorders>
              <w:bottom w:val="single" w:sz="4" w:space="0" w:color="auto"/>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20 000,</w:t>
            </w:r>
            <w:r w:rsidRPr="00BF3CDA">
              <w:rPr>
                <w:rFonts w:eastAsia="Times New Roman" w:cs="Times New Roman"/>
                <w:sz w:val="16"/>
                <w:szCs w:val="16"/>
              </w:rPr>
              <w:t>0</w:t>
            </w:r>
          </w:p>
        </w:tc>
        <w:tc>
          <w:tcPr>
            <w:tcW w:w="980" w:type="dxa"/>
            <w:tcBorders>
              <w:bottom w:val="single" w:sz="4" w:space="0" w:color="auto"/>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209 110,</w:t>
            </w:r>
            <w:r w:rsidRPr="00BF3CDA">
              <w:rPr>
                <w:rFonts w:eastAsia="Times New Roman" w:cs="Times New Roman"/>
                <w:sz w:val="16"/>
                <w:szCs w:val="16"/>
              </w:rPr>
              <w:t>2</w:t>
            </w:r>
          </w:p>
        </w:tc>
        <w:tc>
          <w:tcPr>
            <w:tcW w:w="980" w:type="dxa"/>
            <w:tcBorders>
              <w:bottom w:val="single" w:sz="4" w:space="0" w:color="auto"/>
            </w:tcBorders>
            <w:shd w:val="clear" w:color="auto" w:fill="auto"/>
            <w:noWrap/>
            <w:vAlign w:val="bottom"/>
            <w:hideMark/>
          </w:tcPr>
          <w:p w:rsidR="00915FBD" w:rsidRPr="00BF3CDA" w:rsidRDefault="00915FBD" w:rsidP="006B367D">
            <w:pPr>
              <w:spacing w:after="0"/>
              <w:jc w:val="right"/>
              <w:rPr>
                <w:rFonts w:eastAsia="Times New Roman" w:cs="Times New Roman"/>
                <w:sz w:val="16"/>
                <w:szCs w:val="16"/>
              </w:rPr>
            </w:pPr>
            <w:r>
              <w:rPr>
                <w:rFonts w:eastAsia="Times New Roman" w:cs="Times New Roman"/>
                <w:sz w:val="16"/>
                <w:szCs w:val="16"/>
              </w:rPr>
              <w:t>219 110,</w:t>
            </w:r>
            <w:r w:rsidRPr="00BF3CDA">
              <w:rPr>
                <w:rFonts w:eastAsia="Times New Roman" w:cs="Times New Roman"/>
                <w:sz w:val="16"/>
                <w:szCs w:val="16"/>
              </w:rPr>
              <w:t>2</w:t>
            </w:r>
          </w:p>
        </w:tc>
      </w:tr>
    </w:tbl>
    <w:p w:rsidR="00915FBD" w:rsidRPr="00915FBD" w:rsidRDefault="00915FBD" w:rsidP="003A1BE2"/>
    <w:p w:rsidR="00AD3008" w:rsidRPr="00AD3008" w:rsidRDefault="00AD3008" w:rsidP="00AD3008">
      <w:pPr>
        <w:spacing w:after="120"/>
        <w:rPr>
          <w:rFonts w:eastAsia="Batang"/>
        </w:rPr>
      </w:pPr>
      <w:r w:rsidRPr="00AD3008">
        <w:rPr>
          <w:rFonts w:eastAsia="Batang"/>
        </w:rPr>
        <w:t xml:space="preserve">Средствата за делегираните от държавата дейности се определят по утвърдени от Министерския съвет стандарти и натурални показатели, съгласувани с отрасловите министерства и Националното сдружение на общините в Република България. Най-голям ръст на разходите има в областта на образованието и науката и в социалната политика, съответно </w:t>
      </w:r>
      <w:r w:rsidRPr="00B55FAA">
        <w:rPr>
          <w:rFonts w:eastAsia="Batang"/>
        </w:rPr>
        <w:t>с 3</w:t>
      </w:r>
      <w:r w:rsidRPr="00B55FAA">
        <w:rPr>
          <w:rFonts w:eastAsia="Batang"/>
          <w:lang w:val="ru-RU"/>
        </w:rPr>
        <w:t>41,5</w:t>
      </w:r>
      <w:r w:rsidRPr="00B55FAA">
        <w:rPr>
          <w:rFonts w:eastAsia="Batang"/>
        </w:rPr>
        <w:t xml:space="preserve"> млн. лв. и </w:t>
      </w:r>
      <w:r w:rsidR="00F15E4B" w:rsidRPr="00B55FAA">
        <w:rPr>
          <w:rFonts w:eastAsia="Batang"/>
        </w:rPr>
        <w:t>30,0</w:t>
      </w:r>
      <w:r w:rsidRPr="00B55FAA">
        <w:rPr>
          <w:rFonts w:eastAsia="Batang"/>
        </w:rPr>
        <w:t xml:space="preserve"> млн. </w:t>
      </w:r>
      <w:r w:rsidRPr="00AD3008">
        <w:rPr>
          <w:rFonts w:eastAsia="Batang"/>
        </w:rPr>
        <w:t>лв.</w:t>
      </w:r>
    </w:p>
    <w:p w:rsidR="00AD3008" w:rsidRPr="007D6981" w:rsidRDefault="00AD3008" w:rsidP="00AD3008">
      <w:pPr>
        <w:spacing w:after="120"/>
        <w:rPr>
          <w:rFonts w:eastAsia="Batang"/>
          <w:b/>
          <w:i/>
          <w:lang w:val="ru-RU"/>
        </w:rPr>
      </w:pPr>
      <w:r w:rsidRPr="00AD3008">
        <w:rPr>
          <w:rFonts w:eastAsia="Batang"/>
          <w:b/>
          <w:i/>
        </w:rPr>
        <w:t>По механизма за разпределение на общата изравнителна субсидия:</w:t>
      </w:r>
    </w:p>
    <w:p w:rsidR="00AD3008" w:rsidRPr="00AD3008" w:rsidRDefault="00AD3008" w:rsidP="00AD3008">
      <w:pPr>
        <w:spacing w:after="120"/>
        <w:rPr>
          <w:rFonts w:eastAsia="Batang"/>
        </w:rPr>
      </w:pPr>
      <w:r w:rsidRPr="00AD3008">
        <w:rPr>
          <w:rFonts w:eastAsia="Batang"/>
        </w:rPr>
        <w:t>Като цяло</w:t>
      </w:r>
      <w:r w:rsidRPr="00AD3008">
        <w:rPr>
          <w:rFonts w:eastAsia="Batang"/>
          <w:b/>
          <w:i/>
        </w:rPr>
        <w:t xml:space="preserve"> механизмът за разпределение</w:t>
      </w:r>
      <w:r w:rsidRPr="00AD3008">
        <w:rPr>
          <w:rFonts w:eastAsia="Batang"/>
        </w:rPr>
        <w:t xml:space="preserve"> на общата изравнителна субсидия през 2020 г. се запазва</w:t>
      </w:r>
      <w:r w:rsidR="00FB0048">
        <w:rPr>
          <w:rFonts w:eastAsia="Batang"/>
        </w:rPr>
        <w:t>. Промяна в проекта на механизма</w:t>
      </w:r>
      <w:r w:rsidRPr="00AD3008">
        <w:rPr>
          <w:rFonts w:eastAsia="Batang"/>
        </w:rPr>
        <w:t xml:space="preserve"> има само във връзка с увеличаване на сумата за разпределение по допълнителния компонент за данъчно усилие, с цел стимулиране на общините да използват дадените им правомощия със Закона за местните данъци и такси по отношение на размерите на данъчните ставки, като в механизма за 2020 г. данъчното усилие се съпоставя със средния размер на съответната ставка в границите, определени със </w:t>
      </w:r>
      <w:r w:rsidR="00B57960">
        <w:rPr>
          <w:rFonts w:eastAsia="Batang"/>
        </w:rPr>
        <w:t>закона</w:t>
      </w:r>
      <w:r w:rsidRPr="00AD3008">
        <w:rPr>
          <w:rFonts w:eastAsia="Batang"/>
        </w:rPr>
        <w:t xml:space="preserve">. </w:t>
      </w:r>
    </w:p>
    <w:p w:rsidR="00AD3008" w:rsidRPr="00AD3008" w:rsidRDefault="00AD3008" w:rsidP="00AD3008">
      <w:pPr>
        <w:spacing w:after="120"/>
        <w:rPr>
          <w:rFonts w:eastAsia="Batang"/>
        </w:rPr>
      </w:pPr>
      <w:r w:rsidRPr="00AD3008">
        <w:rPr>
          <w:rFonts w:eastAsia="Batang"/>
        </w:rPr>
        <w:t>С цел намаляване на фискалните дисбаланси между общините е предвидено запазване на условието за достъп до изравнителната субсидия, като общините, които са реализирали през преходната година над 120% от средното за страната равнище на постоянни данъчни приходи на един жител не получават достъп до субсидията.</w:t>
      </w:r>
      <w:r w:rsidR="00915FBD" w:rsidRPr="00915FBD">
        <w:rPr>
          <w:rFonts w:eastAsia="Batang"/>
        </w:rPr>
        <w:t xml:space="preserve"> </w:t>
      </w:r>
      <w:r w:rsidR="00247183">
        <w:rPr>
          <w:rFonts w:eastAsia="Batang"/>
        </w:rPr>
        <w:t xml:space="preserve">                         </w:t>
      </w:r>
      <w:r w:rsidR="00915FBD" w:rsidRPr="00CE5AA6">
        <w:rPr>
          <w:rFonts w:eastAsia="Batang"/>
        </w:rPr>
        <w:t xml:space="preserve">За 2020 г. 18 общини остават без достъп до изравнителна субсидия, при 19 общини за 2019 г., като промяната е по отношение на общините </w:t>
      </w:r>
      <w:r w:rsidR="00915FBD">
        <w:rPr>
          <w:rFonts w:eastAsia="Batang"/>
        </w:rPr>
        <w:t>Пловдив</w:t>
      </w:r>
      <w:r w:rsidR="00915FBD" w:rsidRPr="00CE5AA6">
        <w:rPr>
          <w:rFonts w:eastAsia="Batang"/>
        </w:rPr>
        <w:t xml:space="preserve"> и Гълъбово, които получават достъп за 2020 г. и община Благоевград, която не получава достъп за 2020 г.</w:t>
      </w:r>
      <w:r w:rsidRPr="00AD3008">
        <w:rPr>
          <w:rFonts w:eastAsia="Batang"/>
        </w:rPr>
        <w:t xml:space="preserve"> </w:t>
      </w:r>
    </w:p>
    <w:p w:rsidR="00AD3008" w:rsidRPr="00AD3008" w:rsidRDefault="00AD3008" w:rsidP="00AD3008">
      <w:pPr>
        <w:spacing w:after="120"/>
        <w:rPr>
          <w:rFonts w:eastAsia="Batang"/>
        </w:rPr>
      </w:pPr>
      <w:r w:rsidRPr="00AD3008">
        <w:rPr>
          <w:rFonts w:eastAsia="Batang"/>
        </w:rPr>
        <w:t>Моделът за разпределение н</w:t>
      </w:r>
      <w:r w:rsidR="0024514A">
        <w:rPr>
          <w:rFonts w:eastAsia="Batang"/>
        </w:rPr>
        <w:t>а общата изравнителна субсидия</w:t>
      </w:r>
      <w:r w:rsidRPr="00AD3008">
        <w:rPr>
          <w:rFonts w:eastAsia="Batang"/>
        </w:rPr>
        <w:t xml:space="preserve"> за общините с достъп през 2020 г. включва 5 компонента, като най-голям дял</w:t>
      </w:r>
      <w:r w:rsidRPr="007D6981">
        <w:rPr>
          <w:rFonts w:eastAsia="Batang"/>
          <w:lang w:val="ru-RU"/>
        </w:rPr>
        <w:t xml:space="preserve"> </w:t>
      </w:r>
      <w:r w:rsidRPr="00AD3008">
        <w:rPr>
          <w:rFonts w:eastAsia="Batang"/>
        </w:rPr>
        <w:t>(81,8% от общата сума)</w:t>
      </w:r>
      <w:r w:rsidRPr="007D6981">
        <w:rPr>
          <w:rFonts w:eastAsia="Batang"/>
          <w:lang w:val="ru-RU"/>
        </w:rPr>
        <w:t xml:space="preserve"> </w:t>
      </w:r>
      <w:r w:rsidRPr="00AD3008">
        <w:rPr>
          <w:rFonts w:eastAsia="Batang"/>
        </w:rPr>
        <w:t>има компонентът, който осигурява изравняване на разликата между 120% от равнището за страната и постоянните данъчни постъпления на един жител за конкретната община. Останалите компоненти на общата изравнителна субсидия включват: разпределение на база дяловете за разходни потребности на общините с достъп, оценени чрез натурални показатели (10,7% от общата сума); компонент за общините, чийто дял на приходите спрямо общите постъпления е по-малък от 25 на сто (2,3% от общата сума); компонент за осигуряване на размера на субсидията, определен със ЗДБРБ за 201</w:t>
      </w:r>
      <w:r w:rsidRPr="007D6981">
        <w:rPr>
          <w:rFonts w:eastAsia="Batang"/>
          <w:lang w:val="ru-RU"/>
        </w:rPr>
        <w:t>9</w:t>
      </w:r>
      <w:r w:rsidRPr="00AD3008">
        <w:rPr>
          <w:rFonts w:eastAsia="Batang"/>
        </w:rPr>
        <w:t xml:space="preserve"> г. (4,1% от общата сума), както и допълнителен компонент, който се разпределя за общините, които имат осреднено данъчно усилие над средното ниво на съответната ставка в границите, определени със ЗМДТ (1,1% от общата сума). </w:t>
      </w:r>
    </w:p>
    <w:p w:rsidR="00AD3008" w:rsidRPr="00AD3008" w:rsidRDefault="00FB0048" w:rsidP="00AD3008">
      <w:pPr>
        <w:spacing w:after="120"/>
        <w:rPr>
          <w:rFonts w:eastAsia="Batang"/>
        </w:rPr>
      </w:pPr>
      <w:r>
        <w:rPr>
          <w:rFonts w:eastAsia="Batang"/>
        </w:rPr>
        <w:t>За постигане на по-справедливо</w:t>
      </w:r>
      <w:r w:rsidR="00AD3008" w:rsidRPr="00AD3008">
        <w:rPr>
          <w:rFonts w:eastAsia="Batang"/>
        </w:rPr>
        <w:t xml:space="preserve"> разпределение на средствата от държавния бюджет между отделните общини са предвидени </w:t>
      </w:r>
      <w:r w:rsidR="00AD3008" w:rsidRPr="00AD3008">
        <w:rPr>
          <w:rFonts w:eastAsia="Batang"/>
          <w:b/>
          <w:i/>
        </w:rPr>
        <w:t>промени в механизмите за разпределение</w:t>
      </w:r>
      <w:r w:rsidR="00AD3008" w:rsidRPr="00AD3008">
        <w:rPr>
          <w:rFonts w:eastAsia="Batang"/>
        </w:rPr>
        <w:t xml:space="preserve"> на целевата субсидия за капиталови разходи и на трансфера за зимно поддържане и снегопочистване на общинските пътища. </w:t>
      </w:r>
    </w:p>
    <w:p w:rsidR="00AD3008" w:rsidRPr="00AD3008" w:rsidRDefault="00AD3008" w:rsidP="00AD3008">
      <w:pPr>
        <w:spacing w:after="120"/>
        <w:rPr>
          <w:rFonts w:eastAsia="Batang"/>
          <w:b/>
          <w:i/>
        </w:rPr>
      </w:pPr>
      <w:r w:rsidRPr="00AD3008">
        <w:rPr>
          <w:rFonts w:eastAsia="Batang"/>
          <w:b/>
          <w:i/>
        </w:rPr>
        <w:t>По механизма за разпределение на целевата субсидия за капиталови разходи:</w:t>
      </w:r>
    </w:p>
    <w:p w:rsidR="00AD3008" w:rsidRPr="00AD3008" w:rsidRDefault="00AD3008" w:rsidP="00AD3008">
      <w:pPr>
        <w:spacing w:after="120"/>
        <w:rPr>
          <w:rFonts w:eastAsia="Batang"/>
        </w:rPr>
      </w:pPr>
      <w:r w:rsidRPr="00AD3008">
        <w:rPr>
          <w:rFonts w:eastAsia="Batang"/>
        </w:rPr>
        <w:t xml:space="preserve">При разпределението на </w:t>
      </w:r>
      <w:r w:rsidRPr="00AD3008">
        <w:rPr>
          <w:rFonts w:eastAsia="Batang"/>
          <w:b/>
          <w:i/>
        </w:rPr>
        <w:t>целевата субсидия за капиталови разходи</w:t>
      </w:r>
      <w:r w:rsidRPr="00AD3008">
        <w:rPr>
          <w:rFonts w:eastAsia="Batang"/>
          <w:b/>
        </w:rPr>
        <w:t>,</w:t>
      </w:r>
      <w:r w:rsidRPr="00AD3008">
        <w:rPr>
          <w:rFonts w:eastAsia="Batang"/>
        </w:rPr>
        <w:t xml:space="preserve"> основният компонент от нея се разпределя на базата на натуралните показатели по общини за брой населени места, с изключване на местата без население и с население до 10 души, дължина на общински пътища, брой население и територия. </w:t>
      </w:r>
    </w:p>
    <w:p w:rsidR="00AD3008" w:rsidRPr="00AD3008" w:rsidRDefault="00AD3008" w:rsidP="00AD3008">
      <w:pPr>
        <w:spacing w:after="120"/>
        <w:rPr>
          <w:rFonts w:eastAsia="Batang"/>
        </w:rPr>
      </w:pPr>
      <w:r w:rsidRPr="00AD3008">
        <w:rPr>
          <w:rFonts w:eastAsia="Batang"/>
        </w:rPr>
        <w:t>Премахнат е изравнителният компонент, който осигурява достигнатия размер на целевата субсидия за капиталови разходи през предходната година, с цел постигане на обективно съответствие между средствата и натуралните показатели за всяка конкретна община.</w:t>
      </w:r>
    </w:p>
    <w:p w:rsidR="00AD3008" w:rsidRPr="00AD3008" w:rsidRDefault="00AD3008" w:rsidP="00AD3008">
      <w:pPr>
        <w:spacing w:after="120"/>
        <w:rPr>
          <w:rFonts w:eastAsia="Batang"/>
        </w:rPr>
      </w:pPr>
      <w:r w:rsidRPr="00AD3008">
        <w:rPr>
          <w:rFonts w:eastAsia="Batang"/>
        </w:rPr>
        <w:t>Предвиден е и допълнителен ресурс за подпомагане на общините от 4-та и 5-та категория за подобряване състоянието на социалната и техническа инфраструктура на територията на общината. Достъп до тази част на субсидията имат всички общини от 4-та и 5-та категория, съгласно утвърдената от министъра на регионалното развитие и благоустройството със заповед № РД-02-14-2021/</w:t>
      </w:r>
      <w:r w:rsidR="00746B8F" w:rsidRPr="00746B8F">
        <w:rPr>
          <w:rFonts w:eastAsia="Batang"/>
        </w:rPr>
        <w:t>14.08.</w:t>
      </w:r>
      <w:r w:rsidRPr="00AD3008">
        <w:rPr>
          <w:rFonts w:eastAsia="Batang"/>
        </w:rPr>
        <w:t xml:space="preserve">2012 г. </w:t>
      </w:r>
      <w:r w:rsidR="008C1DE7">
        <w:rPr>
          <w:rFonts w:eastAsia="Batang"/>
        </w:rPr>
        <w:t xml:space="preserve">(обн., ДВ, бр. 66 от </w:t>
      </w:r>
      <w:r w:rsidR="00746B8F">
        <w:rPr>
          <w:rFonts w:eastAsia="Batang"/>
        </w:rPr>
        <w:t xml:space="preserve"> </w:t>
      </w:r>
      <w:r w:rsidR="008C1DE7">
        <w:rPr>
          <w:rFonts w:eastAsia="Batang"/>
        </w:rPr>
        <w:t>2012 </w:t>
      </w:r>
      <w:r w:rsidRPr="00AD3008">
        <w:rPr>
          <w:rFonts w:eastAsia="Batang"/>
        </w:rPr>
        <w:t>г.</w:t>
      </w:r>
      <w:r w:rsidR="00746B8F">
        <w:rPr>
          <w:rFonts w:eastAsia="Batang"/>
        </w:rPr>
        <w:t>;</w:t>
      </w:r>
      <w:r w:rsidRPr="00AD3008">
        <w:rPr>
          <w:rFonts w:eastAsia="Batang"/>
        </w:rPr>
        <w:t xml:space="preserve"> изм. и доп., бр. 73 от 2014 г., бр. 75 от 2016 г.) категоризация на общините в Република България, на основание чл. 36, ал. 2 от Закона за административно-териториалното устройство на Република България и във връзка с т. 4 от Решение № 921 на Министерския съвет от 2011 г. за определяне на критерии и показатели за категоризиране на общините, кметствата, районите и населените места в Република България.</w:t>
      </w:r>
    </w:p>
    <w:p w:rsidR="00AD3008" w:rsidRPr="00AD3008" w:rsidRDefault="00AD3008" w:rsidP="00AD3008">
      <w:pPr>
        <w:spacing w:after="120"/>
        <w:rPr>
          <w:rFonts w:eastAsia="Batang"/>
        </w:rPr>
      </w:pPr>
      <w:r w:rsidRPr="00AD3008">
        <w:rPr>
          <w:rFonts w:eastAsia="Batang"/>
        </w:rPr>
        <w:t>Обхванатите общини от допълнителния компонент от 4-та и 5-та категории са 131, като всяка от тях получава до</w:t>
      </w:r>
      <w:r>
        <w:rPr>
          <w:rFonts w:eastAsia="Batang"/>
        </w:rPr>
        <w:t>пълнително по 50 хил. лв. (с 25,</w:t>
      </w:r>
      <w:r w:rsidRPr="00AD3008">
        <w:rPr>
          <w:rFonts w:eastAsia="Batang"/>
        </w:rPr>
        <w:t>0 хил. лв. повече в сравнение с механизма за 2019 г.) след разпределението по основния компонент. В резултат на това, в 117 общини целевата субсидия за капиталови разходи за 2020 г. има ръст спрямо закона за 2019 г., който  надхвърля общия ръст за страната, за 10 общини ръстът е под средния за страната, а за останалите 4 общини размерът на субсидията не достига този по ЗДБРБ за 2019 г. поради отпадане на изравнителния компонент.</w:t>
      </w:r>
    </w:p>
    <w:p w:rsidR="00915FBD" w:rsidRPr="00AD3008" w:rsidRDefault="0024514A" w:rsidP="00915FBD">
      <w:pPr>
        <w:spacing w:after="120"/>
        <w:rPr>
          <w:rFonts w:eastAsia="Batang"/>
        </w:rPr>
      </w:pPr>
      <w:r>
        <w:rPr>
          <w:rFonts w:eastAsia="Batang"/>
        </w:rPr>
        <w:t xml:space="preserve">С проекта на </w:t>
      </w:r>
      <w:r w:rsidR="00915FBD" w:rsidRPr="00AD3008">
        <w:rPr>
          <w:rFonts w:eastAsia="Batang"/>
        </w:rPr>
        <w:t xml:space="preserve">ЗДБРБ за 2020 г. се запазва дадената възможност със ЗДБРБ за 2019 г. на общината, след решение на общинския съвет, да може да предложи  трансформиране на утвърдената със закона целева субсидия за капиталови разходи в трансфер за други целеви разходи. С разпоредбата ще се даде възможност на общините да приоритизират своите потребности и при необходимост да пренасочат средства  за финансиране на неотложни текущи ремонти на общински пътища и на улична мрежа. </w:t>
      </w:r>
    </w:p>
    <w:p w:rsidR="00AD3008" w:rsidRPr="00AD3008" w:rsidRDefault="00AD3008" w:rsidP="00AD3008">
      <w:pPr>
        <w:spacing w:after="120"/>
        <w:rPr>
          <w:rFonts w:eastAsia="Batang"/>
          <w:b/>
          <w:i/>
        </w:rPr>
      </w:pPr>
      <w:r w:rsidRPr="00AD3008">
        <w:rPr>
          <w:rFonts w:eastAsia="Batang"/>
          <w:b/>
          <w:i/>
        </w:rPr>
        <w:t>По механизма за разпределение на трансфера за зимно поддържане и снегопочистване на общинските пътища:</w:t>
      </w:r>
    </w:p>
    <w:p w:rsidR="00AD3008" w:rsidRPr="00AD3008" w:rsidRDefault="00AD3008" w:rsidP="00AD3008">
      <w:pPr>
        <w:spacing w:after="120"/>
        <w:rPr>
          <w:rFonts w:eastAsia="Batang"/>
        </w:rPr>
      </w:pPr>
      <w:r w:rsidRPr="00AD3008">
        <w:rPr>
          <w:rFonts w:eastAsia="Batang"/>
        </w:rPr>
        <w:t>Средствата  се разпределят на базата на натуралните показатели по общини за дължина на общинските пътища с отчитане на географско и височинно разположение, брой населени места с изключване на местата без население и брой население. Премахнат е изравнителният компонент, който осигурява достигнатия размер на трансфера за зимно поддържане и снегопочистване на общинските пътища през предходната година, с цел постигане на обективно съответствие между средствата и натуралните показатели на конкретната община.</w:t>
      </w:r>
    </w:p>
    <w:p w:rsidR="00D135F6" w:rsidRPr="00AD3008" w:rsidRDefault="00D135F6" w:rsidP="00AD3008">
      <w:pPr>
        <w:spacing w:after="120"/>
        <w:rPr>
          <w:rFonts w:eastAsia="Batang"/>
        </w:rPr>
      </w:pPr>
    </w:p>
    <w:p w:rsidR="00352D9C" w:rsidRPr="00567DD2" w:rsidRDefault="00352D9C" w:rsidP="00567DD2">
      <w:pPr>
        <w:rPr>
          <w:rFonts w:eastAsia="Batang"/>
          <w:highlight w:val="yellow"/>
        </w:rPr>
        <w:sectPr w:rsidR="00352D9C" w:rsidRPr="00567DD2" w:rsidSect="00FF16A0">
          <w:headerReference w:type="even" r:id="rId30"/>
          <w:headerReference w:type="default" r:id="rId31"/>
          <w:headerReference w:type="first" r:id="rId32"/>
          <w:type w:val="oddPage"/>
          <w:pgSz w:w="11906" w:h="16838" w:code="9"/>
          <w:pgMar w:top="1418" w:right="1418" w:bottom="851" w:left="1418" w:header="708" w:footer="708" w:gutter="0"/>
          <w:cols w:space="708"/>
          <w:titlePg/>
          <w:docGrid w:linePitch="360"/>
        </w:sectPr>
      </w:pPr>
      <w:bookmarkStart w:id="522" w:name="_Toc464464927"/>
      <w:bookmarkStart w:id="523" w:name="_Toc464465433"/>
      <w:bookmarkStart w:id="524" w:name="_Toc464465621"/>
      <w:bookmarkStart w:id="525" w:name="_Toc464466446"/>
      <w:bookmarkStart w:id="526" w:name="_Toc464466690"/>
      <w:bookmarkStart w:id="527" w:name="_Toc464466733"/>
      <w:bookmarkStart w:id="528" w:name="_Toc464470240"/>
      <w:bookmarkStart w:id="529" w:name="_Toc464645006"/>
      <w:bookmarkStart w:id="530" w:name="_Toc464646373"/>
    </w:p>
    <w:p w:rsidR="00877FB1" w:rsidRPr="00A77E4C" w:rsidRDefault="001E0DF0" w:rsidP="007D0124">
      <w:pPr>
        <w:pStyle w:val="Heading1"/>
      </w:pPr>
      <w:bookmarkStart w:id="531" w:name="_Toc23337480"/>
      <w:r w:rsidRPr="001E0DF0">
        <w:rPr>
          <w:noProof/>
        </w:rPr>
        <mc:AlternateContent>
          <mc:Choice Requires="wps">
            <w:drawing>
              <wp:anchor distT="0" distB="0" distL="114300" distR="114300" simplePos="0" relativeHeight="251666432" behindDoc="0" locked="0" layoutInCell="1" allowOverlap="1" wp14:anchorId="0B6C00C0" wp14:editId="49657BC6">
                <wp:simplePos x="0" y="0"/>
                <wp:positionH relativeFrom="column">
                  <wp:posOffset>-898525</wp:posOffset>
                </wp:positionH>
                <wp:positionV relativeFrom="paragraph">
                  <wp:posOffset>1618463</wp:posOffset>
                </wp:positionV>
                <wp:extent cx="7560310" cy="0"/>
                <wp:effectExtent l="0" t="0" r="21590" b="19050"/>
                <wp:wrapNone/>
                <wp:docPr id="693" name="Straight Connector 693"/>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C0EEF3" id="Straight Connector 693"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70.75pt,127.45pt" to="524.55pt,1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" strokecolor="#b32c16 [3206]"/>
            </w:pict>
          </mc:Fallback>
        </mc:AlternateContent>
      </w:r>
      <w:r w:rsidRPr="001E0DF0">
        <w:rPr>
          <w:noProof/>
        </w:rPr>
        <mc:AlternateContent>
          <mc:Choice Requires="wps">
            <w:drawing>
              <wp:anchor distT="0" distB="0" distL="114300" distR="114300" simplePos="0" relativeHeight="251665408" behindDoc="1" locked="0" layoutInCell="1" allowOverlap="1" wp14:anchorId="554A3358" wp14:editId="1AA09DB3">
                <wp:simplePos x="0" y="0"/>
                <wp:positionH relativeFrom="column">
                  <wp:posOffset>-897890</wp:posOffset>
                </wp:positionH>
                <wp:positionV relativeFrom="paragraph">
                  <wp:posOffset>-897890</wp:posOffset>
                </wp:positionV>
                <wp:extent cx="7560860" cy="2520000"/>
                <wp:effectExtent l="0" t="0" r="2540" b="0"/>
                <wp:wrapNone/>
                <wp:docPr id="692" name="Rectangle 692"/>
                <wp:cNvGraphicFramePr/>
                <a:graphic xmlns:a="http://schemas.openxmlformats.org/drawingml/2006/main">
                  <a:graphicData uri="http://schemas.microsoft.com/office/word/2010/wordprocessingShape">
                    <wps:wsp>
                      <wps:cNvSpPr/>
                      <wps:spPr>
                        <a:xfrm>
                          <a:off x="0" y="0"/>
                          <a:ext cx="7560860" cy="2520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2B66AD1" id="Rectangle 692" o:spid="_x0000_s1026" style="position:absolute;margin-left:-70.7pt;margin-top:-70.7pt;width:595.35pt;height:198.45pt;z-index:-251651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" fillcolor="#f8cec7 [662]" stroked="f" strokeweight="1pt"/>
            </w:pict>
          </mc:Fallback>
        </mc:AlternateContent>
      </w:r>
      <w:r w:rsidR="00AA3035">
        <w:br/>
      </w:r>
      <w:bookmarkStart w:id="532" w:name="_Toc465205556"/>
      <w:r w:rsidR="00877FB1" w:rsidRPr="001E0DF0">
        <w:rPr>
          <w:color w:val="auto"/>
        </w:rPr>
        <w:t>Управление на средствата от европейските ф</w:t>
      </w:r>
      <w:r w:rsidR="002A37C0">
        <w:rPr>
          <w:color w:val="auto"/>
        </w:rPr>
        <w:t>ондове и програми за периода 2020-2022</w:t>
      </w:r>
      <w:r w:rsidR="00AA3035" w:rsidRPr="001E0DF0">
        <w:rPr>
          <w:color w:val="auto"/>
        </w:rPr>
        <w:t> г.</w:t>
      </w:r>
      <w:bookmarkEnd w:id="522"/>
      <w:bookmarkEnd w:id="523"/>
      <w:bookmarkEnd w:id="524"/>
      <w:bookmarkEnd w:id="525"/>
      <w:bookmarkEnd w:id="526"/>
      <w:bookmarkEnd w:id="527"/>
      <w:bookmarkEnd w:id="528"/>
      <w:bookmarkEnd w:id="529"/>
      <w:bookmarkEnd w:id="530"/>
      <w:bookmarkEnd w:id="531"/>
      <w:bookmarkEnd w:id="532"/>
    </w:p>
    <w:p w:rsidR="00216D28" w:rsidRPr="009D2915" w:rsidRDefault="00853713" w:rsidP="00DE2BDB">
      <w:pPr>
        <w:pStyle w:val="Heading2"/>
        <w:rPr>
          <w:lang w:eastAsia="en-GB"/>
        </w:rPr>
      </w:pPr>
      <w:bookmarkStart w:id="533" w:name="_Toc464224804"/>
      <w:bookmarkStart w:id="534" w:name="_Toc464225454"/>
      <w:bookmarkStart w:id="535" w:name="_Toc464459001"/>
      <w:bookmarkStart w:id="536" w:name="_Toc464459749"/>
      <w:bookmarkStart w:id="537" w:name="_Toc464460702"/>
      <w:bookmarkStart w:id="538" w:name="_Toc464463101"/>
      <w:bookmarkStart w:id="539" w:name="_Toc464464930"/>
      <w:bookmarkStart w:id="540" w:name="_Toc464465434"/>
      <w:bookmarkStart w:id="541" w:name="_Toc464465622"/>
      <w:bookmarkStart w:id="542" w:name="_Toc464466447"/>
      <w:bookmarkStart w:id="543" w:name="_Toc464466691"/>
      <w:bookmarkStart w:id="544" w:name="_Toc464645007"/>
      <w:bookmarkStart w:id="545" w:name="_Toc465205557"/>
      <w:bookmarkStart w:id="546" w:name="_Toc23337481"/>
      <w:r w:rsidRPr="009D2915">
        <w:rPr>
          <w:lang w:eastAsia="en-GB"/>
        </w:rPr>
        <w:t>НАЦИОНАЛЕН ФОНД</w:t>
      </w:r>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p>
    <w:p w:rsidR="00CE3BCC" w:rsidRPr="00CE3BCC" w:rsidRDefault="00CE3BCC" w:rsidP="00CE3BCC">
      <w:pPr>
        <w:rPr>
          <w:rFonts w:eastAsia="Batang"/>
        </w:rPr>
      </w:pPr>
      <w:r w:rsidRPr="00CE3BCC">
        <w:rPr>
          <w:rFonts w:eastAsia="Batang"/>
        </w:rPr>
        <w:t>При планиране на разходите по оперативните програми, съфинансирани от Европейския социален фонд, Европейския фонд за регионално развитие, Кохезионния фонд, Фонда за европейско подпомагане на най-нуждаещите се лица и двустранните програми за трансгранично сътрудничество по външни граници на Европейския съюз, са взети под внимание прави</w:t>
      </w:r>
      <w:r>
        <w:rPr>
          <w:rFonts w:eastAsia="Batang"/>
        </w:rPr>
        <w:t>лата за програмен период 2014-</w:t>
      </w:r>
      <w:r w:rsidRPr="00CE3BCC">
        <w:rPr>
          <w:rFonts w:eastAsia="Batang"/>
        </w:rPr>
        <w:t xml:space="preserve">2020 г., етапът на изпълнение на всяка една от програмите, особеностите на подпомаганите сектори, както и характерът и сроковете за реализация на отделните проекти. </w:t>
      </w:r>
    </w:p>
    <w:p w:rsidR="00CE3BCC" w:rsidRPr="00CE3BCC" w:rsidRDefault="00CE3BCC" w:rsidP="00CE3BCC">
      <w:pPr>
        <w:rPr>
          <w:rFonts w:eastAsia="Batang"/>
        </w:rPr>
      </w:pPr>
      <w:r w:rsidRPr="00CE3BCC">
        <w:rPr>
          <w:rFonts w:eastAsia="Batang"/>
        </w:rPr>
        <w:t xml:space="preserve">Оперативните програми, съфинансирани от </w:t>
      </w:r>
      <w:r w:rsidRPr="00826D34">
        <w:rPr>
          <w:rFonts w:eastAsia="Batang"/>
          <w:b/>
        </w:rPr>
        <w:t>Европейския фонд за регионално развитие и Кохезионния фонд</w:t>
      </w:r>
      <w:r w:rsidRPr="00CE3BCC">
        <w:rPr>
          <w:rFonts w:eastAsia="Batang"/>
        </w:rPr>
        <w:t xml:space="preserve">, са насочени към изграждане на балансирана и устойчива транспортна система чрез развитие и модернизация на ключовата транспортна инфраструктура за връзки от национално, трансгранично и европейско значение, развитие на динамична икономика, конкурентоспособна на европейския и световен пазар, развитие на екологичната инфраструктура и подобряване, опазване и възстановяване на природната среда и биоразнообразието, икономическо сближаване в европейски, национален и вътрешнорегионален план, социално сближаване и намаляване на регионалните диспропорции в социалната сфера, като обхващат проекти с голям мащаб, реализируеми поетапно във времето с ангажиране на значителен финансов ресурс за тяхното изпълнението. </w:t>
      </w:r>
    </w:p>
    <w:p w:rsidR="00CE3BCC" w:rsidRPr="00CE3BCC" w:rsidRDefault="00CE3BCC" w:rsidP="00CE3BCC">
      <w:pPr>
        <w:rPr>
          <w:rFonts w:eastAsia="Batang"/>
        </w:rPr>
      </w:pPr>
      <w:r w:rsidRPr="00CE3BCC">
        <w:rPr>
          <w:rFonts w:eastAsia="Batang"/>
        </w:rPr>
        <w:t xml:space="preserve">През планирания период се очаква да се реализират основната част от следните големи проекти по </w:t>
      </w:r>
      <w:r w:rsidRPr="00CE3BCC">
        <w:rPr>
          <w:rFonts w:eastAsia="Batang"/>
          <w:b/>
        </w:rPr>
        <w:t>ОП „Транспор</w:t>
      </w:r>
      <w:r>
        <w:rPr>
          <w:rFonts w:eastAsia="Batang"/>
          <w:b/>
        </w:rPr>
        <w:t>т и транспортна инфраструктура</w:t>
      </w:r>
      <w:r w:rsidR="00B73551">
        <w:rPr>
          <w:rFonts w:eastAsia="Batang"/>
          <w:b/>
        </w:rPr>
        <w:t>“</w:t>
      </w:r>
      <w:r w:rsidRPr="00CE3BCC">
        <w:rPr>
          <w:rFonts w:eastAsia="Batang"/>
          <w:b/>
        </w:rPr>
        <w:t xml:space="preserve"> 2014-2020 г.</w:t>
      </w:r>
      <w:r w:rsidRPr="00CE3BCC">
        <w:rPr>
          <w:rFonts w:eastAsia="Batang"/>
        </w:rPr>
        <w:t>: АМ „Струма“ - Лот 3 „Благоевград</w:t>
      </w:r>
      <w:r w:rsidR="005230C2">
        <w:rPr>
          <w:rFonts w:eastAsia="Batang"/>
        </w:rPr>
        <w:t xml:space="preserve"> </w:t>
      </w:r>
      <w:r w:rsidRPr="00CE3BCC">
        <w:rPr>
          <w:rFonts w:eastAsia="Batang"/>
        </w:rPr>
        <w:t>-</w:t>
      </w:r>
      <w:r w:rsidR="005230C2">
        <w:rPr>
          <w:rFonts w:eastAsia="Batang"/>
        </w:rPr>
        <w:t xml:space="preserve"> </w:t>
      </w:r>
      <w:r w:rsidRPr="00CE3BCC">
        <w:rPr>
          <w:rFonts w:eastAsia="Batang"/>
        </w:rPr>
        <w:t>Сандански</w:t>
      </w:r>
      <w:r w:rsidR="00B73551">
        <w:rPr>
          <w:rFonts w:eastAsia="Batang"/>
        </w:rPr>
        <w:t>“</w:t>
      </w:r>
      <w:r w:rsidRPr="00CE3BCC">
        <w:rPr>
          <w:rFonts w:eastAsia="Batang"/>
        </w:rPr>
        <w:t>, „Рехабилитация на железопътната линия Пловдив</w:t>
      </w:r>
      <w:r>
        <w:rPr>
          <w:rFonts w:eastAsia="Batang"/>
        </w:rPr>
        <w:t xml:space="preserve"> </w:t>
      </w:r>
      <w:r w:rsidRPr="00CE3BCC">
        <w:rPr>
          <w:rFonts w:eastAsia="Batang"/>
        </w:rPr>
        <w:t>-</w:t>
      </w:r>
      <w:r>
        <w:rPr>
          <w:rFonts w:eastAsia="Batang"/>
        </w:rPr>
        <w:t xml:space="preserve"> </w:t>
      </w:r>
      <w:r w:rsidRPr="00CE3BCC">
        <w:rPr>
          <w:rFonts w:eastAsia="Batang"/>
        </w:rPr>
        <w:t>Бургас - Фаза 2“ и „Модернизация на железопътната линия София</w:t>
      </w:r>
      <w:r>
        <w:rPr>
          <w:rFonts w:eastAsia="Batang"/>
        </w:rPr>
        <w:t xml:space="preserve"> </w:t>
      </w:r>
      <w:r w:rsidRPr="00CE3BCC">
        <w:rPr>
          <w:rFonts w:eastAsia="Batang"/>
        </w:rPr>
        <w:t>-</w:t>
      </w:r>
      <w:r>
        <w:rPr>
          <w:rFonts w:eastAsia="Batang"/>
        </w:rPr>
        <w:t xml:space="preserve"> </w:t>
      </w:r>
      <w:r w:rsidRPr="00CE3BCC">
        <w:rPr>
          <w:rFonts w:eastAsia="Batang"/>
        </w:rPr>
        <w:t>Септември, участък Елин Пелин</w:t>
      </w:r>
      <w:r>
        <w:rPr>
          <w:rFonts w:eastAsia="Batang"/>
        </w:rPr>
        <w:t xml:space="preserve"> </w:t>
      </w:r>
      <w:r w:rsidRPr="00CE3BCC">
        <w:rPr>
          <w:rFonts w:eastAsia="Batang"/>
        </w:rPr>
        <w:t>-</w:t>
      </w:r>
      <w:r>
        <w:rPr>
          <w:rFonts w:eastAsia="Batang"/>
        </w:rPr>
        <w:t xml:space="preserve"> </w:t>
      </w:r>
      <w:r w:rsidRPr="00CE3BCC">
        <w:rPr>
          <w:rFonts w:eastAsia="Batang"/>
        </w:rPr>
        <w:t>Костенец“.</w:t>
      </w:r>
    </w:p>
    <w:p w:rsidR="00CE3BCC" w:rsidRPr="00CE3BCC" w:rsidRDefault="00CE3BCC" w:rsidP="00CE3BCC">
      <w:pPr>
        <w:rPr>
          <w:rFonts w:eastAsia="Batang"/>
        </w:rPr>
      </w:pPr>
      <w:r w:rsidRPr="00CE3BCC">
        <w:rPr>
          <w:rFonts w:eastAsia="Batang"/>
        </w:rPr>
        <w:t xml:space="preserve">По-значимите проекти по </w:t>
      </w:r>
      <w:r w:rsidRPr="005230C2">
        <w:rPr>
          <w:rFonts w:eastAsia="Batang"/>
          <w:b/>
        </w:rPr>
        <w:t>ОП „Околна среда“ 2014-2020 г.</w:t>
      </w:r>
      <w:r w:rsidRPr="00CE3BCC">
        <w:rPr>
          <w:rFonts w:eastAsia="Batang"/>
        </w:rPr>
        <w:t>, които ще бъдат реализирани в посочения период, са следните: „Интегриран воден цикъл Плевен - Долна Митрополия</w:t>
      </w:r>
      <w:r w:rsidR="00B73551">
        <w:rPr>
          <w:rFonts w:eastAsia="Batang"/>
        </w:rPr>
        <w:t>“</w:t>
      </w:r>
      <w:r w:rsidRPr="00CE3BCC">
        <w:rPr>
          <w:rFonts w:eastAsia="Batang"/>
        </w:rPr>
        <w:t xml:space="preserve">, „Интегриран проект за подобряване на водния сектор в град Добрич - фаза 1“, „Проектиране и изграждане на инсталация за комбинирано производство на енергия в </w:t>
      </w:r>
      <w:r w:rsidR="001D121B">
        <w:rPr>
          <w:rFonts w:eastAsia="Batang"/>
        </w:rPr>
        <w:t>София с оползотворяване на RDF -</w:t>
      </w:r>
      <w:r w:rsidRPr="00CE3BCC">
        <w:rPr>
          <w:rFonts w:eastAsia="Batang"/>
        </w:rPr>
        <w:t xml:space="preserve"> трета фаза на интегрирана система от съоръжения за третиране на битовите отпадъци на Столична община</w:t>
      </w:r>
      <w:r w:rsidR="00B73551">
        <w:rPr>
          <w:rFonts w:eastAsia="Batang"/>
        </w:rPr>
        <w:t>“</w:t>
      </w:r>
      <w:r w:rsidRPr="00CE3BCC">
        <w:rPr>
          <w:rFonts w:eastAsia="Batang"/>
        </w:rPr>
        <w:t xml:space="preserve"> и „Изграждане на ВиК инфраструктура“ с конкретни бенефициенти 14 ВиК оператори.</w:t>
      </w:r>
    </w:p>
    <w:p w:rsidR="00CE3BCC" w:rsidRPr="00CE3BCC" w:rsidRDefault="00CE3BCC" w:rsidP="00CE3BCC">
      <w:pPr>
        <w:rPr>
          <w:rFonts w:eastAsia="Batang"/>
        </w:rPr>
      </w:pPr>
      <w:r w:rsidRPr="005230C2">
        <w:rPr>
          <w:rFonts w:eastAsia="Batang"/>
          <w:b/>
        </w:rPr>
        <w:t>Оперативна програма „Региони в растеж</w:t>
      </w:r>
      <w:r w:rsidR="00B73551">
        <w:rPr>
          <w:rFonts w:eastAsia="Batang"/>
          <w:b/>
        </w:rPr>
        <w:t>“</w:t>
      </w:r>
      <w:r w:rsidRPr="00CE3BCC">
        <w:rPr>
          <w:rFonts w:eastAsia="Batang"/>
        </w:rPr>
        <w:t xml:space="preserve"> също се характеризира със сериозен размер на разходи за инфраструктура. Най-големите проекти, които ще бъдат реализирани със средства от програмата, са „Изпълнение на интегрирани планове за градско възстановяване и развитие 2014-2020 г.“, Инвестиционен приоритет „Интегриран градски транспорт“ и Проект за подобрен достъп до спешна медицинска помощ по приоритетна ос 4 „Регионална здравна инфраструктура“ с бенефициент Министерството на здравеопазването.</w:t>
      </w:r>
    </w:p>
    <w:p w:rsidR="00CE3BCC" w:rsidRPr="00CE3BCC" w:rsidRDefault="00CE3BCC" w:rsidP="00CE3BCC">
      <w:pPr>
        <w:rPr>
          <w:rFonts w:eastAsia="Batang"/>
        </w:rPr>
      </w:pPr>
      <w:r w:rsidRPr="00CE3BCC">
        <w:rPr>
          <w:rFonts w:eastAsia="Batang"/>
        </w:rPr>
        <w:t xml:space="preserve">Оперативната програма с най-голяма насоченост към бизнеса е </w:t>
      </w:r>
      <w:r w:rsidRPr="005230C2">
        <w:rPr>
          <w:rFonts w:eastAsia="Batang"/>
          <w:b/>
        </w:rPr>
        <w:t>„Иновации и конкурентоспособност“ 2014-2020 г.</w:t>
      </w:r>
      <w:r w:rsidRPr="00CE3BCC">
        <w:rPr>
          <w:rFonts w:eastAsia="Batang"/>
        </w:rPr>
        <w:t xml:space="preserve"> Дейностите по тази оперативна програма са свързани със стимулиране на икономика с високи равнища на заетост, засилване на дългосрочната конкурентоспособност на българските предприятия, подкрепа на иновациите, подобряване на бизнес средата и др. По-значимите проекти, които ще се реализират през периода, са: Надграждане и развитие на научно-технологичен парк „София Тех Парк“, Фаза 2 на проект „Техническа помощ за завършване на подготвителните дейности, необходими за стартиране на строителството на междус</w:t>
      </w:r>
      <w:r w:rsidR="005230C2">
        <w:rPr>
          <w:rFonts w:eastAsia="Batang"/>
        </w:rPr>
        <w:t>истемна газова връзка България -</w:t>
      </w:r>
      <w:r w:rsidRPr="00CE3BCC">
        <w:rPr>
          <w:rFonts w:eastAsia="Batang"/>
        </w:rPr>
        <w:t xml:space="preserve"> Сърбия“ и „Изграждане на межд</w:t>
      </w:r>
      <w:r w:rsidR="005230C2">
        <w:rPr>
          <w:rFonts w:eastAsia="Batang"/>
        </w:rPr>
        <w:t>усистемна газова връзка Гърция -</w:t>
      </w:r>
      <w:r w:rsidRPr="00CE3BCC">
        <w:rPr>
          <w:rFonts w:eastAsia="Batang"/>
        </w:rPr>
        <w:t xml:space="preserve"> България“.</w:t>
      </w:r>
    </w:p>
    <w:p w:rsidR="00CE3BCC" w:rsidRPr="00CE3BCC" w:rsidRDefault="00BD4848" w:rsidP="00CE3BCC">
      <w:pPr>
        <w:rPr>
          <w:rFonts w:eastAsia="Batang"/>
        </w:rPr>
      </w:pPr>
      <w:r>
        <w:rPr>
          <w:rFonts w:eastAsia="Batang"/>
        </w:rPr>
        <w:t>П</w:t>
      </w:r>
      <w:r w:rsidR="00CE3BCC" w:rsidRPr="00CE3BCC">
        <w:rPr>
          <w:rFonts w:eastAsia="Batang"/>
        </w:rPr>
        <w:t>рограмите, съфинансирани от Европейския социален фонд (</w:t>
      </w:r>
      <w:r w:rsidR="00CE3BCC" w:rsidRPr="00BD4848">
        <w:rPr>
          <w:rFonts w:eastAsia="Batang"/>
          <w:b/>
        </w:rPr>
        <w:t>ОП „Развитие на човешките ресурси“ 2014-2020 г., ОП „Наука и образование за интелигентен растеж“ и ОП „Добро управление“</w:t>
      </w:r>
      <w:r w:rsidR="00CE3BCC" w:rsidRPr="00CE3BCC">
        <w:rPr>
          <w:rFonts w:eastAsia="Batang"/>
        </w:rPr>
        <w:t xml:space="preserve">) и </w:t>
      </w:r>
      <w:r w:rsidR="00B73551">
        <w:rPr>
          <w:rFonts w:eastAsia="Batang"/>
        </w:rPr>
        <w:t xml:space="preserve">от </w:t>
      </w:r>
      <w:r w:rsidR="00CE3BCC" w:rsidRPr="00CE3BCC">
        <w:rPr>
          <w:rFonts w:eastAsia="Batang"/>
        </w:rPr>
        <w:t>Фонда за европейско подпом</w:t>
      </w:r>
      <w:r w:rsidR="00450237">
        <w:rPr>
          <w:rFonts w:eastAsia="Batang"/>
        </w:rPr>
        <w:t>агане на най-нуждаещите се лица</w:t>
      </w:r>
      <w:r w:rsidR="0072230E">
        <w:rPr>
          <w:rFonts w:eastAsia="Batang"/>
        </w:rPr>
        <w:t>,</w:t>
      </w:r>
      <w:r w:rsidR="00CE3BCC" w:rsidRPr="00CE3BCC">
        <w:rPr>
          <w:rFonts w:eastAsia="Batang"/>
        </w:rPr>
        <w:t xml:space="preserve"> са насочени към насърчаване на по-висока и по-качествена заетост, </w:t>
      </w:r>
      <w:r>
        <w:rPr>
          <w:rFonts w:eastAsia="Batang"/>
        </w:rPr>
        <w:t xml:space="preserve">намаляване на </w:t>
      </w:r>
      <w:r w:rsidR="00CE3BCC" w:rsidRPr="00CE3BCC">
        <w:rPr>
          <w:rFonts w:eastAsia="Batang"/>
        </w:rPr>
        <w:t>безработицата сред уязвимите групи на пазара на труда, най-вече младежите и продължително безработните, намаляване на бедността и насърчаване на социалното включване, осигуряване на достъп до качествено образование и изграждане на научен, изследователски и иновационен потенциал в Република България и не на последно място – укрепване на институционалната среда за по-висока ефективност на публичните услуги за гражданите и бизнеса. Поради спецификата на изпълняваните мерки при такъв тип проекти, те се характеризират със сравнително по-бързото реализиране и съответно равномерен темп на усвояване на средствата и големия брой бенефициенти, към които са насочени.</w:t>
      </w:r>
    </w:p>
    <w:p w:rsidR="00CE3BCC" w:rsidRPr="00CE3BCC" w:rsidRDefault="00CE3BCC" w:rsidP="00CE3BCC">
      <w:pPr>
        <w:rPr>
          <w:rFonts w:eastAsia="Batang"/>
        </w:rPr>
      </w:pPr>
      <w:r w:rsidRPr="00BD4848">
        <w:rPr>
          <w:rFonts w:eastAsia="Batang"/>
          <w:b/>
        </w:rPr>
        <w:t>Двустранните програми за трансгранично сътрудничество (ТГС)</w:t>
      </w:r>
      <w:r w:rsidRPr="00CE3BCC">
        <w:rPr>
          <w:rFonts w:eastAsia="Batang"/>
        </w:rPr>
        <w:t xml:space="preserve"> по Инструмента за предприсъединителна помощ (ИПП II) на Европейския съюз имат за цел преодоляването на общи предизвикателства, установени съвместно в граничните региони, като същевременно се засилва процесът на сътрудничество за целите на разширяването и цялостното хармонично развитие на Европейския съюз. Основните приоритети по тези програми са в областта на опазването на природата, устойчивото развитие на туризма и засилване</w:t>
      </w:r>
      <w:r w:rsidR="00450237">
        <w:rPr>
          <w:rFonts w:eastAsia="Batang"/>
        </w:rPr>
        <w:t>то</w:t>
      </w:r>
      <w:r w:rsidRPr="00CE3BCC">
        <w:rPr>
          <w:rFonts w:eastAsia="Batang"/>
        </w:rPr>
        <w:t xml:space="preserve"> на икономическото сътрудничество между хората и институциите в граничните региони. Очакванията са, че през 2020 г. те ще са навлезли в етапа на същинското си изпълнение с последващо увеличаване на разходите през следващите две години от прогнозния период. </w:t>
      </w:r>
    </w:p>
    <w:p w:rsidR="00CE3BCC" w:rsidRPr="00CE3BCC" w:rsidRDefault="00CE3BCC" w:rsidP="00CE3BCC">
      <w:pPr>
        <w:rPr>
          <w:rFonts w:eastAsia="Batang"/>
        </w:rPr>
      </w:pPr>
      <w:r w:rsidRPr="00CE3BCC">
        <w:rPr>
          <w:rFonts w:eastAsia="Batang"/>
        </w:rPr>
        <w:t xml:space="preserve">По отношение на приходната част са взети предвид спецификите в подхода за предоставяне на средства </w:t>
      </w:r>
      <w:r w:rsidR="00BD4848">
        <w:rPr>
          <w:rFonts w:eastAsia="Batang"/>
        </w:rPr>
        <w:t>от страна на ЕК, а именно начинът</w:t>
      </w:r>
      <w:r w:rsidRPr="00CE3BCC">
        <w:rPr>
          <w:rFonts w:eastAsia="Batang"/>
        </w:rPr>
        <w:t xml:space="preserve"> и сроковете на предоставяне на предварителното финансиране, както и въведеното годишно уравняване на сметки, което оказва влияние на стойността на приходите през всички години от прогнозния период. </w:t>
      </w:r>
    </w:p>
    <w:p w:rsidR="00CE3BCC" w:rsidRPr="00CE3BCC" w:rsidRDefault="00CE3BCC" w:rsidP="00CE3BCC">
      <w:pPr>
        <w:rPr>
          <w:rFonts w:eastAsia="Batang"/>
        </w:rPr>
      </w:pPr>
      <w:r w:rsidRPr="00CE3BCC">
        <w:rPr>
          <w:rFonts w:eastAsia="Batang"/>
        </w:rPr>
        <w:t>Съгласно разпоредбите на Регламент (ЕС) № 1303/2013 на Европейския парламент и на Съвета</w:t>
      </w:r>
      <w:r w:rsidR="00BD4848">
        <w:rPr>
          <w:rFonts w:eastAsia="Batang"/>
        </w:rPr>
        <w:t>,</w:t>
      </w:r>
      <w:r w:rsidRPr="00CE3BCC">
        <w:rPr>
          <w:rFonts w:eastAsia="Batang"/>
        </w:rPr>
        <w:t xml:space="preserve"> ЕК превежда на държавите членки годишно предварително финансиране, като от 2020 г. до 2022 г. то ще е в размер на 3% от европейската компонента в бюджетите на оперативните програми. </w:t>
      </w:r>
    </w:p>
    <w:p w:rsidR="00CE3BCC" w:rsidRPr="00CE3BCC" w:rsidRDefault="00CE3BCC" w:rsidP="00CE3BCC">
      <w:pPr>
        <w:rPr>
          <w:rFonts w:eastAsia="Batang"/>
        </w:rPr>
      </w:pPr>
      <w:r w:rsidRPr="00CE3BCC">
        <w:rPr>
          <w:rFonts w:eastAsia="Batang"/>
        </w:rPr>
        <w:t>Също така са отчетени спецификите и сроковете за годишното уравняване на смет</w:t>
      </w:r>
      <w:r w:rsidR="00BD4848">
        <w:rPr>
          <w:rFonts w:eastAsia="Batang"/>
        </w:rPr>
        <w:t>ките с Европейската комисия</w:t>
      </w:r>
      <w:r w:rsidRPr="00CE3BCC">
        <w:rPr>
          <w:rFonts w:eastAsia="Batang"/>
        </w:rPr>
        <w:t xml:space="preserve"> на база представените от държавите членки годишни счетоводни отчети. В тези отчети се включва информация за изминалата счетоводна година, която обхваща периода от 1 юли на година „n – 1” до 30 юни на година „n“. Съгласно това правило ЕК възстановява текущо 90% от допустимите разходи, вклю</w:t>
      </w:r>
      <w:r w:rsidR="00BD4848">
        <w:rPr>
          <w:rFonts w:eastAsia="Batang"/>
        </w:rPr>
        <w:t xml:space="preserve">чени в изпратените от държавите </w:t>
      </w:r>
      <w:r w:rsidRPr="00CE3BCC">
        <w:rPr>
          <w:rFonts w:eastAsia="Batang"/>
        </w:rPr>
        <w:t>членки заявления за плащания, а останалата за възстановяване част се изчислява след приспадане на полученото годишно предварително ф</w:t>
      </w:r>
      <w:r w:rsidR="00BD4848">
        <w:rPr>
          <w:rFonts w:eastAsia="Batang"/>
        </w:rPr>
        <w:t>инансиране и вече получените 90</w:t>
      </w:r>
      <w:r w:rsidRPr="00CE3BCC">
        <w:rPr>
          <w:rFonts w:eastAsia="Batang"/>
        </w:rPr>
        <w:t>%. При годишното уравняване на сметките се взимат под внимание следните компоненти: общият размер на допустимите разходи, включени в исканията за плащане, изпратени към ЕК; отписаните и възстановените суми; сумите, подлежащи на възстановяване към края на счетоводната година; неподлежащите на събиране суми, както и полученото годишно предварително финансиране. На база на изчисленията Комисията уравнява съответното годишно предварително финансиране и изплаща всяка допълнителна дължима сума в срок от 30 дни от приемането на годишните счетоводни отчети.</w:t>
      </w:r>
    </w:p>
    <w:p w:rsidR="00CE3BCC" w:rsidRDefault="00CE3BCC" w:rsidP="00A070CC">
      <w:pPr>
        <w:rPr>
          <w:rFonts w:eastAsia="Batang"/>
          <w:highlight w:val="yellow"/>
        </w:rPr>
      </w:pPr>
      <w:r w:rsidRPr="00CE3BCC">
        <w:rPr>
          <w:rFonts w:eastAsia="Batang"/>
        </w:rPr>
        <w:t>Изключително важно е да се отбележи, че всяко забавяне на темповете на извършване на разходи по програмите, съфинансирани със средства от ЕС, спрямо разчетените данни, би довело до намаляване размера на разходите, които се сертифицират към ЕК, което от своя страна ще се отрази в намаление на постъпленията към Република България през съответните години.</w:t>
      </w:r>
    </w:p>
    <w:p w:rsidR="00046707" w:rsidRPr="009D2915" w:rsidRDefault="00046707" w:rsidP="00517D0A">
      <w:pPr>
        <w:pStyle w:val="Heading3"/>
        <w:ind w:left="0"/>
      </w:pPr>
      <w:bookmarkStart w:id="547" w:name="_Toc465070508"/>
      <w:bookmarkStart w:id="548" w:name="_Toc465205558"/>
      <w:r w:rsidRPr="009D2915">
        <w:t>Р</w:t>
      </w:r>
      <w:r w:rsidR="000F5D1E" w:rsidRPr="009D2915">
        <w:t>АЗХОДНА ЧАСТ</w:t>
      </w:r>
      <w:bookmarkEnd w:id="547"/>
      <w:bookmarkEnd w:id="548"/>
    </w:p>
    <w:p w:rsidR="002F3508" w:rsidRPr="002F3508" w:rsidRDefault="002F3508" w:rsidP="002F3508">
      <w:pPr>
        <w:rPr>
          <w:rFonts w:eastAsia="Batang"/>
        </w:rPr>
      </w:pPr>
      <w:r w:rsidRPr="002F3508">
        <w:rPr>
          <w:rFonts w:eastAsia="Batang"/>
        </w:rPr>
        <w:t>При планирането на разходите по Оперативните програми, съфинансирани от Европейския социален фонд, Европейския фонд за регионално развитие, Кохезионния фонд, Фонда за европейско подпомагане на най-нуждаещите се лица и двустранните програми за трансгранично сътрудничество по външни граници на Евр</w:t>
      </w:r>
      <w:r w:rsidR="00E24986">
        <w:rPr>
          <w:rFonts w:eastAsia="Batang"/>
        </w:rPr>
        <w:t>опейския съюз за периода 2014-</w:t>
      </w:r>
      <w:r w:rsidRPr="002F3508">
        <w:rPr>
          <w:rFonts w:eastAsia="Batang"/>
        </w:rPr>
        <w:t xml:space="preserve">2020 г., са взети под внимание: </w:t>
      </w:r>
    </w:p>
    <w:p w:rsidR="002F3508" w:rsidRPr="002F3508" w:rsidRDefault="002F3508" w:rsidP="002F3508">
      <w:pPr>
        <w:pStyle w:val="ListParagraph"/>
        <w:ind w:left="851" w:hanging="284"/>
        <w:rPr>
          <w:rFonts w:eastAsia="Times New Roman"/>
        </w:rPr>
      </w:pPr>
      <w:r w:rsidRPr="002F3508">
        <w:rPr>
          <w:rFonts w:eastAsia="Times New Roman"/>
        </w:rPr>
        <w:t xml:space="preserve">етапът на изпълнение </w:t>
      </w:r>
      <w:r w:rsidR="00E24986">
        <w:rPr>
          <w:rFonts w:eastAsia="Times New Roman"/>
        </w:rPr>
        <w:t xml:space="preserve">на </w:t>
      </w:r>
      <w:r w:rsidRPr="002F3508">
        <w:rPr>
          <w:rFonts w:eastAsia="Times New Roman"/>
        </w:rPr>
        <w:t xml:space="preserve">оперативните програми; </w:t>
      </w:r>
    </w:p>
    <w:p w:rsidR="002F3508" w:rsidRPr="002F3508" w:rsidRDefault="002F3508" w:rsidP="002F3508">
      <w:pPr>
        <w:pStyle w:val="ListParagraph"/>
        <w:ind w:left="851" w:hanging="284"/>
        <w:rPr>
          <w:rFonts w:eastAsia="Times New Roman"/>
        </w:rPr>
      </w:pPr>
      <w:r w:rsidRPr="002F3508">
        <w:rPr>
          <w:rFonts w:eastAsia="Times New Roman"/>
        </w:rPr>
        <w:t xml:space="preserve">постигнатите резултати по оперативните програми до края на първото полугодие на 2019 г.; </w:t>
      </w:r>
    </w:p>
    <w:p w:rsidR="002F3508" w:rsidRPr="002F3508" w:rsidRDefault="002F3508" w:rsidP="002F3508">
      <w:pPr>
        <w:pStyle w:val="ListParagraph"/>
        <w:ind w:left="851" w:hanging="284"/>
        <w:rPr>
          <w:rFonts w:eastAsia="Times New Roman"/>
        </w:rPr>
      </w:pPr>
      <w:r w:rsidRPr="002F3508">
        <w:rPr>
          <w:rFonts w:eastAsia="Times New Roman"/>
        </w:rPr>
        <w:t xml:space="preserve">прогнозите на Управляващите органи за периода 2020-2022 г.;  </w:t>
      </w:r>
    </w:p>
    <w:p w:rsidR="002F3508" w:rsidRPr="002F3508" w:rsidRDefault="002F3508" w:rsidP="002F3508">
      <w:pPr>
        <w:pStyle w:val="ListParagraph"/>
        <w:ind w:left="851" w:hanging="284"/>
        <w:rPr>
          <w:rFonts w:eastAsia="Times New Roman"/>
        </w:rPr>
      </w:pPr>
      <w:r w:rsidRPr="002F3508">
        <w:rPr>
          <w:rFonts w:eastAsia="Times New Roman"/>
        </w:rPr>
        <w:t>изпълнението на прогнозите на Управляващите органи за минали години;</w:t>
      </w:r>
    </w:p>
    <w:p w:rsidR="002F3508" w:rsidRPr="002F3508" w:rsidRDefault="002F3508" w:rsidP="002F3508">
      <w:pPr>
        <w:pStyle w:val="ListParagraph"/>
        <w:ind w:left="851" w:hanging="284"/>
        <w:rPr>
          <w:rFonts w:eastAsia="Times New Roman"/>
        </w:rPr>
      </w:pPr>
      <w:r w:rsidRPr="002F3508">
        <w:rPr>
          <w:rFonts w:eastAsia="Times New Roman"/>
        </w:rPr>
        <w:t xml:space="preserve">спецификите на отделните оперативни програми от гледна точка на икономическата област, към която са насочени; </w:t>
      </w:r>
    </w:p>
    <w:p w:rsidR="002F3508" w:rsidRPr="002F3508" w:rsidRDefault="002F3508" w:rsidP="002F3508">
      <w:pPr>
        <w:pStyle w:val="ListParagraph"/>
        <w:ind w:left="851" w:hanging="284"/>
        <w:rPr>
          <w:rFonts w:eastAsia="Times New Roman"/>
        </w:rPr>
      </w:pPr>
      <w:r w:rsidRPr="002F3508">
        <w:rPr>
          <w:rFonts w:eastAsia="Times New Roman"/>
        </w:rPr>
        <w:t>договорените до момента средства по отделните оперативни програми;</w:t>
      </w:r>
    </w:p>
    <w:p w:rsidR="002F3508" w:rsidRPr="002F3508" w:rsidRDefault="002F3508" w:rsidP="002F3508">
      <w:pPr>
        <w:pStyle w:val="ListParagraph"/>
        <w:ind w:left="851" w:hanging="284"/>
        <w:rPr>
          <w:rFonts w:eastAsia="Times New Roman"/>
        </w:rPr>
      </w:pPr>
      <w:r w:rsidRPr="002F3508">
        <w:rPr>
          <w:rFonts w:eastAsia="Times New Roman"/>
        </w:rPr>
        <w:t xml:space="preserve">плавното адаптиране на системите за управление и контрол към национална нормативната уредба. </w:t>
      </w:r>
    </w:p>
    <w:p w:rsidR="002F3508" w:rsidRPr="002F3508" w:rsidRDefault="002F3508" w:rsidP="002F3508">
      <w:pPr>
        <w:rPr>
          <w:rFonts w:eastAsia="Batang"/>
        </w:rPr>
      </w:pPr>
      <w:r w:rsidRPr="002F3508">
        <w:rPr>
          <w:rFonts w:eastAsia="Batang"/>
        </w:rPr>
        <w:t xml:space="preserve">Прогнозите са съобразени и с факта, че в края на 2019 г. почти пред всички оперативни програми стои предизвикателството за достигане на праговете съгласно условието за автоматично освобождаване от ангажимент (т.нар. правило N+3). </w:t>
      </w:r>
    </w:p>
    <w:p w:rsidR="002F3508" w:rsidRPr="002F3508" w:rsidRDefault="002F3508" w:rsidP="002F3508">
      <w:pPr>
        <w:rPr>
          <w:rFonts w:eastAsia="Batang"/>
        </w:rPr>
      </w:pPr>
      <w:r w:rsidRPr="002F3508">
        <w:rPr>
          <w:rFonts w:eastAsia="Batang"/>
        </w:rPr>
        <w:t>Отчетена е и необходимостта от текущо осигуряване на национални средства за извършване на плащания във връзка с въведените правила за възстановяване от 90% от сертифицираните разходи преди годишното уравняване на сметките с ЕК на база представени</w:t>
      </w:r>
      <w:r w:rsidR="00E24986">
        <w:rPr>
          <w:rFonts w:eastAsia="Batang"/>
        </w:rPr>
        <w:t xml:space="preserve">те от държавите </w:t>
      </w:r>
      <w:r w:rsidRPr="002F3508">
        <w:rPr>
          <w:rFonts w:eastAsia="Batang"/>
        </w:rPr>
        <w:t>членки годишни счетоводни отчети.</w:t>
      </w:r>
    </w:p>
    <w:p w:rsidR="002F3508" w:rsidRPr="002F3508" w:rsidRDefault="002F3508" w:rsidP="002F3508">
      <w:pPr>
        <w:rPr>
          <w:rFonts w:eastAsia="Batang"/>
        </w:rPr>
      </w:pPr>
      <w:r w:rsidRPr="002F3508">
        <w:rPr>
          <w:rFonts w:eastAsia="Batang"/>
        </w:rPr>
        <w:t xml:space="preserve">Въпреки началния етап от разработването на новите оперативни програми, които ще бъдат съфинансирани от </w:t>
      </w:r>
      <w:r w:rsidR="00E031A7" w:rsidRPr="002F3508">
        <w:rPr>
          <w:rFonts w:eastAsia="Batang"/>
        </w:rPr>
        <w:t xml:space="preserve">Кохезионния </w:t>
      </w:r>
      <w:r w:rsidR="00E031A7">
        <w:rPr>
          <w:rFonts w:eastAsia="Batang"/>
        </w:rPr>
        <w:t xml:space="preserve">и </w:t>
      </w:r>
      <w:r w:rsidRPr="002F3508">
        <w:rPr>
          <w:rFonts w:eastAsia="Batang"/>
        </w:rPr>
        <w:t>Структурните фондове на Европейския съюз през програмен период 2021-2027 г., в разчетите за разходите са предвидени средства за стартиране на разплащания по тях.</w:t>
      </w:r>
    </w:p>
    <w:p w:rsidR="002F3508" w:rsidRDefault="002F3508" w:rsidP="002F3508">
      <w:pPr>
        <w:rPr>
          <w:rFonts w:eastAsia="Batang"/>
          <w:highlight w:val="yellow"/>
        </w:rPr>
      </w:pPr>
      <w:r w:rsidRPr="002F3508">
        <w:rPr>
          <w:rFonts w:eastAsia="Batang"/>
        </w:rPr>
        <w:t>По отношение на разходите по програмите, съфинансирани от Финансовия механизъм на Европейското икономическо пространство (ЕИП) и Норвежкия финансов механизъм (НФМ), прогнозите са индикативни и обхващат разходи във връзка с планиране и провеждане на мероприятия, предхождащи обявяването на поканите за програмен период 2014-2021 г. разходи, свързани с дейностите на отделните органи и програмни оператори за подготовка и управление на програмите, както и плащания към бенефициенти по вече сключени  договори.</w:t>
      </w:r>
    </w:p>
    <w:p w:rsidR="00BD753D" w:rsidRDefault="005D7434" w:rsidP="00695928">
      <w:pPr>
        <w:pStyle w:val="Caption"/>
      </w:pPr>
      <w:bookmarkStart w:id="549" w:name="_Toc464829366"/>
      <w:bookmarkStart w:id="550" w:name="_Toc464737647"/>
      <w:r>
        <w:t xml:space="preserve">Граф. </w:t>
      </w:r>
      <w:fldSimple w:instr=" STYLEREF 1 \s ">
        <w:r w:rsidR="0034195B">
          <w:rPr>
            <w:noProof/>
          </w:rPr>
          <w:t>V</w:t>
        </w:r>
      </w:fldSimple>
      <w:r>
        <w:noBreakHyphen/>
      </w:r>
      <w:fldSimple w:instr=" SEQ Граф. \* ARABIC \s 1 ">
        <w:r w:rsidR="0034195B">
          <w:rPr>
            <w:noProof/>
          </w:rPr>
          <w:t>1</w:t>
        </w:r>
      </w:fldSimple>
      <w:r w:rsidR="00A77E4C" w:rsidRPr="00A77E4C">
        <w:t>:</w:t>
      </w:r>
      <w:r w:rsidR="00A77E4C" w:rsidRPr="00A77E4C">
        <w:tab/>
      </w:r>
      <w:r w:rsidR="00BD753D" w:rsidRPr="00742A96">
        <w:t>Разходи на Национален фонд</w:t>
      </w:r>
      <w:r w:rsidR="00AA3035" w:rsidRPr="00742A96">
        <w:t xml:space="preserve"> – </w:t>
      </w:r>
      <w:r w:rsidR="00BD753D" w:rsidRPr="00742A96">
        <w:t xml:space="preserve">сметка за средства от ЕС за периода </w:t>
      </w:r>
      <w:r w:rsidR="00BE2D9E" w:rsidRPr="00BE2D9E">
        <w:t>2020</w:t>
      </w:r>
      <w:r w:rsidR="00BD753D" w:rsidRPr="00BE2D9E">
        <w:t>-20</w:t>
      </w:r>
      <w:r w:rsidR="00D16620" w:rsidRPr="00BE2D9E">
        <w:t>2</w:t>
      </w:r>
      <w:r w:rsidR="00BE2D9E" w:rsidRPr="00BE2D9E">
        <w:t>2</w:t>
      </w:r>
      <w:r w:rsidR="00AA3035" w:rsidRPr="00BE2D9E">
        <w:t> г.</w:t>
      </w:r>
      <w:bookmarkEnd w:id="549"/>
      <w:r w:rsidR="00BD753D" w:rsidRPr="00A77E4C">
        <w:t xml:space="preserve"> </w:t>
      </w:r>
      <w:bookmarkEnd w:id="550"/>
    </w:p>
    <w:p w:rsidR="00913E0E" w:rsidRDefault="00913E0E" w:rsidP="00913E0E">
      <w:r>
        <w:rPr>
          <w:noProof/>
        </w:rPr>
        <w:drawing>
          <wp:inline distT="0" distB="0" distL="0" distR="0" wp14:anchorId="1ECE90A1" wp14:editId="758F3798">
            <wp:extent cx="5759450" cy="2901272"/>
            <wp:effectExtent l="0" t="0" r="12700" b="13970"/>
            <wp:docPr id="26" name="Chart 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046707" w:rsidRPr="009D2915" w:rsidRDefault="000F5D1E" w:rsidP="00517D0A">
      <w:pPr>
        <w:pStyle w:val="Heading3"/>
        <w:ind w:left="0"/>
      </w:pPr>
      <w:bookmarkStart w:id="551" w:name="_Toc465070509"/>
      <w:bookmarkStart w:id="552" w:name="_Toc465205559"/>
      <w:r w:rsidRPr="009D2915">
        <w:t>ПРИХОДНА ЧАСТ</w:t>
      </w:r>
      <w:bookmarkEnd w:id="551"/>
      <w:bookmarkEnd w:id="552"/>
      <w:r w:rsidR="00046707" w:rsidRPr="009D2915">
        <w:t xml:space="preserve"> </w:t>
      </w:r>
    </w:p>
    <w:p w:rsidR="00CB38FB" w:rsidRPr="00CB38FB" w:rsidRDefault="00CB38FB" w:rsidP="00CB38FB">
      <w:pPr>
        <w:rPr>
          <w:rFonts w:eastAsia="Batang"/>
        </w:rPr>
      </w:pPr>
      <w:r w:rsidRPr="00CB38FB">
        <w:rPr>
          <w:rFonts w:eastAsia="Batang"/>
        </w:rPr>
        <w:t xml:space="preserve">Планираните приходи за </w:t>
      </w:r>
      <w:r>
        <w:rPr>
          <w:rFonts w:eastAsia="Batang"/>
        </w:rPr>
        <w:t xml:space="preserve">периода </w:t>
      </w:r>
      <w:r w:rsidRPr="00CB38FB">
        <w:rPr>
          <w:rFonts w:eastAsia="Batang"/>
        </w:rPr>
        <w:t xml:space="preserve">2020-2022 г. по оперативните програми, съфинансирани от Европейския социален фонд, Европейския фонд за регионално развитие, Кохезионния фонд, Фонда за европейско подпомагане на най-нуждаещите се лица и двустранните програми за трансгранично сътрудничество по външни граници на Европейския съюз, включват определения индикативен размер на разходите, които се очаква да бъдат възстановени от ЕК през този период. </w:t>
      </w:r>
    </w:p>
    <w:p w:rsidR="00CB38FB" w:rsidRPr="00CB38FB" w:rsidRDefault="00CB38FB" w:rsidP="00CB38FB">
      <w:pPr>
        <w:rPr>
          <w:rFonts w:eastAsia="Batang"/>
        </w:rPr>
      </w:pPr>
      <w:r w:rsidRPr="00CB38FB">
        <w:rPr>
          <w:rFonts w:eastAsia="Batang"/>
        </w:rPr>
        <w:t xml:space="preserve">Прогнозните приходи са изчислени, като са взети под внимание следните особености: </w:t>
      </w:r>
    </w:p>
    <w:p w:rsidR="00CB38FB" w:rsidRPr="00CB38FB" w:rsidRDefault="00CB38FB" w:rsidP="00CB38FB">
      <w:pPr>
        <w:pStyle w:val="ListParagraph"/>
        <w:ind w:left="851" w:hanging="284"/>
        <w:rPr>
          <w:rFonts w:eastAsia="Times New Roman"/>
        </w:rPr>
      </w:pPr>
      <w:r w:rsidRPr="00CB38FB">
        <w:rPr>
          <w:rFonts w:eastAsia="Times New Roman"/>
        </w:rPr>
        <w:t>90% от размер</w:t>
      </w:r>
      <w:r>
        <w:rPr>
          <w:rFonts w:eastAsia="Times New Roman"/>
        </w:rPr>
        <w:t>а</w:t>
      </w:r>
      <w:r w:rsidRPr="00CB38FB">
        <w:rPr>
          <w:rFonts w:eastAsia="Times New Roman"/>
        </w:rPr>
        <w:t xml:space="preserve"> на разходите по оперативни програми, съответстващи на европейското съфинансиране, извършени през последните два месеца на предходната година. Съгласно правилата на ЕК само заявленията за плащане, които </w:t>
      </w:r>
      <w:r w:rsidR="001D121B">
        <w:rPr>
          <w:rFonts w:eastAsia="Times New Roman"/>
        </w:rPr>
        <w:t>държавата</w:t>
      </w:r>
      <w:r w:rsidR="000A5AF5">
        <w:rPr>
          <w:rFonts w:eastAsia="Times New Roman"/>
        </w:rPr>
        <w:t>-</w:t>
      </w:r>
      <w:r w:rsidRPr="00CB38FB">
        <w:rPr>
          <w:rFonts w:eastAsia="Times New Roman"/>
        </w:rPr>
        <w:t xml:space="preserve">членка изпраща до 31 октомври гарантирано ще бъдат възстановени в рамките на годината, в която са изпратени. Поради тази причина всички заявления за плащане, които се очаква да бъдат изпратени след тази дата, са планирани за получаване през следващата година; </w:t>
      </w:r>
    </w:p>
    <w:p w:rsidR="00CB38FB" w:rsidRPr="00CB38FB" w:rsidRDefault="00CB38FB" w:rsidP="00CB38FB">
      <w:pPr>
        <w:pStyle w:val="ListParagraph"/>
        <w:ind w:left="851" w:hanging="284"/>
        <w:rPr>
          <w:rFonts w:eastAsia="Times New Roman"/>
        </w:rPr>
      </w:pPr>
      <w:r w:rsidRPr="00CB38FB">
        <w:rPr>
          <w:rFonts w:eastAsia="Times New Roman"/>
        </w:rPr>
        <w:t>90% от размер</w:t>
      </w:r>
      <w:r>
        <w:rPr>
          <w:rFonts w:eastAsia="Times New Roman"/>
        </w:rPr>
        <w:t>а</w:t>
      </w:r>
      <w:r w:rsidRPr="00CB38FB">
        <w:rPr>
          <w:rFonts w:eastAsia="Times New Roman"/>
        </w:rPr>
        <w:t xml:space="preserve"> на разходите по оперативни програми, съответстващи на европейското съфинансиране, извършени през първите десет месеца на настоящата година; </w:t>
      </w:r>
    </w:p>
    <w:p w:rsidR="00CB38FB" w:rsidRPr="00CB38FB" w:rsidRDefault="00CB38FB" w:rsidP="00CB38FB">
      <w:pPr>
        <w:pStyle w:val="ListParagraph"/>
        <w:ind w:left="851" w:hanging="284"/>
        <w:rPr>
          <w:rFonts w:eastAsia="Times New Roman"/>
        </w:rPr>
      </w:pPr>
      <w:r>
        <w:rPr>
          <w:rFonts w:eastAsia="Times New Roman"/>
        </w:rPr>
        <w:t>д</w:t>
      </w:r>
      <w:r w:rsidRPr="00CB38FB">
        <w:rPr>
          <w:rFonts w:eastAsia="Times New Roman"/>
        </w:rPr>
        <w:t>о 10% от размер</w:t>
      </w:r>
      <w:r>
        <w:rPr>
          <w:rFonts w:eastAsia="Times New Roman"/>
        </w:rPr>
        <w:t>а</w:t>
      </w:r>
      <w:r w:rsidRPr="00CB38FB">
        <w:rPr>
          <w:rFonts w:eastAsia="Times New Roman"/>
        </w:rPr>
        <w:t xml:space="preserve"> на сертифицираните разходи през предходната счетоводна година, които се очаква да бъдат възстановени от ЕК при годишното уравняване на сметките; </w:t>
      </w:r>
    </w:p>
    <w:p w:rsidR="00CB38FB" w:rsidRPr="00CB38FB" w:rsidRDefault="00CB38FB" w:rsidP="00CB38FB">
      <w:pPr>
        <w:pStyle w:val="ListParagraph"/>
        <w:ind w:left="851" w:hanging="284"/>
        <w:rPr>
          <w:rFonts w:eastAsia="Times New Roman"/>
        </w:rPr>
      </w:pPr>
      <w:r w:rsidRPr="00CB38FB">
        <w:rPr>
          <w:rFonts w:eastAsia="Times New Roman"/>
        </w:rPr>
        <w:t>предварителното годишно финанси</w:t>
      </w:r>
      <w:r>
        <w:rPr>
          <w:rFonts w:eastAsia="Times New Roman"/>
        </w:rPr>
        <w:t>ране, което се очаква да получи/</w:t>
      </w:r>
      <w:r w:rsidRPr="00CB38FB">
        <w:rPr>
          <w:rFonts w:eastAsia="Times New Roman"/>
        </w:rPr>
        <w:t xml:space="preserve">възстанови България след годишното уравняване на сметките. </w:t>
      </w:r>
    </w:p>
    <w:p w:rsidR="00CB38FB" w:rsidRPr="00CB38FB" w:rsidRDefault="00CB38FB" w:rsidP="00CB38FB">
      <w:pPr>
        <w:rPr>
          <w:rFonts w:eastAsia="Batang"/>
        </w:rPr>
      </w:pPr>
      <w:r w:rsidRPr="00CB38FB">
        <w:rPr>
          <w:rFonts w:eastAsia="Batang"/>
        </w:rPr>
        <w:t xml:space="preserve">Също така за 2021 г. и 2022 г. са предвидени приходи по оперативните програми, съфинансирани от Кохезионния </w:t>
      </w:r>
      <w:r w:rsidR="00E031A7">
        <w:rPr>
          <w:rFonts w:eastAsia="Batang"/>
        </w:rPr>
        <w:t xml:space="preserve">и </w:t>
      </w:r>
      <w:r w:rsidR="00E031A7" w:rsidRPr="00CB38FB">
        <w:rPr>
          <w:rFonts w:eastAsia="Batang"/>
        </w:rPr>
        <w:t xml:space="preserve">Структурните </w:t>
      </w:r>
      <w:r w:rsidRPr="00CB38FB">
        <w:rPr>
          <w:rFonts w:eastAsia="Batang"/>
        </w:rPr>
        <w:t>фондове на Европейския съюз през програмен период 2021-2027 г. Същите са съобразени с предложения размер на предварително финансиране в предложението на ЕК за общ регламент и първоначалната информация за средствата, които се очаква да получи България.</w:t>
      </w:r>
    </w:p>
    <w:p w:rsidR="00CB38FB" w:rsidRDefault="00CB38FB" w:rsidP="00A93804">
      <w:pPr>
        <w:rPr>
          <w:rFonts w:eastAsia="Batang"/>
          <w:highlight w:val="yellow"/>
        </w:rPr>
      </w:pPr>
      <w:r w:rsidRPr="00CB38FB">
        <w:rPr>
          <w:rFonts w:eastAsia="Batang"/>
        </w:rPr>
        <w:t>При планиране на приходите по програмите, съфинансирани от Финансовия механизъм на Европейското икономическо пространство и Норвежкия финансов механизъм за периода 2014-2021 г., е отчетено, че Офисът на ЕИП и НФМ превежда средства два пъти в годината на база прогнози за индикативния размер на разходите, изготвени от Програмните оператори.</w:t>
      </w:r>
    </w:p>
    <w:p w:rsidR="00A77E4C" w:rsidRDefault="005D7434" w:rsidP="005D7434">
      <w:pPr>
        <w:pStyle w:val="Caption"/>
      </w:pPr>
      <w:r>
        <w:t xml:space="preserve">Граф. </w:t>
      </w:r>
      <w:fldSimple w:instr=" STYLEREF 1 \s ">
        <w:r w:rsidR="0034195B">
          <w:rPr>
            <w:noProof/>
          </w:rPr>
          <w:t>V</w:t>
        </w:r>
      </w:fldSimple>
      <w:r>
        <w:noBreakHyphen/>
      </w:r>
      <w:fldSimple w:instr=" SEQ Граф. \* ARABIC \s 1 ">
        <w:r w:rsidR="0034195B">
          <w:rPr>
            <w:noProof/>
          </w:rPr>
          <w:t>2</w:t>
        </w:r>
      </w:fldSimple>
      <w:r w:rsidR="00A77E4C" w:rsidRPr="00A77E4C">
        <w:t>:</w:t>
      </w:r>
      <w:r w:rsidR="00A77E4C" w:rsidRPr="00A77E4C">
        <w:tab/>
      </w:r>
      <w:r w:rsidR="009C0AB5" w:rsidRPr="00BE2D9E">
        <w:t>Приходи на Национален фонд</w:t>
      </w:r>
      <w:r w:rsidR="00AA3035" w:rsidRPr="00BE2D9E">
        <w:t xml:space="preserve"> – </w:t>
      </w:r>
      <w:r w:rsidR="009C0AB5" w:rsidRPr="00BE2D9E">
        <w:t>сметка з</w:t>
      </w:r>
      <w:r w:rsidR="00243BF6" w:rsidRPr="00BE2D9E">
        <w:t xml:space="preserve">а средства от ЕС за периода </w:t>
      </w:r>
      <w:r w:rsidR="00BE2D9E" w:rsidRPr="00BE2D9E">
        <w:t>2020</w:t>
      </w:r>
      <w:r w:rsidR="00D16620" w:rsidRPr="00BE2D9E">
        <w:t>-202</w:t>
      </w:r>
      <w:r w:rsidR="00BE2D9E" w:rsidRPr="00BE2D9E">
        <w:t>2</w:t>
      </w:r>
      <w:r w:rsidR="00AA3035" w:rsidRPr="00BE2D9E">
        <w:t> г.</w:t>
      </w:r>
      <w:r w:rsidR="009C0AB5" w:rsidRPr="00A77E4C">
        <w:t xml:space="preserve"> </w:t>
      </w:r>
    </w:p>
    <w:p w:rsidR="00913E0E" w:rsidRDefault="00913E0E" w:rsidP="00913E0E">
      <w:r>
        <w:rPr>
          <w:noProof/>
        </w:rPr>
        <w:drawing>
          <wp:inline distT="0" distB="0" distL="0" distR="0" wp14:anchorId="1254AA86" wp14:editId="551E8429">
            <wp:extent cx="5759450" cy="2522294"/>
            <wp:effectExtent l="0" t="0" r="12700" b="11430"/>
            <wp:docPr id="24" name="Chart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913E0E" w:rsidRPr="00913E0E" w:rsidRDefault="00913E0E" w:rsidP="00913E0E"/>
    <w:p w:rsidR="0037017D" w:rsidRPr="0037017D" w:rsidRDefault="0037017D" w:rsidP="0037017D"/>
    <w:p w:rsidR="00216D28" w:rsidRPr="00853713" w:rsidRDefault="00853713" w:rsidP="00DE2BDB">
      <w:pPr>
        <w:pStyle w:val="Heading2"/>
      </w:pPr>
      <w:bookmarkStart w:id="553" w:name="_Toc464224805"/>
      <w:bookmarkStart w:id="554" w:name="_Toc464225455"/>
      <w:bookmarkStart w:id="555" w:name="_Toc464459002"/>
      <w:bookmarkStart w:id="556" w:name="_Toc464459750"/>
      <w:bookmarkStart w:id="557" w:name="_Toc464460703"/>
      <w:bookmarkStart w:id="558" w:name="_Toc464463102"/>
      <w:bookmarkStart w:id="559" w:name="_Toc464464931"/>
      <w:bookmarkStart w:id="560" w:name="_Toc464465435"/>
      <w:bookmarkStart w:id="561" w:name="_Toc464465623"/>
      <w:bookmarkStart w:id="562" w:name="_Toc464466448"/>
      <w:bookmarkStart w:id="563" w:name="_Toc464466692"/>
      <w:bookmarkStart w:id="564" w:name="_Toc464645008"/>
      <w:bookmarkStart w:id="565" w:name="_Toc465205560"/>
      <w:bookmarkStart w:id="566" w:name="_Toc23337482"/>
      <w:r w:rsidRPr="00853713">
        <w:t>Д</w:t>
      </w:r>
      <w:r w:rsidR="008252A2">
        <w:t xml:space="preserve">ържавен </w:t>
      </w:r>
      <w:r w:rsidRPr="00853713">
        <w:t>Ф</w:t>
      </w:r>
      <w:r w:rsidR="008252A2">
        <w:t>онд</w:t>
      </w:r>
      <w:r w:rsidRPr="00853713">
        <w:t xml:space="preserve"> „ЗЕМЕДЕЛИЕ“</w:t>
      </w:r>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rsidR="008F23AF" w:rsidRPr="009D2915" w:rsidRDefault="008F23AF" w:rsidP="007D0124">
      <w:pPr>
        <w:pStyle w:val="Heading3"/>
        <w:ind w:left="284" w:hanging="142"/>
        <w:rPr>
          <w:rFonts w:eastAsia="Times New Roman"/>
        </w:rPr>
      </w:pPr>
      <w:bookmarkStart w:id="567" w:name="_Toc465070511"/>
      <w:bookmarkStart w:id="568" w:name="_Toc465205561"/>
      <w:r w:rsidRPr="009D2915">
        <w:rPr>
          <w:rFonts w:eastAsia="Times New Roman"/>
        </w:rPr>
        <w:t>ПРИХОДИ И ПОСТЪПЛЕНИЯ</w:t>
      </w:r>
      <w:bookmarkEnd w:id="567"/>
      <w:bookmarkEnd w:id="568"/>
    </w:p>
    <w:p w:rsidR="00414851" w:rsidRPr="00347827" w:rsidRDefault="00414851" w:rsidP="00414851">
      <w:r w:rsidRPr="00347827">
        <w:t xml:space="preserve">При разработване на разчетите за приходите и постъпленията за периода 2020-2022 г. по програмите, финансирани от ЕС, са взети под внимание определеният индикативен размер на разходите, които се очаква да бъдат възстановени от ЕК през този период. Очакваните приходи и постъпления по години са, както следва: </w:t>
      </w:r>
      <w:r w:rsidRPr="00347827">
        <w:rPr>
          <w:lang w:val="ru-RU"/>
        </w:rPr>
        <w:t>през 2020 г. в размер до 2 733,</w:t>
      </w:r>
      <w:r w:rsidRPr="00347827">
        <w:t>3</w:t>
      </w:r>
      <w:r w:rsidRPr="00347827">
        <w:rPr>
          <w:lang w:val="ru-RU"/>
        </w:rPr>
        <w:t xml:space="preserve"> млн. лв., през 2021 г. в размер до 2 </w:t>
      </w:r>
      <w:r w:rsidRPr="00347827">
        <w:t>5</w:t>
      </w:r>
      <w:r w:rsidRPr="00347827">
        <w:rPr>
          <w:lang w:val="ru-RU"/>
        </w:rPr>
        <w:t>6</w:t>
      </w:r>
      <w:r w:rsidRPr="00347827">
        <w:t>3,</w:t>
      </w:r>
      <w:r w:rsidRPr="00347827">
        <w:rPr>
          <w:lang w:val="ru-RU"/>
        </w:rPr>
        <w:t>5 млн. лв., а за 2022 г. са 2 487,6 млн. лв.</w:t>
      </w:r>
    </w:p>
    <w:p w:rsidR="00414851" w:rsidRDefault="00414851" w:rsidP="004556D1">
      <w:pPr>
        <w:pStyle w:val="Caption"/>
      </w:pPr>
    </w:p>
    <w:p w:rsidR="00742A96" w:rsidRDefault="005D7434" w:rsidP="004556D1">
      <w:pPr>
        <w:pStyle w:val="Caption"/>
      </w:pPr>
      <w:r>
        <w:t xml:space="preserve">Граф. </w:t>
      </w:r>
      <w:fldSimple w:instr=" STYLEREF 1 \s ">
        <w:r w:rsidR="0034195B">
          <w:rPr>
            <w:noProof/>
          </w:rPr>
          <w:t>V</w:t>
        </w:r>
      </w:fldSimple>
      <w:r>
        <w:noBreakHyphen/>
      </w:r>
      <w:fldSimple w:instr=" SEQ Граф. \* ARABIC \s 1 ">
        <w:r w:rsidR="0034195B">
          <w:rPr>
            <w:noProof/>
          </w:rPr>
          <w:t>3</w:t>
        </w:r>
      </w:fldSimple>
      <w:r w:rsidR="005C38BF" w:rsidRPr="005C38BF">
        <w:t>:</w:t>
      </w:r>
      <w:r w:rsidR="005C38BF" w:rsidRPr="005C38BF">
        <w:tab/>
      </w:r>
      <w:r w:rsidR="00246708" w:rsidRPr="00742A96">
        <w:t>Приходи (без постъпленията) на ДФ „Земеделие“</w:t>
      </w:r>
      <w:r w:rsidR="00AA3035" w:rsidRPr="00742A96">
        <w:t xml:space="preserve"> – </w:t>
      </w:r>
      <w:r w:rsidR="00246708" w:rsidRPr="00742A96">
        <w:t>сметка з</w:t>
      </w:r>
      <w:r w:rsidR="00D16620" w:rsidRPr="00742A96">
        <w:t xml:space="preserve">а средства от ЕС за периода </w:t>
      </w:r>
      <w:r w:rsidR="00DB315A" w:rsidRPr="00DB315A">
        <w:t>2020</w:t>
      </w:r>
      <w:r w:rsidR="00D16620" w:rsidRPr="00DB315A">
        <w:t>-202</w:t>
      </w:r>
      <w:r w:rsidR="00DB315A" w:rsidRPr="00DB315A">
        <w:t>2</w:t>
      </w:r>
      <w:r w:rsidR="00AA3035" w:rsidRPr="00DB315A">
        <w:t> г</w:t>
      </w:r>
      <w:r w:rsidRPr="00DB315A">
        <w:t>.</w:t>
      </w:r>
    </w:p>
    <w:p w:rsidR="0037017D" w:rsidRDefault="0037017D" w:rsidP="0037017D">
      <w:r>
        <w:rPr>
          <w:noProof/>
        </w:rPr>
        <w:drawing>
          <wp:inline distT="0" distB="0" distL="0" distR="0" wp14:anchorId="0EC0FC8D" wp14:editId="1CA57708">
            <wp:extent cx="5759450" cy="2643339"/>
            <wp:effectExtent l="0" t="0" r="12700" b="24130"/>
            <wp:docPr id="37" name="Chart 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5064AE" w:rsidRPr="009D2915" w:rsidRDefault="00AD60C1" w:rsidP="007D0124">
      <w:pPr>
        <w:pStyle w:val="Heading3"/>
        <w:ind w:left="284" w:hanging="142"/>
        <w:rPr>
          <w:rFonts w:eastAsia="Times New Roman"/>
        </w:rPr>
      </w:pPr>
      <w:bookmarkStart w:id="569" w:name="_Toc465070512"/>
      <w:bookmarkStart w:id="570" w:name="_Toc465205562"/>
      <w:r w:rsidRPr="009D2915">
        <w:rPr>
          <w:rFonts w:eastAsia="Times New Roman"/>
        </w:rPr>
        <w:t>РАЗХОДИ И ПЛАЩАНИЯ</w:t>
      </w:r>
      <w:bookmarkEnd w:id="569"/>
      <w:bookmarkEnd w:id="570"/>
    </w:p>
    <w:p w:rsidR="00414851" w:rsidRPr="00B55FAA" w:rsidRDefault="00414851" w:rsidP="00414851">
      <w:pPr>
        <w:rPr>
          <w:lang w:eastAsia="zh-CN"/>
        </w:rPr>
      </w:pPr>
      <w:r w:rsidRPr="005F66A5">
        <w:rPr>
          <w:lang w:eastAsia="zh-CN"/>
        </w:rPr>
        <w:t xml:space="preserve">Очакваните разходи и плащания за </w:t>
      </w:r>
      <w:r w:rsidRPr="00B55FAA">
        <w:rPr>
          <w:lang w:eastAsia="zh-CN"/>
        </w:rPr>
        <w:t xml:space="preserve">периода 2020-2022 г. са, както следва: за 2020 г. –    </w:t>
      </w:r>
      <w:r w:rsidRPr="00B55FAA">
        <w:rPr>
          <w:lang w:val="ru-RU"/>
        </w:rPr>
        <w:t>2 898,8</w:t>
      </w:r>
      <w:r w:rsidRPr="00B55FAA">
        <w:rPr>
          <w:lang w:eastAsia="zh-CN"/>
        </w:rPr>
        <w:t xml:space="preserve"> млн. лв.; за 202</w:t>
      </w:r>
      <w:r w:rsidRPr="00B55FAA">
        <w:rPr>
          <w:lang w:val="ru-RU" w:eastAsia="zh-CN"/>
        </w:rPr>
        <w:t>1</w:t>
      </w:r>
      <w:r w:rsidRPr="00B55FAA">
        <w:rPr>
          <w:lang w:eastAsia="zh-CN"/>
        </w:rPr>
        <w:t xml:space="preserve"> г. – </w:t>
      </w:r>
      <w:r w:rsidRPr="00B55FAA">
        <w:rPr>
          <w:lang w:val="ru-RU"/>
        </w:rPr>
        <w:t>2 832,9</w:t>
      </w:r>
      <w:r w:rsidRPr="00B55FAA">
        <w:rPr>
          <w:lang w:eastAsia="zh-CN"/>
        </w:rPr>
        <w:t xml:space="preserve"> млн. лв. и за 2022 г. – </w:t>
      </w:r>
      <w:r w:rsidRPr="00B55FAA">
        <w:rPr>
          <w:lang w:val="ru-RU"/>
        </w:rPr>
        <w:t>2 664,7</w:t>
      </w:r>
      <w:r w:rsidRPr="00B55FAA">
        <w:rPr>
          <w:lang w:eastAsia="zh-CN"/>
        </w:rPr>
        <w:t xml:space="preserve"> млн. лв.</w:t>
      </w:r>
    </w:p>
    <w:p w:rsidR="00C81F09" w:rsidRDefault="005D7434" w:rsidP="005D7434">
      <w:pPr>
        <w:pStyle w:val="Caption"/>
      </w:pPr>
      <w:r>
        <w:t xml:space="preserve">Граф. </w:t>
      </w:r>
      <w:fldSimple w:instr=" STYLEREF 1 \s ">
        <w:r w:rsidR="0034195B">
          <w:rPr>
            <w:noProof/>
          </w:rPr>
          <w:t>V</w:t>
        </w:r>
      </w:fldSimple>
      <w:r>
        <w:noBreakHyphen/>
      </w:r>
      <w:fldSimple w:instr=" SEQ Граф. \* ARABIC \s 1 ">
        <w:r w:rsidR="0034195B">
          <w:rPr>
            <w:noProof/>
          </w:rPr>
          <w:t>4</w:t>
        </w:r>
      </w:fldSimple>
      <w:r w:rsidR="00C81F09" w:rsidRPr="005C38BF">
        <w:t xml:space="preserve">: </w:t>
      </w:r>
      <w:r w:rsidR="005C38BF" w:rsidRPr="005C38BF">
        <w:tab/>
      </w:r>
      <w:r w:rsidR="00C81F09" w:rsidRPr="00742A96">
        <w:t>Разходи (без плащанията) на ДФ „Земеделие“</w:t>
      </w:r>
      <w:r w:rsidR="00AA3035" w:rsidRPr="00742A96">
        <w:t xml:space="preserve"> – </w:t>
      </w:r>
      <w:r w:rsidR="00C81F09" w:rsidRPr="00742A96">
        <w:t xml:space="preserve">сметка за </w:t>
      </w:r>
      <w:r w:rsidR="00D16620" w:rsidRPr="00742A96">
        <w:t xml:space="preserve">средства от ЕС за периода </w:t>
      </w:r>
      <w:r w:rsidR="00D16620" w:rsidRPr="00DB315A">
        <w:t>2</w:t>
      </w:r>
      <w:r w:rsidR="00DB315A" w:rsidRPr="00DB315A">
        <w:t>020</w:t>
      </w:r>
      <w:r w:rsidR="00D16620" w:rsidRPr="00DB315A">
        <w:t>-202</w:t>
      </w:r>
      <w:r w:rsidR="00DB315A" w:rsidRPr="00DB315A">
        <w:t>2</w:t>
      </w:r>
      <w:r w:rsidR="00AA3035" w:rsidRPr="00DB315A">
        <w:t> г.</w:t>
      </w:r>
      <w:r w:rsidR="00C81F09" w:rsidRPr="005C38BF">
        <w:t xml:space="preserve"> </w:t>
      </w:r>
    </w:p>
    <w:p w:rsidR="0037017D" w:rsidRPr="0037017D" w:rsidRDefault="0037017D" w:rsidP="0037017D">
      <w:r>
        <w:rPr>
          <w:noProof/>
        </w:rPr>
        <w:drawing>
          <wp:inline distT="0" distB="0" distL="0" distR="0" wp14:anchorId="12D41E2A" wp14:editId="6E95E3D5">
            <wp:extent cx="5759450" cy="3271378"/>
            <wp:effectExtent l="0" t="0" r="12700" b="24765"/>
            <wp:docPr id="11" name="Chart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446BEF" w:rsidRDefault="00446BEF" w:rsidP="00446BEF"/>
    <w:p w:rsidR="008F1224" w:rsidRPr="00D8768E" w:rsidRDefault="00387D39" w:rsidP="00680C74">
      <w:pPr>
        <w:pStyle w:val="Heading3"/>
        <w:numPr>
          <w:ilvl w:val="0"/>
          <w:numId w:val="0"/>
        </w:numPr>
        <w:rPr>
          <w:rFonts w:eastAsia="Batang"/>
          <w:lang w:val="ru-RU"/>
        </w:rPr>
      </w:pPr>
      <w:bookmarkStart w:id="571" w:name="_Toc465070513"/>
      <w:bookmarkStart w:id="572" w:name="_Toc465205563"/>
      <w:r w:rsidRPr="009D2915">
        <w:rPr>
          <w:rFonts w:eastAsia="Batang"/>
        </w:rPr>
        <w:t>ОБЩА СЕЛСКОСТ</w:t>
      </w:r>
      <w:r w:rsidR="006C7E1D">
        <w:rPr>
          <w:rFonts w:eastAsia="Batang"/>
        </w:rPr>
        <w:t>ОПАНСКА ПОЛИТИКА ЗА ПЕРИОДА 2020</w:t>
      </w:r>
      <w:r w:rsidR="00D16620">
        <w:rPr>
          <w:rFonts w:eastAsia="Batang"/>
        </w:rPr>
        <w:t>-202</w:t>
      </w:r>
      <w:r w:rsidR="006C7E1D">
        <w:rPr>
          <w:rFonts w:eastAsia="Batang"/>
        </w:rPr>
        <w:t>2</w:t>
      </w:r>
      <w:r w:rsidR="00AA3035">
        <w:rPr>
          <w:rFonts w:eastAsia="Batang"/>
        </w:rPr>
        <w:t> г.</w:t>
      </w:r>
      <w:bookmarkEnd w:id="571"/>
      <w:bookmarkEnd w:id="572"/>
    </w:p>
    <w:p w:rsidR="00414851" w:rsidRDefault="00414851" w:rsidP="004556D1">
      <w:pPr>
        <w:spacing w:before="120" w:after="0"/>
        <w:rPr>
          <w:rFonts w:eastAsia="Batang"/>
        </w:rPr>
      </w:pPr>
    </w:p>
    <w:p w:rsidR="00414851" w:rsidRPr="005F66A5" w:rsidRDefault="00414851" w:rsidP="00414851">
      <w:pPr>
        <w:rPr>
          <w:rFonts w:eastAsia="Batang"/>
        </w:rPr>
      </w:pPr>
      <w:r w:rsidRPr="005F66A5">
        <w:rPr>
          <w:rFonts w:eastAsia="Batang"/>
        </w:rPr>
        <w:t>Приоритетите в областта на селскостопанската политика са насочени към осигуряване на стабилна пазарна среда, подкрепа на доходите на земеделските стопани и развитие на селските райони.</w:t>
      </w:r>
    </w:p>
    <w:p w:rsidR="00414851" w:rsidRPr="005F66A5" w:rsidRDefault="00414851" w:rsidP="00414851">
      <w:pPr>
        <w:rPr>
          <w:rFonts w:eastAsia="Batang"/>
        </w:rPr>
      </w:pPr>
      <w:r w:rsidRPr="005F66A5">
        <w:rPr>
          <w:rFonts w:eastAsia="Batang"/>
        </w:rPr>
        <w:t>Основните инструменти за провеждането на общата селскостопанска политика са директните плащания и пазарната подкрепа на земеделските стопани (1-ви стълб на ОСП) и политиката за развитие на селските райони (2-ри стълб на ОСП).</w:t>
      </w:r>
    </w:p>
    <w:p w:rsidR="00414851" w:rsidRPr="005F66A5" w:rsidRDefault="00414851" w:rsidP="00414851">
      <w:pPr>
        <w:rPr>
          <w:rFonts w:eastAsia="Batang"/>
        </w:rPr>
      </w:pPr>
      <w:r w:rsidRPr="005F66A5">
        <w:rPr>
          <w:rFonts w:eastAsia="Batang"/>
          <w:i/>
        </w:rPr>
        <w:t>По линия на първия стълб на ОСП</w:t>
      </w:r>
      <w:r w:rsidRPr="005F66A5">
        <w:rPr>
          <w:rFonts w:eastAsia="Batang"/>
        </w:rPr>
        <w:t xml:space="preserve"> ще се изплащат средства за подпомагане на земеделските стопани по обвързани и необвързани с производството схеми за директни плащания и за пазарна подкрепа.</w:t>
      </w:r>
    </w:p>
    <w:p w:rsidR="00414851" w:rsidRPr="00B55FAA" w:rsidRDefault="00414851" w:rsidP="00414851">
      <w:pPr>
        <w:rPr>
          <w:rFonts w:eastAsia="Batang"/>
        </w:rPr>
      </w:pPr>
      <w:r w:rsidRPr="005F66A5">
        <w:rPr>
          <w:rFonts w:eastAsia="Batang"/>
        </w:rPr>
        <w:t xml:space="preserve">По </w:t>
      </w:r>
      <w:r w:rsidRPr="00B55FAA">
        <w:rPr>
          <w:rFonts w:eastAsia="Batang"/>
        </w:rPr>
        <w:t>схемите за директни плащания на земеделски стопани за сметка на ЕС през 2020 г., 2021 г. и 2022 г. се предвижда да бъдат усвоявани по 1 5</w:t>
      </w:r>
      <w:r w:rsidRPr="00B55FAA">
        <w:rPr>
          <w:rFonts w:eastAsia="Batang"/>
          <w:lang w:val="ru-RU"/>
        </w:rPr>
        <w:t>67</w:t>
      </w:r>
      <w:r w:rsidRPr="00B55FAA">
        <w:rPr>
          <w:rFonts w:eastAsia="Batang"/>
        </w:rPr>
        <w:t>,4 млн. лв. годишно.</w:t>
      </w:r>
    </w:p>
    <w:p w:rsidR="00414851" w:rsidRPr="00B55FAA" w:rsidRDefault="00414851" w:rsidP="00414851">
      <w:pPr>
        <w:rPr>
          <w:rFonts w:eastAsia="Batang"/>
        </w:rPr>
      </w:pPr>
      <w:r w:rsidRPr="00B55FAA">
        <w:rPr>
          <w:rFonts w:eastAsia="Batang"/>
        </w:rPr>
        <w:t>Мерките за пазарна подкрепа за периода 2020-2022 г. могат да включват различни механизми – интервенции, с цел стабилизиране на пазара в сектори като зърнени култури, ориз, мляко; помощи за повишаване на консумацията на някои продукти; пазарна подкрепа за лозаро-винарския сектор, пчеларство, плодове и зеленчуци и други.</w:t>
      </w:r>
    </w:p>
    <w:p w:rsidR="00414851" w:rsidRPr="00B55FAA" w:rsidRDefault="00414851" w:rsidP="00414851">
      <w:pPr>
        <w:rPr>
          <w:rFonts w:eastAsia="Batang"/>
        </w:rPr>
      </w:pPr>
      <w:r w:rsidRPr="00B55FAA">
        <w:rPr>
          <w:rFonts w:eastAsia="Batang"/>
        </w:rPr>
        <w:t xml:space="preserve">Общият бюджет за финансиране на пазарни мерки за 2020 г. е в размер на 128,0 млн. лв., от които 77,6 млн. лв. са средства от ЕС и 50,4 млн. лв. национално съфинансиране. </w:t>
      </w:r>
      <w:r w:rsidRPr="00B55FAA">
        <w:t>През 20</w:t>
      </w:r>
      <w:r w:rsidRPr="00B55FAA">
        <w:rPr>
          <w:lang w:val="ru-RU"/>
        </w:rPr>
        <w:t>2</w:t>
      </w:r>
      <w:r w:rsidRPr="00B55FAA">
        <w:t>1 г. са планирани</w:t>
      </w:r>
      <w:r w:rsidRPr="00B55FAA">
        <w:rPr>
          <w:lang w:val="ru-RU"/>
        </w:rPr>
        <w:t xml:space="preserve"> 11</w:t>
      </w:r>
      <w:r w:rsidRPr="00B55FAA">
        <w:t>3,8 млн. лв., от които 37,9 млн. лв. от националния бюджет, а през 20</w:t>
      </w:r>
      <w:r w:rsidRPr="00B55FAA">
        <w:rPr>
          <w:lang w:val="ru-RU"/>
        </w:rPr>
        <w:t>2</w:t>
      </w:r>
      <w:r w:rsidRPr="00B55FAA">
        <w:t xml:space="preserve">2 г. прогнозата за плащане е в размер на </w:t>
      </w:r>
      <w:r w:rsidRPr="00B55FAA">
        <w:rPr>
          <w:lang w:val="ru-RU"/>
        </w:rPr>
        <w:t>1</w:t>
      </w:r>
      <w:r w:rsidRPr="00B55FAA">
        <w:t>12,</w:t>
      </w:r>
      <w:r w:rsidRPr="00B55FAA">
        <w:rPr>
          <w:lang w:val="ru-RU"/>
        </w:rPr>
        <w:t xml:space="preserve">9 </w:t>
      </w:r>
      <w:r w:rsidRPr="00B55FAA">
        <w:t xml:space="preserve"> млн. лв., в това число 35,7 млн. лв. национални средства.</w:t>
      </w:r>
    </w:p>
    <w:p w:rsidR="00414851" w:rsidRPr="00B55FAA" w:rsidRDefault="00414851" w:rsidP="00414851">
      <w:pPr>
        <w:rPr>
          <w:rFonts w:eastAsia="Batang"/>
        </w:rPr>
      </w:pPr>
      <w:r w:rsidRPr="00B55FAA">
        <w:rPr>
          <w:rFonts w:eastAsia="Batang"/>
        </w:rPr>
        <w:t>Съгласно законодателството на ЕС национално съфинансиране се прилага по следните пазарни мерки: Схема „Училищен плод“; Схема „Училищно мляко“, „Подпомагане на групи производители на плодове и зеленчуци“; Подпомагане в сектор Вино – мярка „Промоции на вина в трети страни“; „Публична интервенция на зърно“; „Национална програма по пчеларство“, „Промоционални програми за земеделски продукти“ и Схема „Оперативни програми на организации на производители на плодове и зеленчуци“.</w:t>
      </w:r>
    </w:p>
    <w:p w:rsidR="00414851" w:rsidRPr="00B55FAA" w:rsidRDefault="00414851" w:rsidP="00414851">
      <w:pPr>
        <w:rPr>
          <w:rFonts w:eastAsia="Batang"/>
        </w:rPr>
      </w:pPr>
      <w:r w:rsidRPr="00B55FAA">
        <w:rPr>
          <w:rFonts w:eastAsia="Batang"/>
          <w:i/>
        </w:rPr>
        <w:t>По линия на втория стълб на ОСП</w:t>
      </w:r>
      <w:r w:rsidRPr="00B55FAA">
        <w:rPr>
          <w:rFonts w:eastAsia="Batang"/>
        </w:rPr>
        <w:t xml:space="preserve"> ще се изплащат средствата за развитие на селските райони, както следва:</w:t>
      </w:r>
    </w:p>
    <w:p w:rsidR="00414851" w:rsidRPr="00B55FAA" w:rsidRDefault="00414851" w:rsidP="003403BF">
      <w:pPr>
        <w:numPr>
          <w:ilvl w:val="0"/>
          <w:numId w:val="17"/>
        </w:numPr>
        <w:spacing w:after="120"/>
        <w:ind w:left="426" w:hanging="284"/>
        <w:rPr>
          <w:rFonts w:eastAsia="Batang"/>
        </w:rPr>
      </w:pPr>
      <w:r w:rsidRPr="00B55FAA">
        <w:rPr>
          <w:rFonts w:eastAsia="Batang"/>
        </w:rPr>
        <w:t>за 2020 г. – 1 142,4 млн. лв., от които 941,3 млн. лв. са средства от ЕС и 201,1 млн. лв. национално съфинансиране и авансови плащания;</w:t>
      </w:r>
    </w:p>
    <w:p w:rsidR="00414851" w:rsidRPr="00B55FAA" w:rsidRDefault="00414851" w:rsidP="003403BF">
      <w:pPr>
        <w:numPr>
          <w:ilvl w:val="0"/>
          <w:numId w:val="17"/>
        </w:numPr>
        <w:spacing w:after="120"/>
        <w:ind w:left="426" w:hanging="284"/>
        <w:rPr>
          <w:rFonts w:eastAsia="Batang"/>
        </w:rPr>
      </w:pPr>
      <w:r w:rsidRPr="00B55FAA">
        <w:rPr>
          <w:rFonts w:eastAsia="Batang"/>
        </w:rPr>
        <w:t>за 2021 г. – 1 119,2 млн. лв., от които 917,4 млн. лв. са средства от ЕС и 201,8 млн. лв. национално съфинансиране и авансови плащания;</w:t>
      </w:r>
    </w:p>
    <w:p w:rsidR="00414851" w:rsidRPr="00B55FAA" w:rsidRDefault="00414851" w:rsidP="003403BF">
      <w:pPr>
        <w:numPr>
          <w:ilvl w:val="0"/>
          <w:numId w:val="17"/>
        </w:numPr>
        <w:spacing w:after="120"/>
        <w:ind w:left="426" w:hanging="284"/>
        <w:rPr>
          <w:rFonts w:eastAsia="Batang"/>
        </w:rPr>
      </w:pPr>
      <w:r w:rsidRPr="00B55FAA">
        <w:rPr>
          <w:rFonts w:eastAsia="Batang"/>
        </w:rPr>
        <w:t>за 2022 г. – 943,7 млн. лв., от които 778,4 млн. лв. са средства от ЕС и 165,3 млн. лв. национално съфинансиране и авансови плащания.</w:t>
      </w:r>
    </w:p>
    <w:p w:rsidR="00414851" w:rsidRPr="00B55FAA" w:rsidRDefault="00414851" w:rsidP="00414851">
      <w:pPr>
        <w:rPr>
          <w:rFonts w:eastAsia="Batang"/>
        </w:rPr>
      </w:pPr>
      <w:r w:rsidRPr="00B55FAA">
        <w:rPr>
          <w:rFonts w:eastAsia="Batang"/>
        </w:rPr>
        <w:t>За програмен период 2014-2020 г. се предвижда с финансираните мерки по ПРСР да се осъществят шест приоритета на ЕС за развитие на селските райони:</w:t>
      </w:r>
    </w:p>
    <w:p w:rsidR="00414851" w:rsidRPr="005F66A5" w:rsidRDefault="00414851" w:rsidP="003403BF">
      <w:pPr>
        <w:numPr>
          <w:ilvl w:val="0"/>
          <w:numId w:val="12"/>
        </w:numPr>
        <w:spacing w:after="120"/>
        <w:ind w:left="426" w:hanging="284"/>
        <w:rPr>
          <w:rFonts w:eastAsia="Batang"/>
        </w:rPr>
      </w:pPr>
      <w:r w:rsidRPr="005F66A5">
        <w:rPr>
          <w:rFonts w:eastAsia="Batang"/>
        </w:rPr>
        <w:t>стимулиране на трансфера на знания и иновациите в областта на селското и горското стопанство и селските райони;</w:t>
      </w:r>
    </w:p>
    <w:p w:rsidR="00414851" w:rsidRPr="005F66A5" w:rsidRDefault="00414851" w:rsidP="003403BF">
      <w:pPr>
        <w:numPr>
          <w:ilvl w:val="0"/>
          <w:numId w:val="12"/>
        </w:numPr>
        <w:spacing w:after="120"/>
        <w:ind w:left="426" w:hanging="284"/>
        <w:rPr>
          <w:rFonts w:eastAsia="Batang"/>
        </w:rPr>
      </w:pPr>
      <w:r w:rsidRPr="005F66A5">
        <w:rPr>
          <w:rFonts w:eastAsia="Batang"/>
        </w:rPr>
        <w:t>повишаване на конкурентоспособността на всички видове селскостопанска дейност и укрепване на жизнеспособността на стопанствата;</w:t>
      </w:r>
    </w:p>
    <w:p w:rsidR="00414851" w:rsidRPr="005F66A5" w:rsidRDefault="00414851" w:rsidP="003403BF">
      <w:pPr>
        <w:numPr>
          <w:ilvl w:val="0"/>
          <w:numId w:val="12"/>
        </w:numPr>
        <w:spacing w:after="120"/>
        <w:ind w:left="426" w:hanging="284"/>
        <w:rPr>
          <w:rFonts w:eastAsia="Batang"/>
        </w:rPr>
      </w:pPr>
      <w:r w:rsidRPr="005F66A5">
        <w:rPr>
          <w:rFonts w:eastAsia="Batang"/>
        </w:rPr>
        <w:t>насърчаване на организацията на хранителната верига и управлението на риска в селското стопанство;</w:t>
      </w:r>
    </w:p>
    <w:p w:rsidR="00414851" w:rsidRPr="005F66A5" w:rsidRDefault="00414851" w:rsidP="003403BF">
      <w:pPr>
        <w:numPr>
          <w:ilvl w:val="0"/>
          <w:numId w:val="12"/>
        </w:numPr>
        <w:spacing w:after="120"/>
        <w:ind w:left="426" w:hanging="284"/>
        <w:rPr>
          <w:rFonts w:eastAsia="Batang"/>
        </w:rPr>
      </w:pPr>
      <w:r w:rsidRPr="005F66A5">
        <w:rPr>
          <w:rFonts w:eastAsia="Batang"/>
        </w:rPr>
        <w:t>възстановяване, опазване и укрепване на екосистемите, зависещи от селското и горското стопанство;</w:t>
      </w:r>
    </w:p>
    <w:p w:rsidR="00414851" w:rsidRPr="005F66A5" w:rsidRDefault="00414851" w:rsidP="003403BF">
      <w:pPr>
        <w:numPr>
          <w:ilvl w:val="0"/>
          <w:numId w:val="12"/>
        </w:numPr>
        <w:spacing w:after="120"/>
        <w:ind w:left="426" w:hanging="284"/>
        <w:rPr>
          <w:rFonts w:eastAsia="Batang"/>
        </w:rPr>
      </w:pPr>
      <w:r w:rsidRPr="005F66A5">
        <w:rPr>
          <w:rFonts w:eastAsia="Batang"/>
        </w:rPr>
        <w:t>насърчаване на ефективното използване на ресурсите и подпомагане на прехода към нисковъглеродна и устойчива на изменението на климата икономика в селското стопанство, сектора на храните и горския сектор;</w:t>
      </w:r>
    </w:p>
    <w:p w:rsidR="00414851" w:rsidRPr="005F66A5" w:rsidRDefault="00414851" w:rsidP="003403BF">
      <w:pPr>
        <w:numPr>
          <w:ilvl w:val="0"/>
          <w:numId w:val="12"/>
        </w:numPr>
        <w:spacing w:after="120"/>
        <w:ind w:left="426" w:hanging="284"/>
        <w:rPr>
          <w:rFonts w:eastAsia="Batang"/>
        </w:rPr>
      </w:pPr>
      <w:r w:rsidRPr="005F66A5">
        <w:rPr>
          <w:rFonts w:eastAsia="Batang"/>
        </w:rPr>
        <w:t>насърчаване на социалното приобщаване, намаляването на бедността и икономическото развитие в селските райони.</w:t>
      </w:r>
    </w:p>
    <w:p w:rsidR="00414851" w:rsidRPr="005F66A5" w:rsidRDefault="00414851" w:rsidP="00414851">
      <w:pPr>
        <w:rPr>
          <w:rFonts w:eastAsia="Batang"/>
        </w:rPr>
      </w:pPr>
      <w:r w:rsidRPr="005F66A5">
        <w:rPr>
          <w:rFonts w:eastAsia="Batang"/>
        </w:rPr>
        <w:t>В средносрочен план средствата, които страната ни предвижда да усвоява по програмите на ЕС и да изплаща за селскостопанската политика са, както следва:</w:t>
      </w:r>
    </w:p>
    <w:p w:rsidR="00C85985" w:rsidRPr="00664F93" w:rsidRDefault="00AF79F1" w:rsidP="00AF79F1">
      <w:pPr>
        <w:pStyle w:val="Caption"/>
        <w:rPr>
          <w:lang w:val="ru-RU"/>
        </w:rPr>
      </w:pPr>
      <w:bookmarkStart w:id="573" w:name="_Toc464645009"/>
      <w:bookmarkStart w:id="574" w:name="_Toc464646374"/>
      <w:bookmarkStart w:id="575" w:name="_Toc23337531"/>
      <w:r>
        <w:t xml:space="preserve">Табл. </w:t>
      </w:r>
      <w:fldSimple w:instr=" STYLEREF 1 \s ">
        <w:r w:rsidR="0034195B">
          <w:rPr>
            <w:noProof/>
          </w:rPr>
          <w:t>V</w:t>
        </w:r>
      </w:fldSimple>
      <w:r w:rsidR="00927CD5">
        <w:noBreakHyphen/>
      </w:r>
      <w:fldSimple w:instr=" SEQ Табл. \* ARABIC \s 1 ">
        <w:r w:rsidR="0034195B">
          <w:rPr>
            <w:noProof/>
          </w:rPr>
          <w:t>1</w:t>
        </w:r>
      </w:fldSimple>
      <w:r w:rsidR="00296834" w:rsidRPr="0077150A">
        <w:t>:</w:t>
      </w:r>
      <w:r w:rsidR="00AE3F21" w:rsidRPr="0077150A">
        <w:tab/>
      </w:r>
      <w:r w:rsidR="00830ABB" w:rsidRPr="00830ABB">
        <w:t>Разходи и плащания</w:t>
      </w:r>
      <w:r w:rsidR="00F61385" w:rsidRPr="0077150A">
        <w:t xml:space="preserve"> за селскостоп</w:t>
      </w:r>
      <w:r w:rsidR="003E7944">
        <w:t xml:space="preserve">анската политика за периода </w:t>
      </w:r>
      <w:r w:rsidR="00DB315A" w:rsidRPr="00DB315A">
        <w:t>2020-2022</w:t>
      </w:r>
      <w:r w:rsidR="00AA3035" w:rsidRPr="00DB315A">
        <w:t> г.</w:t>
      </w:r>
      <w:bookmarkEnd w:id="573"/>
      <w:bookmarkEnd w:id="574"/>
      <w:bookmarkEnd w:id="575"/>
    </w:p>
    <w:tbl>
      <w:tblPr>
        <w:tblW w:w="8920" w:type="dxa"/>
        <w:tblInd w:w="55" w:type="dxa"/>
        <w:tblCellMar>
          <w:left w:w="70" w:type="dxa"/>
          <w:right w:w="70" w:type="dxa"/>
        </w:tblCellMar>
        <w:tblLook w:val="04A0" w:firstRow="1" w:lastRow="0" w:firstColumn="1" w:lastColumn="0" w:noHBand="0" w:noVBand="1"/>
      </w:tblPr>
      <w:tblGrid>
        <w:gridCol w:w="4200"/>
        <w:gridCol w:w="1660"/>
        <w:gridCol w:w="1480"/>
        <w:gridCol w:w="1580"/>
      </w:tblGrid>
      <w:tr w:rsidR="00830ABB" w:rsidRPr="00DB315A" w:rsidTr="00830ABB">
        <w:trPr>
          <w:trHeight w:val="255"/>
        </w:trPr>
        <w:tc>
          <w:tcPr>
            <w:tcW w:w="4200" w:type="dxa"/>
            <w:tcBorders>
              <w:top w:val="nil"/>
              <w:left w:val="nil"/>
              <w:bottom w:val="nil"/>
              <w:right w:val="nil"/>
            </w:tcBorders>
            <w:shd w:val="clear" w:color="auto" w:fill="auto"/>
            <w:noWrap/>
            <w:vAlign w:val="bottom"/>
            <w:hideMark/>
          </w:tcPr>
          <w:p w:rsidR="00830ABB" w:rsidRPr="00830ABB" w:rsidRDefault="00830ABB" w:rsidP="00830ABB">
            <w:pPr>
              <w:spacing w:after="0"/>
              <w:jc w:val="left"/>
              <w:rPr>
                <w:rFonts w:eastAsia="Times New Roman" w:cs="Times New Roman"/>
                <w:color w:val="000000"/>
                <w:sz w:val="20"/>
                <w:szCs w:val="20"/>
              </w:rPr>
            </w:pPr>
          </w:p>
        </w:tc>
        <w:tc>
          <w:tcPr>
            <w:tcW w:w="1660" w:type="dxa"/>
            <w:tcBorders>
              <w:top w:val="nil"/>
              <w:left w:val="nil"/>
              <w:bottom w:val="nil"/>
              <w:right w:val="nil"/>
            </w:tcBorders>
            <w:shd w:val="clear" w:color="auto" w:fill="auto"/>
            <w:noWrap/>
            <w:vAlign w:val="bottom"/>
            <w:hideMark/>
          </w:tcPr>
          <w:p w:rsidR="00830ABB" w:rsidRPr="00830ABB" w:rsidRDefault="00830ABB" w:rsidP="00830ABB">
            <w:pPr>
              <w:spacing w:after="0"/>
              <w:jc w:val="left"/>
              <w:rPr>
                <w:rFonts w:eastAsia="Times New Roman" w:cs="Times New Roman"/>
                <w:color w:val="000000"/>
                <w:sz w:val="20"/>
                <w:szCs w:val="20"/>
              </w:rPr>
            </w:pPr>
          </w:p>
        </w:tc>
        <w:tc>
          <w:tcPr>
            <w:tcW w:w="1480" w:type="dxa"/>
            <w:tcBorders>
              <w:top w:val="nil"/>
              <w:left w:val="nil"/>
              <w:bottom w:val="nil"/>
              <w:right w:val="nil"/>
            </w:tcBorders>
            <w:shd w:val="clear" w:color="auto" w:fill="auto"/>
            <w:noWrap/>
            <w:vAlign w:val="bottom"/>
            <w:hideMark/>
          </w:tcPr>
          <w:p w:rsidR="00830ABB" w:rsidRPr="00830ABB" w:rsidRDefault="00830ABB" w:rsidP="00830ABB">
            <w:pPr>
              <w:spacing w:after="0"/>
              <w:jc w:val="left"/>
              <w:rPr>
                <w:rFonts w:eastAsia="Times New Roman" w:cs="Times New Roman"/>
                <w:color w:val="000000"/>
                <w:sz w:val="20"/>
                <w:szCs w:val="20"/>
              </w:rPr>
            </w:pPr>
          </w:p>
        </w:tc>
        <w:tc>
          <w:tcPr>
            <w:tcW w:w="1580" w:type="dxa"/>
            <w:tcBorders>
              <w:top w:val="nil"/>
              <w:left w:val="nil"/>
              <w:bottom w:val="nil"/>
              <w:right w:val="nil"/>
            </w:tcBorders>
            <w:shd w:val="clear" w:color="auto" w:fill="auto"/>
            <w:noWrap/>
            <w:vAlign w:val="bottom"/>
            <w:hideMark/>
          </w:tcPr>
          <w:p w:rsidR="00830ABB" w:rsidRPr="00DB315A" w:rsidRDefault="00830ABB" w:rsidP="00830ABB">
            <w:pPr>
              <w:spacing w:after="0"/>
              <w:jc w:val="right"/>
              <w:rPr>
                <w:rFonts w:eastAsia="Times New Roman" w:cs="Times New Roman"/>
                <w:color w:val="000000"/>
                <w:sz w:val="20"/>
                <w:szCs w:val="20"/>
              </w:rPr>
            </w:pPr>
            <w:r w:rsidRPr="00DB315A">
              <w:rPr>
                <w:rFonts w:eastAsia="Times New Roman" w:cs="Times New Roman"/>
                <w:color w:val="000000"/>
                <w:sz w:val="20"/>
                <w:szCs w:val="20"/>
              </w:rPr>
              <w:t>млн. лв.</w:t>
            </w:r>
          </w:p>
        </w:tc>
      </w:tr>
      <w:tr w:rsidR="00830ABB" w:rsidRPr="00DB315A" w:rsidTr="000A5AF5">
        <w:trPr>
          <w:trHeight w:val="255"/>
        </w:trPr>
        <w:tc>
          <w:tcPr>
            <w:tcW w:w="4200" w:type="dxa"/>
            <w:tcBorders>
              <w:top w:val="single" w:sz="4" w:space="0" w:color="auto"/>
              <w:left w:val="nil"/>
              <w:bottom w:val="single" w:sz="4" w:space="0" w:color="auto"/>
              <w:right w:val="nil"/>
            </w:tcBorders>
            <w:shd w:val="clear" w:color="auto" w:fill="auto"/>
            <w:vAlign w:val="center"/>
            <w:hideMark/>
          </w:tcPr>
          <w:p w:rsidR="00830ABB" w:rsidRPr="00DB315A" w:rsidRDefault="00830ABB" w:rsidP="00830ABB">
            <w:pPr>
              <w:spacing w:after="0"/>
              <w:jc w:val="center"/>
              <w:rPr>
                <w:rFonts w:eastAsia="Times New Roman" w:cs="Times New Roman"/>
                <w:b/>
                <w:bCs/>
                <w:color w:val="000000"/>
                <w:sz w:val="20"/>
                <w:szCs w:val="20"/>
              </w:rPr>
            </w:pPr>
            <w:r w:rsidRPr="00DB315A">
              <w:rPr>
                <w:rFonts w:eastAsia="Times New Roman" w:cs="Times New Roman"/>
                <w:b/>
                <w:bCs/>
                <w:color w:val="000000"/>
                <w:sz w:val="20"/>
                <w:szCs w:val="20"/>
              </w:rPr>
              <w:t> </w:t>
            </w:r>
          </w:p>
        </w:tc>
        <w:tc>
          <w:tcPr>
            <w:tcW w:w="1660" w:type="dxa"/>
            <w:tcBorders>
              <w:top w:val="single" w:sz="4" w:space="0" w:color="auto"/>
              <w:left w:val="nil"/>
              <w:bottom w:val="single" w:sz="4" w:space="0" w:color="auto"/>
              <w:right w:val="nil"/>
            </w:tcBorders>
            <w:shd w:val="clear" w:color="auto" w:fill="auto"/>
            <w:vAlign w:val="center"/>
            <w:hideMark/>
          </w:tcPr>
          <w:p w:rsidR="00830ABB" w:rsidRPr="00DB315A" w:rsidRDefault="00DB315A" w:rsidP="00243BF6">
            <w:pPr>
              <w:spacing w:after="0"/>
              <w:jc w:val="right"/>
              <w:rPr>
                <w:rFonts w:eastAsia="Times New Roman" w:cs="Times New Roman"/>
                <w:b/>
                <w:bCs/>
                <w:color w:val="000000"/>
                <w:sz w:val="20"/>
                <w:szCs w:val="20"/>
              </w:rPr>
            </w:pPr>
            <w:r w:rsidRPr="00DB315A">
              <w:rPr>
                <w:rFonts w:eastAsia="Times New Roman" w:cs="Times New Roman"/>
                <w:b/>
                <w:bCs/>
                <w:color w:val="000000"/>
                <w:sz w:val="20"/>
                <w:szCs w:val="20"/>
              </w:rPr>
              <w:t>2020</w:t>
            </w:r>
            <w:r w:rsidR="00830ABB" w:rsidRPr="00DB315A">
              <w:rPr>
                <w:rFonts w:eastAsia="Times New Roman" w:cs="Times New Roman"/>
                <w:b/>
                <w:bCs/>
                <w:color w:val="000000"/>
                <w:sz w:val="20"/>
                <w:szCs w:val="20"/>
              </w:rPr>
              <w:t xml:space="preserve"> г.</w:t>
            </w:r>
          </w:p>
        </w:tc>
        <w:tc>
          <w:tcPr>
            <w:tcW w:w="1480" w:type="dxa"/>
            <w:tcBorders>
              <w:top w:val="single" w:sz="4" w:space="0" w:color="auto"/>
              <w:left w:val="nil"/>
              <w:bottom w:val="single" w:sz="4" w:space="0" w:color="auto"/>
              <w:right w:val="nil"/>
            </w:tcBorders>
            <w:shd w:val="clear" w:color="auto" w:fill="auto"/>
            <w:vAlign w:val="center"/>
            <w:hideMark/>
          </w:tcPr>
          <w:p w:rsidR="00830ABB" w:rsidRPr="00DB315A" w:rsidRDefault="00DB315A" w:rsidP="00243BF6">
            <w:pPr>
              <w:spacing w:after="0"/>
              <w:jc w:val="right"/>
              <w:rPr>
                <w:rFonts w:eastAsia="Times New Roman" w:cs="Times New Roman"/>
                <w:b/>
                <w:bCs/>
                <w:color w:val="000000"/>
                <w:sz w:val="20"/>
                <w:szCs w:val="20"/>
              </w:rPr>
            </w:pPr>
            <w:r w:rsidRPr="00DB315A">
              <w:rPr>
                <w:rFonts w:eastAsia="Times New Roman" w:cs="Times New Roman"/>
                <w:b/>
                <w:bCs/>
                <w:color w:val="000000"/>
                <w:sz w:val="20"/>
                <w:szCs w:val="20"/>
              </w:rPr>
              <w:t>2021</w:t>
            </w:r>
            <w:r w:rsidR="00830ABB" w:rsidRPr="00DB315A">
              <w:rPr>
                <w:rFonts w:eastAsia="Times New Roman" w:cs="Times New Roman"/>
                <w:b/>
                <w:bCs/>
                <w:color w:val="000000"/>
                <w:sz w:val="20"/>
                <w:szCs w:val="20"/>
              </w:rPr>
              <w:t xml:space="preserve"> г.</w:t>
            </w:r>
          </w:p>
        </w:tc>
        <w:tc>
          <w:tcPr>
            <w:tcW w:w="1580" w:type="dxa"/>
            <w:tcBorders>
              <w:top w:val="single" w:sz="4" w:space="0" w:color="auto"/>
              <w:left w:val="nil"/>
              <w:bottom w:val="single" w:sz="4" w:space="0" w:color="auto"/>
              <w:right w:val="nil"/>
            </w:tcBorders>
            <w:shd w:val="clear" w:color="auto" w:fill="auto"/>
            <w:vAlign w:val="center"/>
            <w:hideMark/>
          </w:tcPr>
          <w:p w:rsidR="00830ABB" w:rsidRPr="00DB315A" w:rsidRDefault="00830ABB" w:rsidP="00243BF6">
            <w:pPr>
              <w:spacing w:after="0"/>
              <w:jc w:val="right"/>
              <w:rPr>
                <w:rFonts w:eastAsia="Times New Roman" w:cs="Times New Roman"/>
                <w:b/>
                <w:bCs/>
                <w:color w:val="000000"/>
                <w:sz w:val="20"/>
                <w:szCs w:val="20"/>
              </w:rPr>
            </w:pPr>
            <w:r w:rsidRPr="00DB315A">
              <w:rPr>
                <w:rFonts w:eastAsia="Times New Roman" w:cs="Times New Roman"/>
                <w:b/>
                <w:bCs/>
                <w:color w:val="000000"/>
                <w:sz w:val="20"/>
                <w:szCs w:val="20"/>
              </w:rPr>
              <w:t>202</w:t>
            </w:r>
            <w:r w:rsidR="00DB315A" w:rsidRPr="00DB315A">
              <w:rPr>
                <w:rFonts w:eastAsia="Times New Roman" w:cs="Times New Roman"/>
                <w:b/>
                <w:bCs/>
                <w:color w:val="000000"/>
                <w:sz w:val="20"/>
                <w:szCs w:val="20"/>
              </w:rPr>
              <w:t>2</w:t>
            </w:r>
            <w:r w:rsidRPr="00DB315A">
              <w:rPr>
                <w:rFonts w:eastAsia="Times New Roman" w:cs="Times New Roman"/>
                <w:b/>
                <w:bCs/>
                <w:color w:val="000000"/>
                <w:sz w:val="20"/>
                <w:szCs w:val="20"/>
              </w:rPr>
              <w:t xml:space="preserve"> г.</w:t>
            </w:r>
          </w:p>
        </w:tc>
      </w:tr>
      <w:tr w:rsidR="00414851" w:rsidRPr="00DB315A" w:rsidTr="00DD7057">
        <w:trPr>
          <w:trHeight w:val="255"/>
        </w:trPr>
        <w:tc>
          <w:tcPr>
            <w:tcW w:w="4200" w:type="dxa"/>
            <w:tcBorders>
              <w:top w:val="single" w:sz="4" w:space="0" w:color="auto"/>
              <w:left w:val="nil"/>
              <w:bottom w:val="nil"/>
              <w:right w:val="nil"/>
            </w:tcBorders>
            <w:shd w:val="clear" w:color="auto" w:fill="auto"/>
            <w:vAlign w:val="center"/>
            <w:hideMark/>
          </w:tcPr>
          <w:p w:rsidR="00414851" w:rsidRPr="00DB315A" w:rsidRDefault="00414851" w:rsidP="00830ABB">
            <w:pPr>
              <w:spacing w:after="0"/>
              <w:jc w:val="left"/>
              <w:rPr>
                <w:rFonts w:eastAsia="Times New Roman" w:cs="Times New Roman"/>
                <w:color w:val="000000"/>
                <w:sz w:val="20"/>
                <w:szCs w:val="20"/>
              </w:rPr>
            </w:pPr>
            <w:r w:rsidRPr="00DB315A">
              <w:rPr>
                <w:rFonts w:eastAsia="Times New Roman" w:cs="Times New Roman"/>
                <w:color w:val="000000"/>
                <w:sz w:val="20"/>
                <w:szCs w:val="20"/>
              </w:rPr>
              <w:t>Средства от ЕС</w:t>
            </w:r>
          </w:p>
        </w:tc>
        <w:tc>
          <w:tcPr>
            <w:tcW w:w="1660" w:type="dxa"/>
            <w:tcBorders>
              <w:top w:val="single" w:sz="4" w:space="0" w:color="auto"/>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2 586,3</w:t>
            </w:r>
          </w:p>
        </w:tc>
        <w:tc>
          <w:tcPr>
            <w:tcW w:w="1480" w:type="dxa"/>
            <w:tcBorders>
              <w:top w:val="single" w:sz="4" w:space="0" w:color="auto"/>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2 560,7</w:t>
            </w:r>
          </w:p>
        </w:tc>
        <w:tc>
          <w:tcPr>
            <w:tcW w:w="1580" w:type="dxa"/>
            <w:tcBorders>
              <w:top w:val="single" w:sz="4" w:space="0" w:color="auto"/>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2 423,0</w:t>
            </w:r>
          </w:p>
        </w:tc>
      </w:tr>
      <w:tr w:rsidR="00414851" w:rsidRPr="00DB315A" w:rsidTr="00DD7057">
        <w:trPr>
          <w:trHeight w:val="75"/>
        </w:trPr>
        <w:tc>
          <w:tcPr>
            <w:tcW w:w="4200" w:type="dxa"/>
            <w:tcBorders>
              <w:top w:val="nil"/>
              <w:left w:val="nil"/>
              <w:bottom w:val="nil"/>
              <w:right w:val="nil"/>
            </w:tcBorders>
            <w:shd w:val="clear" w:color="auto" w:fill="auto"/>
            <w:vAlign w:val="center"/>
            <w:hideMark/>
          </w:tcPr>
          <w:p w:rsidR="00414851" w:rsidRPr="00DB315A" w:rsidRDefault="00414851" w:rsidP="00830ABB">
            <w:pPr>
              <w:spacing w:after="0"/>
              <w:jc w:val="left"/>
              <w:rPr>
                <w:rFonts w:eastAsia="Times New Roman" w:cs="Times New Roman"/>
                <w:color w:val="000000"/>
                <w:sz w:val="20"/>
                <w:szCs w:val="20"/>
              </w:rPr>
            </w:pPr>
          </w:p>
        </w:tc>
        <w:tc>
          <w:tcPr>
            <w:tcW w:w="1660" w:type="dxa"/>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c>
          <w:tcPr>
            <w:tcW w:w="1480" w:type="dxa"/>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c>
          <w:tcPr>
            <w:tcW w:w="1580" w:type="dxa"/>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r>
      <w:tr w:rsidR="00414851" w:rsidRPr="00DB315A" w:rsidTr="00DD7057">
        <w:trPr>
          <w:trHeight w:val="510"/>
        </w:trPr>
        <w:tc>
          <w:tcPr>
            <w:tcW w:w="4200" w:type="dxa"/>
            <w:tcBorders>
              <w:top w:val="nil"/>
              <w:left w:val="nil"/>
              <w:bottom w:val="nil"/>
              <w:right w:val="nil"/>
            </w:tcBorders>
            <w:shd w:val="clear" w:color="auto" w:fill="auto"/>
            <w:vAlign w:val="center"/>
            <w:hideMark/>
          </w:tcPr>
          <w:p w:rsidR="00414851" w:rsidRPr="00DB315A" w:rsidRDefault="00414851" w:rsidP="00D55D3B">
            <w:pPr>
              <w:spacing w:after="0"/>
              <w:jc w:val="left"/>
              <w:rPr>
                <w:rFonts w:eastAsia="Times New Roman" w:cs="Times New Roman"/>
                <w:color w:val="000000"/>
                <w:sz w:val="20"/>
                <w:szCs w:val="20"/>
              </w:rPr>
            </w:pPr>
            <w:r w:rsidRPr="00DB315A">
              <w:rPr>
                <w:rFonts w:eastAsia="Times New Roman" w:cs="Times New Roman"/>
                <w:color w:val="000000"/>
                <w:sz w:val="20"/>
                <w:szCs w:val="20"/>
              </w:rPr>
              <w:t>Национално съфинансиране и авансови плащания</w:t>
            </w:r>
          </w:p>
        </w:tc>
        <w:tc>
          <w:tcPr>
            <w:tcW w:w="1660" w:type="dxa"/>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251,5</w:t>
            </w:r>
          </w:p>
        </w:tc>
        <w:tc>
          <w:tcPr>
            <w:tcW w:w="1480" w:type="dxa"/>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239,7</w:t>
            </w:r>
          </w:p>
        </w:tc>
        <w:tc>
          <w:tcPr>
            <w:tcW w:w="1580" w:type="dxa"/>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201,0</w:t>
            </w:r>
          </w:p>
        </w:tc>
      </w:tr>
      <w:tr w:rsidR="00414851" w:rsidRPr="00DB315A" w:rsidTr="00DD7057">
        <w:trPr>
          <w:trHeight w:val="70"/>
        </w:trPr>
        <w:tc>
          <w:tcPr>
            <w:tcW w:w="4200" w:type="dxa"/>
            <w:tcBorders>
              <w:top w:val="nil"/>
              <w:left w:val="nil"/>
              <w:bottom w:val="nil"/>
              <w:right w:val="nil"/>
            </w:tcBorders>
            <w:shd w:val="clear" w:color="auto" w:fill="auto"/>
            <w:vAlign w:val="center"/>
            <w:hideMark/>
          </w:tcPr>
          <w:p w:rsidR="00414851" w:rsidRPr="00DB315A" w:rsidRDefault="00414851" w:rsidP="00830ABB">
            <w:pPr>
              <w:spacing w:after="0"/>
              <w:jc w:val="left"/>
              <w:rPr>
                <w:rFonts w:eastAsia="Times New Roman" w:cs="Times New Roman"/>
                <w:color w:val="000000"/>
                <w:sz w:val="20"/>
                <w:szCs w:val="20"/>
              </w:rPr>
            </w:pPr>
          </w:p>
        </w:tc>
        <w:tc>
          <w:tcPr>
            <w:tcW w:w="1660" w:type="dxa"/>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c>
          <w:tcPr>
            <w:tcW w:w="1480" w:type="dxa"/>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c>
          <w:tcPr>
            <w:tcW w:w="1580" w:type="dxa"/>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r>
      <w:tr w:rsidR="00414851" w:rsidRPr="00D8154D" w:rsidTr="00DD7057">
        <w:trPr>
          <w:trHeight w:val="255"/>
        </w:trPr>
        <w:tc>
          <w:tcPr>
            <w:tcW w:w="4200" w:type="dxa"/>
            <w:tcBorders>
              <w:top w:val="nil"/>
              <w:left w:val="nil"/>
              <w:bottom w:val="single" w:sz="4" w:space="0" w:color="auto"/>
              <w:right w:val="nil"/>
            </w:tcBorders>
            <w:shd w:val="clear" w:color="auto" w:fill="auto"/>
            <w:vAlign w:val="center"/>
            <w:hideMark/>
          </w:tcPr>
          <w:p w:rsidR="00414851" w:rsidRPr="00DB315A" w:rsidRDefault="00414851" w:rsidP="00830ABB">
            <w:pPr>
              <w:spacing w:after="0"/>
              <w:jc w:val="left"/>
              <w:rPr>
                <w:rFonts w:eastAsia="Times New Roman" w:cs="Times New Roman"/>
                <w:b/>
                <w:bCs/>
                <w:color w:val="000000"/>
                <w:sz w:val="20"/>
                <w:szCs w:val="20"/>
              </w:rPr>
            </w:pPr>
            <w:r w:rsidRPr="00DB315A">
              <w:rPr>
                <w:rFonts w:eastAsia="Times New Roman" w:cs="Times New Roman"/>
                <w:b/>
                <w:bCs/>
                <w:color w:val="000000"/>
                <w:sz w:val="20"/>
                <w:szCs w:val="20"/>
              </w:rPr>
              <w:t>Общо</w:t>
            </w:r>
          </w:p>
        </w:tc>
        <w:tc>
          <w:tcPr>
            <w:tcW w:w="1660" w:type="dxa"/>
            <w:tcBorders>
              <w:top w:val="nil"/>
              <w:left w:val="nil"/>
              <w:bottom w:val="single" w:sz="4" w:space="0" w:color="auto"/>
              <w:right w:val="nil"/>
            </w:tcBorders>
            <w:shd w:val="clear" w:color="auto" w:fill="auto"/>
            <w:vAlign w:val="center"/>
          </w:tcPr>
          <w:p w:rsidR="00414851" w:rsidRPr="000A5AF5" w:rsidRDefault="00414851" w:rsidP="00791845">
            <w:pPr>
              <w:spacing w:after="0"/>
              <w:ind w:firstLineChars="100" w:firstLine="200"/>
              <w:jc w:val="right"/>
              <w:rPr>
                <w:b/>
                <w:sz w:val="20"/>
                <w:szCs w:val="20"/>
              </w:rPr>
            </w:pPr>
            <w:r w:rsidRPr="000A5AF5">
              <w:rPr>
                <w:b/>
                <w:sz w:val="20"/>
                <w:szCs w:val="20"/>
              </w:rPr>
              <w:t>2 837,8</w:t>
            </w:r>
          </w:p>
        </w:tc>
        <w:tc>
          <w:tcPr>
            <w:tcW w:w="1480" w:type="dxa"/>
            <w:tcBorders>
              <w:top w:val="nil"/>
              <w:left w:val="nil"/>
              <w:bottom w:val="single" w:sz="4" w:space="0" w:color="auto"/>
              <w:right w:val="nil"/>
            </w:tcBorders>
            <w:shd w:val="clear" w:color="auto" w:fill="auto"/>
            <w:vAlign w:val="center"/>
          </w:tcPr>
          <w:p w:rsidR="00414851" w:rsidRPr="000A5AF5" w:rsidRDefault="00414851" w:rsidP="00791845">
            <w:pPr>
              <w:spacing w:after="0"/>
              <w:ind w:firstLineChars="100" w:firstLine="200"/>
              <w:jc w:val="right"/>
              <w:rPr>
                <w:b/>
                <w:sz w:val="20"/>
                <w:szCs w:val="20"/>
              </w:rPr>
            </w:pPr>
            <w:r w:rsidRPr="000A5AF5">
              <w:rPr>
                <w:b/>
                <w:sz w:val="20"/>
                <w:szCs w:val="20"/>
              </w:rPr>
              <w:t>2 800,4</w:t>
            </w:r>
          </w:p>
        </w:tc>
        <w:tc>
          <w:tcPr>
            <w:tcW w:w="1580" w:type="dxa"/>
            <w:tcBorders>
              <w:top w:val="nil"/>
              <w:left w:val="nil"/>
              <w:bottom w:val="single" w:sz="4" w:space="0" w:color="auto"/>
              <w:right w:val="nil"/>
            </w:tcBorders>
            <w:shd w:val="clear" w:color="auto" w:fill="auto"/>
            <w:vAlign w:val="center"/>
          </w:tcPr>
          <w:p w:rsidR="00414851" w:rsidRPr="000A5AF5" w:rsidRDefault="00414851" w:rsidP="00791845">
            <w:pPr>
              <w:spacing w:after="0"/>
              <w:ind w:firstLineChars="100" w:firstLine="200"/>
              <w:jc w:val="right"/>
              <w:rPr>
                <w:b/>
                <w:sz w:val="20"/>
                <w:szCs w:val="20"/>
              </w:rPr>
            </w:pPr>
            <w:r w:rsidRPr="000A5AF5">
              <w:rPr>
                <w:b/>
                <w:sz w:val="20"/>
                <w:szCs w:val="20"/>
              </w:rPr>
              <w:t>2 624,0</w:t>
            </w:r>
          </w:p>
        </w:tc>
      </w:tr>
    </w:tbl>
    <w:p w:rsidR="00387D39" w:rsidRPr="009D2915" w:rsidRDefault="00387D39" w:rsidP="00680C74">
      <w:pPr>
        <w:pStyle w:val="Heading3"/>
        <w:numPr>
          <w:ilvl w:val="0"/>
          <w:numId w:val="0"/>
        </w:numPr>
        <w:rPr>
          <w:rFonts w:eastAsia="Batang"/>
        </w:rPr>
      </w:pPr>
      <w:bookmarkStart w:id="576" w:name="_Toc465070514"/>
      <w:bookmarkStart w:id="577" w:name="_Toc465205564"/>
      <w:r w:rsidRPr="009D2915">
        <w:rPr>
          <w:rFonts w:eastAsia="Batang"/>
        </w:rPr>
        <w:t>ОБЩА Р</w:t>
      </w:r>
      <w:r w:rsidR="006C7E1D">
        <w:rPr>
          <w:rFonts w:eastAsia="Batang"/>
        </w:rPr>
        <w:t>ИБАРСКА ПОЛИТИКА ЗА ПЕРИОДА 2020-2022</w:t>
      </w:r>
      <w:r w:rsidR="00AA3035">
        <w:rPr>
          <w:rFonts w:eastAsia="Batang"/>
        </w:rPr>
        <w:t> г.</w:t>
      </w:r>
      <w:bookmarkEnd w:id="576"/>
      <w:bookmarkEnd w:id="577"/>
    </w:p>
    <w:p w:rsidR="00414851" w:rsidRPr="00414851" w:rsidRDefault="00414851" w:rsidP="00414851">
      <w:pPr>
        <w:spacing w:before="120" w:after="0"/>
        <w:rPr>
          <w:rFonts w:eastAsia="Batang"/>
        </w:rPr>
      </w:pPr>
      <w:r w:rsidRPr="00414851">
        <w:rPr>
          <w:rFonts w:eastAsia="Batang"/>
        </w:rPr>
        <w:t>Преобладаващата част от мерките по Програмата за морско дело и рибарство за периода са насочени към:</w:t>
      </w:r>
    </w:p>
    <w:p w:rsidR="00414851" w:rsidRPr="00414851" w:rsidRDefault="00414851" w:rsidP="003403BF">
      <w:pPr>
        <w:numPr>
          <w:ilvl w:val="0"/>
          <w:numId w:val="18"/>
        </w:numPr>
        <w:spacing w:before="120" w:after="0"/>
        <w:rPr>
          <w:rFonts w:eastAsia="Batang"/>
        </w:rPr>
      </w:pPr>
      <w:r w:rsidRPr="00414851">
        <w:rPr>
          <w:rFonts w:eastAsia="Batang"/>
        </w:rPr>
        <w:t>повишаване на конкурентоспособността и жизнеспособността на предприятията в сектор рибарство;</w:t>
      </w:r>
    </w:p>
    <w:p w:rsidR="00414851" w:rsidRPr="00414851" w:rsidRDefault="00414851" w:rsidP="003403BF">
      <w:pPr>
        <w:numPr>
          <w:ilvl w:val="0"/>
          <w:numId w:val="18"/>
        </w:numPr>
        <w:spacing w:before="120" w:after="0"/>
        <w:rPr>
          <w:rFonts w:eastAsia="Batang"/>
        </w:rPr>
      </w:pPr>
      <w:r w:rsidRPr="00414851">
        <w:rPr>
          <w:rFonts w:eastAsia="Batang"/>
        </w:rPr>
        <w:t>насърчаване на устойчиво, отличаващо се с ефективно използване на ресурсите рибарство;</w:t>
      </w:r>
    </w:p>
    <w:p w:rsidR="00414851" w:rsidRPr="00414851" w:rsidRDefault="00414851" w:rsidP="003403BF">
      <w:pPr>
        <w:numPr>
          <w:ilvl w:val="0"/>
          <w:numId w:val="18"/>
        </w:numPr>
        <w:spacing w:before="120" w:after="0"/>
        <w:rPr>
          <w:rFonts w:eastAsia="Batang"/>
        </w:rPr>
      </w:pPr>
      <w:r w:rsidRPr="00414851">
        <w:rPr>
          <w:rFonts w:eastAsia="Batang"/>
        </w:rPr>
        <w:t>диверсификация на дейностите в рамките на сектор рибарство, както и в други сектори на морската икономика;</w:t>
      </w:r>
    </w:p>
    <w:p w:rsidR="00414851" w:rsidRPr="00414851" w:rsidRDefault="00414851" w:rsidP="003403BF">
      <w:pPr>
        <w:numPr>
          <w:ilvl w:val="0"/>
          <w:numId w:val="18"/>
        </w:numPr>
        <w:spacing w:before="120" w:after="0"/>
        <w:rPr>
          <w:rFonts w:eastAsia="Batang"/>
        </w:rPr>
      </w:pPr>
      <w:r w:rsidRPr="00414851">
        <w:rPr>
          <w:rFonts w:eastAsia="Batang"/>
        </w:rPr>
        <w:t>подобряване на пазарната организация за продуктите на риболов и аквакултурите;</w:t>
      </w:r>
    </w:p>
    <w:p w:rsidR="00414851" w:rsidRPr="00414851" w:rsidRDefault="00414851" w:rsidP="003403BF">
      <w:pPr>
        <w:numPr>
          <w:ilvl w:val="0"/>
          <w:numId w:val="18"/>
        </w:numPr>
        <w:spacing w:before="120" w:after="0"/>
        <w:rPr>
          <w:rFonts w:eastAsia="Batang"/>
        </w:rPr>
      </w:pPr>
      <w:r w:rsidRPr="00414851">
        <w:rPr>
          <w:rFonts w:eastAsia="Batang"/>
        </w:rPr>
        <w:t>рибарски пристанища, кейове за разтоварване и покрити лодкостоянки.</w:t>
      </w:r>
    </w:p>
    <w:p w:rsidR="00347827" w:rsidRDefault="00414851" w:rsidP="00B55FAA">
      <w:pPr>
        <w:spacing w:before="120" w:after="120"/>
        <w:rPr>
          <w:rFonts w:eastAsia="Batang"/>
        </w:rPr>
      </w:pPr>
      <w:r w:rsidRPr="00414851">
        <w:rPr>
          <w:rFonts w:eastAsia="Batang"/>
        </w:rPr>
        <w:t>В средносрочен план средствата, които страната ни предвижда да усвоява по програмите на ЕС и да изплаща за общата рибарска политика са, както следва:</w:t>
      </w:r>
    </w:p>
    <w:p w:rsidR="00F310F9" w:rsidRDefault="00F310F9" w:rsidP="00B55FAA">
      <w:pPr>
        <w:spacing w:before="120" w:after="120"/>
        <w:rPr>
          <w:rFonts w:eastAsia="Batang"/>
        </w:rPr>
      </w:pPr>
    </w:p>
    <w:p w:rsidR="00F310F9" w:rsidRDefault="00F310F9" w:rsidP="00B55FAA">
      <w:pPr>
        <w:spacing w:before="120" w:after="120"/>
        <w:rPr>
          <w:rFonts w:eastAsia="Batang"/>
        </w:rPr>
      </w:pPr>
    </w:p>
    <w:p w:rsidR="00F310F9" w:rsidRDefault="00F310F9" w:rsidP="00B55FAA">
      <w:pPr>
        <w:spacing w:before="120" w:after="120"/>
        <w:rPr>
          <w:rFonts w:eastAsia="Batang"/>
        </w:rPr>
      </w:pPr>
    </w:p>
    <w:p w:rsidR="00F310F9" w:rsidRPr="00414851" w:rsidRDefault="00F310F9" w:rsidP="00B55FAA">
      <w:pPr>
        <w:spacing w:before="120" w:after="120"/>
        <w:rPr>
          <w:rFonts w:eastAsia="Batang"/>
        </w:rPr>
      </w:pPr>
    </w:p>
    <w:p w:rsidR="00AE3F21" w:rsidRDefault="00AE3F21" w:rsidP="00AE3F21">
      <w:pPr>
        <w:pStyle w:val="Caption"/>
        <w:rPr>
          <w:rFonts w:cs="Calibri"/>
          <w:color w:val="000000"/>
          <w:szCs w:val="24"/>
        </w:rPr>
      </w:pPr>
      <w:bookmarkStart w:id="578" w:name="_Toc464737648"/>
      <w:bookmarkStart w:id="579" w:name="_Toc23337532"/>
      <w:bookmarkStart w:id="580" w:name="_Toc464645011"/>
      <w:bookmarkStart w:id="581" w:name="_Toc464646376"/>
      <w:r>
        <w:t xml:space="preserve">Табл. </w:t>
      </w:r>
      <w:fldSimple w:instr=" STYLEREF 1 \s ">
        <w:r w:rsidR="0034195B">
          <w:rPr>
            <w:noProof/>
          </w:rPr>
          <w:t>V</w:t>
        </w:r>
      </w:fldSimple>
      <w:r w:rsidR="00927CD5">
        <w:noBreakHyphen/>
      </w:r>
      <w:fldSimple w:instr=" SEQ Табл. \* ARABIC \s 1 ">
        <w:r w:rsidR="0034195B">
          <w:rPr>
            <w:noProof/>
          </w:rPr>
          <w:t>2</w:t>
        </w:r>
      </w:fldSimple>
      <w:r>
        <w:t>:</w:t>
      </w:r>
      <w:r>
        <w:tab/>
      </w:r>
      <w:r w:rsidR="00830ABB" w:rsidRPr="00830ABB">
        <w:rPr>
          <w:rFonts w:cs="Calibri"/>
          <w:color w:val="000000"/>
          <w:szCs w:val="24"/>
        </w:rPr>
        <w:t>Разходи и плащания</w:t>
      </w:r>
      <w:r w:rsidR="00F61385" w:rsidRPr="00D8634F">
        <w:rPr>
          <w:rFonts w:cs="Calibri"/>
          <w:color w:val="000000"/>
          <w:szCs w:val="24"/>
        </w:rPr>
        <w:t xml:space="preserve"> за </w:t>
      </w:r>
      <w:r w:rsidR="00782307" w:rsidRPr="00D8634F">
        <w:rPr>
          <w:rFonts w:cs="Calibri"/>
          <w:color w:val="000000"/>
          <w:szCs w:val="24"/>
        </w:rPr>
        <w:t xml:space="preserve">рибарската </w:t>
      </w:r>
      <w:r w:rsidR="00F61385" w:rsidRPr="00D8634F">
        <w:rPr>
          <w:rFonts w:cs="Calibri"/>
          <w:color w:val="000000"/>
          <w:szCs w:val="24"/>
        </w:rPr>
        <w:t xml:space="preserve">политика за периода </w:t>
      </w:r>
      <w:r w:rsidR="00DB315A" w:rsidRPr="00DB315A">
        <w:rPr>
          <w:rFonts w:cs="Calibri"/>
          <w:color w:val="000000"/>
          <w:szCs w:val="24"/>
        </w:rPr>
        <w:t>2020-2022</w:t>
      </w:r>
      <w:r w:rsidR="00AA3035" w:rsidRPr="00DB315A">
        <w:rPr>
          <w:rFonts w:cs="Calibri"/>
          <w:color w:val="000000"/>
          <w:szCs w:val="24"/>
        </w:rPr>
        <w:t> г.</w:t>
      </w:r>
      <w:bookmarkEnd w:id="578"/>
      <w:bookmarkEnd w:id="579"/>
      <w:r w:rsidR="00782307" w:rsidRPr="00D8634F">
        <w:rPr>
          <w:rFonts w:cs="Calibri"/>
          <w:color w:val="000000"/>
          <w:szCs w:val="24"/>
        </w:rPr>
        <w:t xml:space="preserve"> </w:t>
      </w:r>
    </w:p>
    <w:tbl>
      <w:tblPr>
        <w:tblW w:w="5000" w:type="pct"/>
        <w:tblCellMar>
          <w:left w:w="70" w:type="dxa"/>
          <w:right w:w="70" w:type="dxa"/>
        </w:tblCellMar>
        <w:tblLook w:val="04A0" w:firstRow="1" w:lastRow="0" w:firstColumn="1" w:lastColumn="0" w:noHBand="0" w:noVBand="1"/>
      </w:tblPr>
      <w:tblGrid>
        <w:gridCol w:w="4118"/>
        <w:gridCol w:w="1839"/>
        <w:gridCol w:w="1506"/>
        <w:gridCol w:w="1607"/>
      </w:tblGrid>
      <w:tr w:rsidR="00830ABB" w:rsidRPr="00DB315A" w:rsidTr="00FB0048">
        <w:trPr>
          <w:trHeight w:val="255"/>
        </w:trPr>
        <w:tc>
          <w:tcPr>
            <w:tcW w:w="2270" w:type="pct"/>
            <w:tcBorders>
              <w:top w:val="nil"/>
              <w:left w:val="nil"/>
              <w:bottom w:val="nil"/>
              <w:right w:val="nil"/>
            </w:tcBorders>
            <w:shd w:val="clear" w:color="auto" w:fill="auto"/>
            <w:noWrap/>
            <w:vAlign w:val="bottom"/>
            <w:hideMark/>
          </w:tcPr>
          <w:p w:rsidR="00830ABB" w:rsidRPr="00830ABB" w:rsidRDefault="00830ABB" w:rsidP="00830ABB">
            <w:pPr>
              <w:spacing w:after="0"/>
              <w:jc w:val="left"/>
              <w:rPr>
                <w:rFonts w:eastAsia="Times New Roman" w:cs="Times New Roman"/>
                <w:color w:val="000000"/>
                <w:sz w:val="20"/>
                <w:szCs w:val="20"/>
              </w:rPr>
            </w:pPr>
          </w:p>
        </w:tc>
        <w:tc>
          <w:tcPr>
            <w:tcW w:w="1014" w:type="pct"/>
            <w:tcBorders>
              <w:top w:val="nil"/>
              <w:left w:val="nil"/>
              <w:bottom w:val="nil"/>
              <w:right w:val="nil"/>
            </w:tcBorders>
            <w:shd w:val="clear" w:color="auto" w:fill="auto"/>
            <w:noWrap/>
            <w:vAlign w:val="bottom"/>
            <w:hideMark/>
          </w:tcPr>
          <w:p w:rsidR="00830ABB" w:rsidRPr="00830ABB" w:rsidRDefault="00830ABB" w:rsidP="00830ABB">
            <w:pPr>
              <w:spacing w:after="0"/>
              <w:jc w:val="left"/>
              <w:rPr>
                <w:rFonts w:eastAsia="Times New Roman" w:cs="Times New Roman"/>
                <w:color w:val="000000"/>
                <w:sz w:val="20"/>
                <w:szCs w:val="20"/>
              </w:rPr>
            </w:pPr>
          </w:p>
        </w:tc>
        <w:tc>
          <w:tcPr>
            <w:tcW w:w="830" w:type="pct"/>
            <w:tcBorders>
              <w:top w:val="nil"/>
              <w:left w:val="nil"/>
              <w:bottom w:val="nil"/>
              <w:right w:val="nil"/>
            </w:tcBorders>
            <w:shd w:val="clear" w:color="auto" w:fill="auto"/>
            <w:noWrap/>
            <w:vAlign w:val="bottom"/>
            <w:hideMark/>
          </w:tcPr>
          <w:p w:rsidR="00830ABB" w:rsidRPr="00830ABB" w:rsidRDefault="00830ABB" w:rsidP="00830ABB">
            <w:pPr>
              <w:spacing w:after="0"/>
              <w:jc w:val="left"/>
              <w:rPr>
                <w:rFonts w:eastAsia="Times New Roman" w:cs="Times New Roman"/>
                <w:color w:val="000000"/>
                <w:sz w:val="20"/>
                <w:szCs w:val="20"/>
              </w:rPr>
            </w:pPr>
          </w:p>
        </w:tc>
        <w:tc>
          <w:tcPr>
            <w:tcW w:w="886" w:type="pct"/>
            <w:tcBorders>
              <w:top w:val="nil"/>
              <w:left w:val="nil"/>
              <w:bottom w:val="nil"/>
              <w:right w:val="nil"/>
            </w:tcBorders>
            <w:shd w:val="clear" w:color="auto" w:fill="auto"/>
            <w:noWrap/>
            <w:vAlign w:val="bottom"/>
            <w:hideMark/>
          </w:tcPr>
          <w:p w:rsidR="00830ABB" w:rsidRPr="00DB315A" w:rsidRDefault="00830ABB" w:rsidP="00830ABB">
            <w:pPr>
              <w:spacing w:after="0"/>
              <w:jc w:val="right"/>
              <w:rPr>
                <w:rFonts w:eastAsia="Times New Roman" w:cs="Times New Roman"/>
                <w:color w:val="000000"/>
                <w:sz w:val="20"/>
                <w:szCs w:val="20"/>
              </w:rPr>
            </w:pPr>
            <w:r w:rsidRPr="00DB315A">
              <w:rPr>
                <w:rFonts w:eastAsia="Times New Roman" w:cs="Times New Roman"/>
                <w:color w:val="000000"/>
                <w:sz w:val="20"/>
                <w:szCs w:val="20"/>
              </w:rPr>
              <w:t>млн. лв.</w:t>
            </w:r>
          </w:p>
        </w:tc>
      </w:tr>
      <w:tr w:rsidR="00830ABB" w:rsidRPr="00DB315A" w:rsidTr="00FB0048">
        <w:trPr>
          <w:trHeight w:val="255"/>
        </w:trPr>
        <w:tc>
          <w:tcPr>
            <w:tcW w:w="2270" w:type="pct"/>
            <w:tcBorders>
              <w:top w:val="single" w:sz="4" w:space="0" w:color="auto"/>
              <w:left w:val="nil"/>
              <w:bottom w:val="single" w:sz="4" w:space="0" w:color="auto"/>
              <w:right w:val="nil"/>
            </w:tcBorders>
            <w:shd w:val="clear" w:color="auto" w:fill="auto"/>
            <w:vAlign w:val="center"/>
            <w:hideMark/>
          </w:tcPr>
          <w:p w:rsidR="00830ABB" w:rsidRPr="00DB315A" w:rsidRDefault="00830ABB" w:rsidP="00830ABB">
            <w:pPr>
              <w:spacing w:after="0"/>
              <w:jc w:val="center"/>
              <w:rPr>
                <w:rFonts w:eastAsia="Times New Roman" w:cs="Times New Roman"/>
                <w:b/>
                <w:bCs/>
                <w:color w:val="000000"/>
                <w:sz w:val="20"/>
                <w:szCs w:val="20"/>
              </w:rPr>
            </w:pPr>
            <w:r w:rsidRPr="00DB315A">
              <w:rPr>
                <w:rFonts w:eastAsia="Times New Roman" w:cs="Times New Roman"/>
                <w:b/>
                <w:bCs/>
                <w:color w:val="000000"/>
                <w:sz w:val="20"/>
                <w:szCs w:val="20"/>
              </w:rPr>
              <w:t> </w:t>
            </w:r>
          </w:p>
        </w:tc>
        <w:tc>
          <w:tcPr>
            <w:tcW w:w="1014" w:type="pct"/>
            <w:tcBorders>
              <w:top w:val="single" w:sz="4" w:space="0" w:color="auto"/>
              <w:left w:val="nil"/>
              <w:bottom w:val="single" w:sz="4" w:space="0" w:color="auto"/>
              <w:right w:val="nil"/>
            </w:tcBorders>
            <w:shd w:val="clear" w:color="auto" w:fill="auto"/>
            <w:vAlign w:val="center"/>
            <w:hideMark/>
          </w:tcPr>
          <w:p w:rsidR="00830ABB" w:rsidRPr="00DB315A" w:rsidRDefault="00FB0048" w:rsidP="00FB0048">
            <w:pPr>
              <w:spacing w:after="0"/>
              <w:jc w:val="right"/>
              <w:rPr>
                <w:rFonts w:eastAsia="Times New Roman" w:cs="Times New Roman"/>
                <w:b/>
                <w:bCs/>
                <w:color w:val="000000"/>
                <w:sz w:val="20"/>
                <w:szCs w:val="20"/>
              </w:rPr>
            </w:pPr>
            <w:r>
              <w:rPr>
                <w:rFonts w:eastAsia="Times New Roman" w:cs="Times New Roman"/>
                <w:b/>
                <w:bCs/>
                <w:color w:val="000000"/>
                <w:sz w:val="20"/>
                <w:szCs w:val="20"/>
              </w:rPr>
              <w:t xml:space="preserve">        </w:t>
            </w:r>
            <w:r w:rsidR="00DB315A" w:rsidRPr="00DB315A">
              <w:rPr>
                <w:rFonts w:eastAsia="Times New Roman" w:cs="Times New Roman"/>
                <w:b/>
                <w:bCs/>
                <w:color w:val="000000"/>
                <w:sz w:val="20"/>
                <w:szCs w:val="20"/>
              </w:rPr>
              <w:t>2020</w:t>
            </w:r>
            <w:r w:rsidR="00830ABB" w:rsidRPr="00DB315A">
              <w:rPr>
                <w:rFonts w:eastAsia="Times New Roman" w:cs="Times New Roman"/>
                <w:b/>
                <w:bCs/>
                <w:color w:val="000000"/>
                <w:sz w:val="20"/>
                <w:szCs w:val="20"/>
              </w:rPr>
              <w:t xml:space="preserve"> г.</w:t>
            </w:r>
          </w:p>
        </w:tc>
        <w:tc>
          <w:tcPr>
            <w:tcW w:w="830" w:type="pct"/>
            <w:tcBorders>
              <w:top w:val="single" w:sz="4" w:space="0" w:color="auto"/>
              <w:left w:val="nil"/>
              <w:bottom w:val="single" w:sz="4" w:space="0" w:color="auto"/>
              <w:right w:val="nil"/>
            </w:tcBorders>
            <w:shd w:val="clear" w:color="auto" w:fill="auto"/>
            <w:vAlign w:val="center"/>
            <w:hideMark/>
          </w:tcPr>
          <w:p w:rsidR="00830ABB" w:rsidRPr="00DB315A" w:rsidRDefault="00FB0048" w:rsidP="00FB0048">
            <w:pPr>
              <w:spacing w:after="0"/>
              <w:jc w:val="right"/>
              <w:rPr>
                <w:rFonts w:eastAsia="Times New Roman" w:cs="Times New Roman"/>
                <w:b/>
                <w:bCs/>
                <w:color w:val="000000"/>
                <w:sz w:val="20"/>
                <w:szCs w:val="20"/>
              </w:rPr>
            </w:pPr>
            <w:r>
              <w:rPr>
                <w:rFonts w:eastAsia="Times New Roman" w:cs="Times New Roman"/>
                <w:b/>
                <w:bCs/>
                <w:color w:val="000000"/>
                <w:sz w:val="20"/>
                <w:szCs w:val="20"/>
              </w:rPr>
              <w:t xml:space="preserve">    </w:t>
            </w:r>
            <w:r w:rsidR="00DB315A" w:rsidRPr="00DB315A">
              <w:rPr>
                <w:rFonts w:eastAsia="Times New Roman" w:cs="Times New Roman"/>
                <w:b/>
                <w:bCs/>
                <w:color w:val="000000"/>
                <w:sz w:val="20"/>
                <w:szCs w:val="20"/>
              </w:rPr>
              <w:t>2021</w:t>
            </w:r>
            <w:r w:rsidR="00830ABB" w:rsidRPr="00DB315A">
              <w:rPr>
                <w:rFonts w:eastAsia="Times New Roman" w:cs="Times New Roman"/>
                <w:b/>
                <w:bCs/>
                <w:color w:val="000000"/>
                <w:sz w:val="20"/>
                <w:szCs w:val="20"/>
              </w:rPr>
              <w:t xml:space="preserve"> г.</w:t>
            </w:r>
          </w:p>
        </w:tc>
        <w:tc>
          <w:tcPr>
            <w:tcW w:w="886" w:type="pct"/>
            <w:tcBorders>
              <w:top w:val="single" w:sz="4" w:space="0" w:color="auto"/>
              <w:left w:val="nil"/>
              <w:bottom w:val="single" w:sz="4" w:space="0" w:color="auto"/>
              <w:right w:val="nil"/>
            </w:tcBorders>
            <w:shd w:val="clear" w:color="auto" w:fill="auto"/>
            <w:vAlign w:val="center"/>
            <w:hideMark/>
          </w:tcPr>
          <w:p w:rsidR="00830ABB" w:rsidRPr="00DB315A" w:rsidRDefault="00FB0048" w:rsidP="00FB0048">
            <w:pPr>
              <w:spacing w:after="0"/>
              <w:jc w:val="right"/>
              <w:rPr>
                <w:rFonts w:eastAsia="Times New Roman" w:cs="Times New Roman"/>
                <w:b/>
                <w:bCs/>
                <w:color w:val="000000"/>
                <w:sz w:val="20"/>
                <w:szCs w:val="20"/>
              </w:rPr>
            </w:pPr>
            <w:r>
              <w:rPr>
                <w:rFonts w:eastAsia="Times New Roman" w:cs="Times New Roman"/>
                <w:b/>
                <w:bCs/>
                <w:color w:val="000000"/>
                <w:sz w:val="20"/>
                <w:szCs w:val="20"/>
              </w:rPr>
              <w:t xml:space="preserve">   </w:t>
            </w:r>
            <w:r w:rsidR="00830ABB" w:rsidRPr="00DB315A">
              <w:rPr>
                <w:rFonts w:eastAsia="Times New Roman" w:cs="Times New Roman"/>
                <w:b/>
                <w:bCs/>
                <w:color w:val="000000"/>
                <w:sz w:val="20"/>
                <w:szCs w:val="20"/>
              </w:rPr>
              <w:t>202</w:t>
            </w:r>
            <w:r w:rsidR="00DB315A" w:rsidRPr="00DB315A">
              <w:rPr>
                <w:rFonts w:eastAsia="Times New Roman" w:cs="Times New Roman"/>
                <w:b/>
                <w:bCs/>
                <w:color w:val="000000"/>
                <w:sz w:val="20"/>
                <w:szCs w:val="20"/>
              </w:rPr>
              <w:t>2</w:t>
            </w:r>
            <w:r w:rsidR="00830ABB" w:rsidRPr="00DB315A">
              <w:rPr>
                <w:rFonts w:eastAsia="Times New Roman" w:cs="Times New Roman"/>
                <w:b/>
                <w:bCs/>
                <w:color w:val="000000"/>
                <w:sz w:val="20"/>
                <w:szCs w:val="20"/>
              </w:rPr>
              <w:t xml:space="preserve"> г.</w:t>
            </w:r>
          </w:p>
        </w:tc>
      </w:tr>
      <w:tr w:rsidR="00414851" w:rsidRPr="00DB315A" w:rsidTr="00DD7057">
        <w:trPr>
          <w:trHeight w:val="255"/>
        </w:trPr>
        <w:tc>
          <w:tcPr>
            <w:tcW w:w="2270" w:type="pct"/>
            <w:tcBorders>
              <w:top w:val="single" w:sz="4" w:space="0" w:color="auto"/>
              <w:left w:val="nil"/>
              <w:bottom w:val="nil"/>
              <w:right w:val="nil"/>
            </w:tcBorders>
            <w:shd w:val="clear" w:color="auto" w:fill="auto"/>
            <w:vAlign w:val="center"/>
            <w:hideMark/>
          </w:tcPr>
          <w:p w:rsidR="00414851" w:rsidRPr="00DB315A" w:rsidRDefault="00414851" w:rsidP="00830ABB">
            <w:pPr>
              <w:spacing w:after="0"/>
              <w:jc w:val="left"/>
              <w:rPr>
                <w:rFonts w:eastAsia="Times New Roman" w:cs="Times New Roman"/>
                <w:color w:val="000000"/>
                <w:sz w:val="20"/>
                <w:szCs w:val="20"/>
              </w:rPr>
            </w:pPr>
            <w:r w:rsidRPr="00DB315A">
              <w:rPr>
                <w:rFonts w:eastAsia="Times New Roman" w:cs="Times New Roman"/>
                <w:color w:val="000000"/>
                <w:sz w:val="20"/>
                <w:szCs w:val="20"/>
              </w:rPr>
              <w:t>Средства от ЕС</w:t>
            </w:r>
          </w:p>
        </w:tc>
        <w:tc>
          <w:tcPr>
            <w:tcW w:w="1014" w:type="pct"/>
            <w:tcBorders>
              <w:top w:val="single" w:sz="4" w:space="0" w:color="auto"/>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46,8</w:t>
            </w:r>
          </w:p>
        </w:tc>
        <w:tc>
          <w:tcPr>
            <w:tcW w:w="830" w:type="pct"/>
            <w:tcBorders>
              <w:top w:val="single" w:sz="4" w:space="0" w:color="auto"/>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25,4</w:t>
            </w:r>
          </w:p>
        </w:tc>
        <w:tc>
          <w:tcPr>
            <w:tcW w:w="886" w:type="pct"/>
            <w:tcBorders>
              <w:top w:val="single" w:sz="4" w:space="0" w:color="auto"/>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lang w:val="en-US"/>
              </w:rPr>
            </w:pPr>
            <w:r w:rsidRPr="000A5AF5">
              <w:rPr>
                <w:sz w:val="20"/>
                <w:szCs w:val="20"/>
              </w:rPr>
              <w:t>32,</w:t>
            </w:r>
            <w:r w:rsidRPr="000A5AF5">
              <w:rPr>
                <w:sz w:val="20"/>
                <w:szCs w:val="20"/>
                <w:lang w:val="en-US"/>
              </w:rPr>
              <w:t>0</w:t>
            </w:r>
          </w:p>
        </w:tc>
      </w:tr>
      <w:tr w:rsidR="00414851" w:rsidRPr="00DB315A" w:rsidTr="00DD7057">
        <w:trPr>
          <w:trHeight w:val="150"/>
        </w:trPr>
        <w:tc>
          <w:tcPr>
            <w:tcW w:w="2270" w:type="pct"/>
            <w:tcBorders>
              <w:top w:val="nil"/>
              <w:left w:val="nil"/>
              <w:bottom w:val="nil"/>
              <w:right w:val="nil"/>
            </w:tcBorders>
            <w:shd w:val="clear" w:color="auto" w:fill="auto"/>
            <w:vAlign w:val="center"/>
            <w:hideMark/>
          </w:tcPr>
          <w:p w:rsidR="00414851" w:rsidRPr="00DB315A" w:rsidRDefault="00414851" w:rsidP="00830ABB">
            <w:pPr>
              <w:spacing w:after="0"/>
              <w:jc w:val="left"/>
              <w:rPr>
                <w:rFonts w:eastAsia="Times New Roman" w:cs="Times New Roman"/>
                <w:color w:val="000000"/>
                <w:sz w:val="20"/>
                <w:szCs w:val="20"/>
              </w:rPr>
            </w:pPr>
          </w:p>
        </w:tc>
        <w:tc>
          <w:tcPr>
            <w:tcW w:w="1014" w:type="pct"/>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p>
        </w:tc>
        <w:tc>
          <w:tcPr>
            <w:tcW w:w="830" w:type="pct"/>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p>
        </w:tc>
        <w:tc>
          <w:tcPr>
            <w:tcW w:w="886" w:type="pct"/>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p>
        </w:tc>
      </w:tr>
      <w:tr w:rsidR="00414851" w:rsidRPr="00DB315A" w:rsidTr="00DD7057">
        <w:trPr>
          <w:trHeight w:val="510"/>
        </w:trPr>
        <w:tc>
          <w:tcPr>
            <w:tcW w:w="2270" w:type="pct"/>
            <w:tcBorders>
              <w:top w:val="nil"/>
              <w:left w:val="nil"/>
              <w:bottom w:val="nil"/>
              <w:right w:val="nil"/>
            </w:tcBorders>
            <w:shd w:val="clear" w:color="auto" w:fill="auto"/>
            <w:vAlign w:val="center"/>
            <w:hideMark/>
          </w:tcPr>
          <w:p w:rsidR="00414851" w:rsidRPr="00DB315A" w:rsidRDefault="00414851" w:rsidP="00D55D3B">
            <w:pPr>
              <w:spacing w:after="0"/>
              <w:jc w:val="left"/>
              <w:rPr>
                <w:rFonts w:eastAsia="Times New Roman" w:cs="Times New Roman"/>
                <w:color w:val="000000"/>
                <w:sz w:val="20"/>
                <w:szCs w:val="20"/>
              </w:rPr>
            </w:pPr>
            <w:r w:rsidRPr="00DB315A">
              <w:rPr>
                <w:rFonts w:eastAsia="Times New Roman" w:cs="Times New Roman"/>
                <w:color w:val="000000"/>
                <w:sz w:val="20"/>
                <w:szCs w:val="20"/>
              </w:rPr>
              <w:t>Национално съфинансиране и авансови плащания</w:t>
            </w:r>
          </w:p>
        </w:tc>
        <w:tc>
          <w:tcPr>
            <w:tcW w:w="1014" w:type="pct"/>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14,2</w:t>
            </w:r>
          </w:p>
        </w:tc>
        <w:tc>
          <w:tcPr>
            <w:tcW w:w="830" w:type="pct"/>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7,1</w:t>
            </w:r>
          </w:p>
        </w:tc>
        <w:tc>
          <w:tcPr>
            <w:tcW w:w="886" w:type="pct"/>
            <w:tcBorders>
              <w:top w:val="nil"/>
              <w:left w:val="nil"/>
              <w:bottom w:val="nil"/>
              <w:right w:val="nil"/>
            </w:tcBorders>
            <w:shd w:val="clear" w:color="auto" w:fill="auto"/>
            <w:vAlign w:val="center"/>
          </w:tcPr>
          <w:p w:rsidR="00414851" w:rsidRPr="000A5AF5" w:rsidRDefault="00414851" w:rsidP="00DD7057">
            <w:pPr>
              <w:spacing w:after="0"/>
              <w:ind w:firstLineChars="100" w:firstLine="200"/>
              <w:jc w:val="right"/>
              <w:rPr>
                <w:sz w:val="20"/>
                <w:szCs w:val="20"/>
              </w:rPr>
            </w:pPr>
            <w:r w:rsidRPr="000A5AF5">
              <w:rPr>
                <w:sz w:val="20"/>
                <w:szCs w:val="20"/>
              </w:rPr>
              <w:t>8,7</w:t>
            </w:r>
          </w:p>
        </w:tc>
      </w:tr>
      <w:tr w:rsidR="00414851" w:rsidRPr="00DB315A" w:rsidTr="00DD7057">
        <w:trPr>
          <w:trHeight w:val="91"/>
        </w:trPr>
        <w:tc>
          <w:tcPr>
            <w:tcW w:w="2270" w:type="pct"/>
            <w:tcBorders>
              <w:top w:val="nil"/>
              <w:left w:val="nil"/>
              <w:bottom w:val="nil"/>
              <w:right w:val="nil"/>
            </w:tcBorders>
            <w:shd w:val="clear" w:color="auto" w:fill="auto"/>
            <w:vAlign w:val="center"/>
            <w:hideMark/>
          </w:tcPr>
          <w:p w:rsidR="00414851" w:rsidRPr="00DB315A" w:rsidRDefault="00414851" w:rsidP="00830ABB">
            <w:pPr>
              <w:spacing w:after="0"/>
              <w:jc w:val="left"/>
              <w:rPr>
                <w:rFonts w:eastAsia="Times New Roman" w:cs="Times New Roman"/>
                <w:color w:val="000000"/>
                <w:sz w:val="20"/>
                <w:szCs w:val="20"/>
              </w:rPr>
            </w:pPr>
          </w:p>
        </w:tc>
        <w:tc>
          <w:tcPr>
            <w:tcW w:w="1014" w:type="pct"/>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c>
          <w:tcPr>
            <w:tcW w:w="830" w:type="pct"/>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c>
          <w:tcPr>
            <w:tcW w:w="886" w:type="pct"/>
            <w:tcBorders>
              <w:top w:val="nil"/>
              <w:left w:val="nil"/>
              <w:bottom w:val="nil"/>
              <w:right w:val="nil"/>
            </w:tcBorders>
            <w:shd w:val="clear" w:color="auto" w:fill="auto"/>
            <w:vAlign w:val="center"/>
          </w:tcPr>
          <w:p w:rsidR="00414851" w:rsidRPr="000A5AF5" w:rsidRDefault="00414851" w:rsidP="00DD7057">
            <w:pPr>
              <w:spacing w:after="0"/>
              <w:jc w:val="right"/>
              <w:rPr>
                <w:sz w:val="20"/>
                <w:szCs w:val="20"/>
              </w:rPr>
            </w:pPr>
          </w:p>
        </w:tc>
      </w:tr>
      <w:tr w:rsidR="00414851" w:rsidRPr="00830ABB" w:rsidTr="00DD7057">
        <w:trPr>
          <w:trHeight w:val="255"/>
        </w:trPr>
        <w:tc>
          <w:tcPr>
            <w:tcW w:w="2270" w:type="pct"/>
            <w:tcBorders>
              <w:top w:val="nil"/>
              <w:left w:val="nil"/>
              <w:bottom w:val="single" w:sz="4" w:space="0" w:color="auto"/>
              <w:right w:val="nil"/>
            </w:tcBorders>
            <w:shd w:val="clear" w:color="auto" w:fill="auto"/>
            <w:vAlign w:val="center"/>
            <w:hideMark/>
          </w:tcPr>
          <w:p w:rsidR="00414851" w:rsidRPr="00DB315A" w:rsidRDefault="00414851" w:rsidP="00830ABB">
            <w:pPr>
              <w:spacing w:after="0"/>
              <w:jc w:val="left"/>
              <w:rPr>
                <w:rFonts w:eastAsia="Times New Roman" w:cs="Times New Roman"/>
                <w:b/>
                <w:bCs/>
                <w:color w:val="000000"/>
                <w:sz w:val="20"/>
                <w:szCs w:val="20"/>
              </w:rPr>
            </w:pPr>
            <w:r w:rsidRPr="00DB315A">
              <w:rPr>
                <w:rFonts w:eastAsia="Times New Roman" w:cs="Times New Roman"/>
                <w:b/>
                <w:bCs/>
                <w:color w:val="000000"/>
                <w:sz w:val="20"/>
                <w:szCs w:val="20"/>
              </w:rPr>
              <w:t>Общо</w:t>
            </w:r>
          </w:p>
        </w:tc>
        <w:tc>
          <w:tcPr>
            <w:tcW w:w="1014" w:type="pct"/>
            <w:tcBorders>
              <w:top w:val="nil"/>
              <w:left w:val="nil"/>
              <w:bottom w:val="single" w:sz="4" w:space="0" w:color="auto"/>
              <w:right w:val="nil"/>
            </w:tcBorders>
            <w:shd w:val="clear" w:color="auto" w:fill="auto"/>
            <w:vAlign w:val="center"/>
          </w:tcPr>
          <w:p w:rsidR="00414851" w:rsidRPr="000A5AF5" w:rsidRDefault="00414851" w:rsidP="00791845">
            <w:pPr>
              <w:spacing w:after="0"/>
              <w:ind w:firstLineChars="100" w:firstLine="200"/>
              <w:jc w:val="right"/>
              <w:rPr>
                <w:b/>
                <w:sz w:val="20"/>
                <w:szCs w:val="20"/>
              </w:rPr>
            </w:pPr>
            <w:r w:rsidRPr="000A5AF5">
              <w:rPr>
                <w:b/>
                <w:sz w:val="20"/>
                <w:szCs w:val="20"/>
              </w:rPr>
              <w:t>61,0</w:t>
            </w:r>
          </w:p>
        </w:tc>
        <w:tc>
          <w:tcPr>
            <w:tcW w:w="830" w:type="pct"/>
            <w:tcBorders>
              <w:top w:val="nil"/>
              <w:left w:val="nil"/>
              <w:bottom w:val="single" w:sz="4" w:space="0" w:color="auto"/>
              <w:right w:val="nil"/>
            </w:tcBorders>
            <w:shd w:val="clear" w:color="auto" w:fill="auto"/>
            <w:vAlign w:val="center"/>
          </w:tcPr>
          <w:p w:rsidR="00414851" w:rsidRPr="000A5AF5" w:rsidRDefault="00414851" w:rsidP="00791845">
            <w:pPr>
              <w:spacing w:after="0"/>
              <w:ind w:firstLineChars="100" w:firstLine="200"/>
              <w:jc w:val="right"/>
              <w:rPr>
                <w:rFonts w:eastAsiaTheme="majorEastAsia" w:cstheme="majorBidi"/>
                <w:b/>
                <w:spacing w:val="5"/>
                <w:kern w:val="28"/>
                <w:sz w:val="20"/>
                <w:szCs w:val="20"/>
              </w:rPr>
            </w:pPr>
            <w:r w:rsidRPr="000A5AF5">
              <w:rPr>
                <w:b/>
                <w:sz w:val="20"/>
                <w:szCs w:val="20"/>
              </w:rPr>
              <w:t>32,5</w:t>
            </w:r>
          </w:p>
        </w:tc>
        <w:tc>
          <w:tcPr>
            <w:tcW w:w="886" w:type="pct"/>
            <w:tcBorders>
              <w:top w:val="nil"/>
              <w:left w:val="nil"/>
              <w:bottom w:val="single" w:sz="4" w:space="0" w:color="auto"/>
              <w:right w:val="nil"/>
            </w:tcBorders>
            <w:shd w:val="clear" w:color="auto" w:fill="auto"/>
            <w:vAlign w:val="center"/>
          </w:tcPr>
          <w:p w:rsidR="00414851" w:rsidRPr="000A5AF5" w:rsidRDefault="00414851" w:rsidP="00791845">
            <w:pPr>
              <w:spacing w:after="0"/>
              <w:ind w:firstLineChars="100" w:firstLine="200"/>
              <w:jc w:val="right"/>
              <w:rPr>
                <w:rFonts w:eastAsiaTheme="majorEastAsia" w:cstheme="majorBidi"/>
                <w:b/>
                <w:spacing w:val="5"/>
                <w:kern w:val="28"/>
                <w:sz w:val="20"/>
                <w:szCs w:val="20"/>
              </w:rPr>
            </w:pPr>
            <w:r w:rsidRPr="000A5AF5">
              <w:rPr>
                <w:b/>
                <w:sz w:val="20"/>
                <w:szCs w:val="20"/>
              </w:rPr>
              <w:t>40,7</w:t>
            </w:r>
          </w:p>
        </w:tc>
      </w:tr>
    </w:tbl>
    <w:p w:rsidR="008872DF" w:rsidRPr="00AE3F21" w:rsidRDefault="000107EE" w:rsidP="00DE2BDB">
      <w:pPr>
        <w:pStyle w:val="Heading2"/>
      </w:pPr>
      <w:bookmarkStart w:id="582" w:name="_Toc23337483"/>
      <w:bookmarkStart w:id="583" w:name="_Toc464224806"/>
      <w:bookmarkStart w:id="584" w:name="_Toc464225456"/>
      <w:bookmarkStart w:id="585" w:name="_Toc464459003"/>
      <w:bookmarkStart w:id="586" w:name="_Toc464459751"/>
      <w:bookmarkStart w:id="587" w:name="_Toc464460704"/>
      <w:bookmarkStart w:id="588" w:name="_Toc464463103"/>
      <w:bookmarkStart w:id="589" w:name="_Toc464464932"/>
      <w:bookmarkStart w:id="590" w:name="_Toc464465436"/>
      <w:bookmarkStart w:id="591" w:name="_Toc464465624"/>
      <w:bookmarkStart w:id="592" w:name="_Toc464466449"/>
      <w:bookmarkStart w:id="593" w:name="_Toc464466693"/>
      <w:bookmarkStart w:id="594" w:name="_Toc464645012"/>
      <w:bookmarkStart w:id="595" w:name="_Toc465205565"/>
      <w:bookmarkEnd w:id="580"/>
      <w:bookmarkEnd w:id="581"/>
      <w:r w:rsidRPr="00AE3F21">
        <w:t>Други сметки за ср</w:t>
      </w:r>
      <w:r w:rsidR="008F1224" w:rsidRPr="00AE3F21">
        <w:t>едства от ЕС и средства по</w:t>
      </w:r>
      <w:r w:rsidRPr="00AE3F21">
        <w:t xml:space="preserve"> международни програми и догов</w:t>
      </w:r>
      <w:r w:rsidR="008F1224" w:rsidRPr="00AE3F21">
        <w:t>ори, за които се прилага режим</w:t>
      </w:r>
      <w:r w:rsidRPr="00AE3F21">
        <w:t xml:space="preserve"> на сметките з</w:t>
      </w:r>
      <w:r w:rsidR="008F1224" w:rsidRPr="00AE3F21">
        <w:t>а средства от ЕС</w:t>
      </w:r>
      <w:bookmarkEnd w:id="582"/>
      <w:r w:rsidR="008F1224" w:rsidRPr="00AE3F21">
        <w:t xml:space="preserve"> </w:t>
      </w:r>
      <w:bookmarkEnd w:id="583"/>
      <w:bookmarkEnd w:id="584"/>
      <w:bookmarkEnd w:id="585"/>
      <w:bookmarkEnd w:id="586"/>
      <w:bookmarkEnd w:id="587"/>
      <w:bookmarkEnd w:id="588"/>
      <w:bookmarkEnd w:id="589"/>
      <w:bookmarkEnd w:id="590"/>
      <w:bookmarkEnd w:id="591"/>
      <w:bookmarkEnd w:id="592"/>
      <w:bookmarkEnd w:id="593"/>
      <w:bookmarkEnd w:id="594"/>
      <w:bookmarkEnd w:id="595"/>
    </w:p>
    <w:p w:rsidR="00064BF8" w:rsidRPr="00BA5D60" w:rsidRDefault="00064BF8" w:rsidP="00064BF8">
      <w:pPr>
        <w:tabs>
          <w:tab w:val="left" w:pos="253"/>
        </w:tabs>
        <w:spacing w:before="120" w:after="0" w:line="239" w:lineRule="auto"/>
        <w:rPr>
          <w:rFonts w:eastAsia="Times New Roman"/>
          <w:i/>
        </w:rPr>
      </w:pPr>
      <w:r w:rsidRPr="007C1EC7">
        <w:rPr>
          <w:rFonts w:eastAsia="Batang"/>
        </w:rPr>
        <w:t>С актуализираната средносрочна бюджетна прогноза за периода 20</w:t>
      </w:r>
      <w:r>
        <w:rPr>
          <w:rFonts w:eastAsia="Batang"/>
        </w:rPr>
        <w:t>20</w:t>
      </w:r>
      <w:r w:rsidRPr="007C1EC7">
        <w:rPr>
          <w:rFonts w:eastAsia="Batang"/>
        </w:rPr>
        <w:t>-202</w:t>
      </w:r>
      <w:r>
        <w:rPr>
          <w:rFonts w:eastAsia="Batang"/>
        </w:rPr>
        <w:t>2</w:t>
      </w:r>
      <w:r w:rsidRPr="007C1EC7">
        <w:rPr>
          <w:rFonts w:eastAsia="Batang"/>
        </w:rPr>
        <w:t xml:space="preserve"> г. са разчетени приходи, разходи и съответното съфинансиране от държавния бюджет по други сметки за средства от Европейския съюз и средства по международни програми и договори, за които се прилага режимът на сметките за средства от Европейския съюз. Разчетите са изготвени на база предложенията на първостепенните разпоредители с бюджет за очакваните приходи и разходи, включително и за съфинансирането им, по различните международни програми, проекти и договори, като например: Европейски фонд </w:t>
      </w:r>
      <w:r>
        <w:rPr>
          <w:rFonts w:eastAsia="Batang"/>
        </w:rPr>
        <w:t>„</w:t>
      </w:r>
      <w:r w:rsidRPr="007C1EC7">
        <w:rPr>
          <w:rFonts w:eastAsia="Batang"/>
        </w:rPr>
        <w:t>Вътрешна сигурност</w:t>
      </w:r>
      <w:r>
        <w:rPr>
          <w:rFonts w:eastAsia="Batang"/>
        </w:rPr>
        <w:t>“</w:t>
      </w:r>
      <w:r w:rsidRPr="007C1EC7">
        <w:rPr>
          <w:rFonts w:eastAsia="Batang"/>
        </w:rPr>
        <w:t xml:space="preserve">, Европейски фонд </w:t>
      </w:r>
      <w:r>
        <w:rPr>
          <w:rFonts w:eastAsia="Batang"/>
        </w:rPr>
        <w:t>„</w:t>
      </w:r>
      <w:r w:rsidRPr="007C1EC7">
        <w:rPr>
          <w:rFonts w:eastAsia="Batang"/>
        </w:rPr>
        <w:t>Убежище, миграция и интеграция</w:t>
      </w:r>
      <w:r>
        <w:rPr>
          <w:rFonts w:eastAsia="Batang"/>
        </w:rPr>
        <w:t>“</w:t>
      </w:r>
      <w:r w:rsidRPr="007C1EC7">
        <w:rPr>
          <w:rFonts w:eastAsia="Batang"/>
        </w:rPr>
        <w:t>, различните програми в областта на защитата на границите и контрол на миграционните процеси</w:t>
      </w:r>
      <w:r>
        <w:rPr>
          <w:rFonts w:eastAsia="Batang"/>
        </w:rPr>
        <w:t xml:space="preserve">, </w:t>
      </w:r>
      <w:r>
        <w:rPr>
          <w:rFonts w:eastAsia="Times New Roman"/>
        </w:rPr>
        <w:t xml:space="preserve">Програма „Фискалис 2020“, Програма „Митници 2020“, Програма „Национална франкофонска инициатива (2019-2021)“, Програма „Хоризонт 2020“, Програма за „Европейски потребителски център България“, Програма „Еразъм+“, </w:t>
      </w:r>
      <w:r w:rsidRPr="000A5AF5">
        <w:rPr>
          <w:rFonts w:eastAsia="Times New Roman"/>
        </w:rPr>
        <w:t>Програма за ЕДЕН, различните програми в областта на земеделието и селските райони; различните програми в областта</w:t>
      </w:r>
      <w:r>
        <w:rPr>
          <w:rFonts w:eastAsia="Times New Roman"/>
        </w:rPr>
        <w:t xml:space="preserve"> на защитата на националната сигурност, различните програми за трансгранично и междурегионално сътрудничество, различните проекти по Механизма за свързване на Европа и др.</w:t>
      </w:r>
    </w:p>
    <w:p w:rsidR="00064BF8" w:rsidRDefault="00064BF8" w:rsidP="00064BF8">
      <w:pPr>
        <w:spacing w:before="120" w:after="0"/>
      </w:pPr>
      <w:r>
        <w:t xml:space="preserve">В прогнозата за другите сметки за средства от ЕС и средства по други международни програми и договори, за които се прилага режимът на сметките за средства от ЕС за Министерството на вътрешните работи са включени средства по Европейския фонд „Убежище, миграция и интеграция“ (ФУМИ) и Европейския фонд „Вътрешна сигурност“ (ФВС), проекти, програми и грантови споразумения. Предвиденото национално съфинансиране по тях за 2020 г. </w:t>
      </w:r>
      <w:r w:rsidRPr="00D72DBA">
        <w:t>възлиза на 40,0 млн. лв., в т.ч. 27,4 млн. лв.</w:t>
      </w:r>
      <w:r>
        <w:t xml:space="preserve"> по ФВС. </w:t>
      </w:r>
    </w:p>
    <w:p w:rsidR="00064BF8" w:rsidRDefault="00064BF8" w:rsidP="00064BF8">
      <w:pPr>
        <w:spacing w:before="120" w:after="0"/>
      </w:pPr>
      <w:r>
        <w:t>Проектът Спешно подпомагане стартира през 2016 г., като неколкократно е удължаван. В общия случай европейското финансиране е в пропорция 90% за Европейската комисия (ЕК) и 10% национално съфинансиране, като ДДС е недопустим разход и следва да се осигури от МВР. В процеса на изпълнение на проекта, ЕК е превела средства до достигане на 80% от 90% европейско финансиране. Полученото европейско финансиране в края на 2016 г. и началото на 2017 г. е общо в размер на 233 437 215 лв. От стартирането на проекта до настоящия момент, дейностите по него са финансирани в рам</w:t>
      </w:r>
      <w:r w:rsidR="0024514A">
        <w:t>ките на постъпилото европейско</w:t>
      </w:r>
      <w:r>
        <w:t xml:space="preserve"> финансиране и утвърденото национално съфинансиране по бюджета на МВР, с което средствата, постъпили от ЕК ще бъдат напълно усвоени в началото на 2020 г. Остатъкът от европейското финансиране – 20% от ЕК, ще бъде възстановен на МВР след приключването на проекта, като периодът се състои от 90 дни за подаване на окончателен доклад и 45 дни за превод на средствата от ЕК.</w:t>
      </w:r>
    </w:p>
    <w:p w:rsidR="00064BF8" w:rsidRPr="00B0344E" w:rsidRDefault="00064BF8" w:rsidP="00064BF8">
      <w:pPr>
        <w:shd w:val="clear" w:color="auto" w:fill="FFFFFF" w:themeFill="background1"/>
        <w:spacing w:before="120" w:after="0" w:line="238" w:lineRule="auto"/>
        <w:ind w:left="20"/>
        <w:rPr>
          <w:rFonts w:eastAsia="Times New Roman"/>
        </w:rPr>
      </w:pPr>
      <w:r w:rsidRPr="00B0344E">
        <w:rPr>
          <w:rFonts w:eastAsia="Times New Roman"/>
        </w:rPr>
        <w:t xml:space="preserve">Основен бенефициент по Механизма за свързване на Европа (МСЕ) е НК </w:t>
      </w:r>
      <w:r>
        <w:rPr>
          <w:rFonts w:eastAsia="Times New Roman"/>
        </w:rPr>
        <w:t>„</w:t>
      </w:r>
      <w:r w:rsidRPr="00B0344E">
        <w:rPr>
          <w:rFonts w:eastAsia="Times New Roman"/>
        </w:rPr>
        <w:t>Железопътна инфраструктура</w:t>
      </w:r>
      <w:r>
        <w:rPr>
          <w:rFonts w:eastAsia="Times New Roman"/>
        </w:rPr>
        <w:t>“</w:t>
      </w:r>
      <w:r w:rsidRPr="00B0344E">
        <w:rPr>
          <w:rFonts w:eastAsia="Times New Roman"/>
        </w:rPr>
        <w:t xml:space="preserve">, която изпълнява следните проекти: Проект </w:t>
      </w:r>
      <w:r>
        <w:rPr>
          <w:rFonts w:eastAsia="Times New Roman"/>
        </w:rPr>
        <w:t>„</w:t>
      </w:r>
      <w:r w:rsidRPr="00B0344E">
        <w:rPr>
          <w:rFonts w:eastAsia="Times New Roman"/>
        </w:rPr>
        <w:t>Развитие на железопътен възел София: железопътен участък - София - Волуяк</w:t>
      </w:r>
      <w:r>
        <w:rPr>
          <w:rFonts w:eastAsia="Times New Roman"/>
        </w:rPr>
        <w:t>“</w:t>
      </w:r>
      <w:r w:rsidRPr="00B0344E">
        <w:rPr>
          <w:rFonts w:eastAsia="Times New Roman"/>
        </w:rPr>
        <w:t xml:space="preserve">; Модернизация на железопътната линия София - Пловдив в участъка София - Елин Пелин; Модернизация на железопътната линия София - Пловдив в участъка Костенец - Септември; </w:t>
      </w:r>
      <w:r>
        <w:rPr>
          <w:rFonts w:eastAsia="Times New Roman"/>
        </w:rPr>
        <w:t>„</w:t>
      </w:r>
      <w:r w:rsidRPr="00B0344E">
        <w:rPr>
          <w:rFonts w:eastAsia="Times New Roman"/>
        </w:rPr>
        <w:t xml:space="preserve">Развитие на железопътен възел Пловдив. Освен това бенефициент по МСЕ е и Агенция </w:t>
      </w:r>
      <w:r>
        <w:rPr>
          <w:rFonts w:eastAsia="Times New Roman"/>
        </w:rPr>
        <w:t>„</w:t>
      </w:r>
      <w:r w:rsidRPr="00B0344E">
        <w:rPr>
          <w:rFonts w:eastAsia="Times New Roman"/>
        </w:rPr>
        <w:t>Пътна инфраструктура</w:t>
      </w:r>
      <w:r>
        <w:rPr>
          <w:rFonts w:eastAsia="Times New Roman"/>
        </w:rPr>
        <w:t>“</w:t>
      </w:r>
      <w:r w:rsidRPr="00B0344E">
        <w:rPr>
          <w:rFonts w:eastAsia="Times New Roman"/>
        </w:rPr>
        <w:t xml:space="preserve">, която изпълнява Проект </w:t>
      </w:r>
      <w:r>
        <w:rPr>
          <w:rFonts w:eastAsia="Times New Roman"/>
        </w:rPr>
        <w:t>„</w:t>
      </w:r>
      <w:r w:rsidRPr="00B0344E">
        <w:rPr>
          <w:rFonts w:eastAsia="Times New Roman"/>
        </w:rPr>
        <w:t xml:space="preserve">АМ </w:t>
      </w:r>
      <w:r>
        <w:rPr>
          <w:rFonts w:eastAsia="Times New Roman"/>
        </w:rPr>
        <w:t>„</w:t>
      </w:r>
      <w:r w:rsidRPr="00B0344E">
        <w:rPr>
          <w:rFonts w:eastAsia="Times New Roman"/>
        </w:rPr>
        <w:t>Калотина – София”, участък от км 1+000 до км 15+500”.</w:t>
      </w:r>
    </w:p>
    <w:p w:rsidR="00064BF8" w:rsidRPr="00B0344E" w:rsidRDefault="00064BF8" w:rsidP="00064BF8">
      <w:pPr>
        <w:shd w:val="clear" w:color="auto" w:fill="FFFFFF" w:themeFill="background1"/>
        <w:spacing w:before="120" w:after="0" w:line="239" w:lineRule="auto"/>
        <w:ind w:left="20"/>
        <w:rPr>
          <w:rFonts w:eastAsia="Times New Roman"/>
        </w:rPr>
      </w:pPr>
      <w:r w:rsidRPr="00B0344E">
        <w:rPr>
          <w:rFonts w:eastAsia="Times New Roman"/>
        </w:rPr>
        <w:t xml:space="preserve">Друг бенефициент по МСЕ е Изпълнителна агенция </w:t>
      </w:r>
      <w:r>
        <w:rPr>
          <w:rFonts w:eastAsia="Times New Roman"/>
        </w:rPr>
        <w:t>„</w:t>
      </w:r>
      <w:r w:rsidRPr="00B0344E">
        <w:rPr>
          <w:rFonts w:eastAsia="Times New Roman"/>
        </w:rPr>
        <w:t>Проучване и поддържане на река Дунав</w:t>
      </w:r>
      <w:r>
        <w:rPr>
          <w:rFonts w:eastAsia="Times New Roman"/>
        </w:rPr>
        <w:t>“</w:t>
      </w:r>
      <w:r w:rsidRPr="00B0344E">
        <w:rPr>
          <w:rFonts w:eastAsia="Times New Roman"/>
        </w:rPr>
        <w:t xml:space="preserve">, която изпълнява Проект </w:t>
      </w:r>
      <w:r>
        <w:rPr>
          <w:rFonts w:eastAsia="Times New Roman"/>
        </w:rPr>
        <w:t>„</w:t>
      </w:r>
      <w:r w:rsidRPr="00B0344E">
        <w:rPr>
          <w:rFonts w:eastAsia="Times New Roman"/>
        </w:rPr>
        <w:t>Техническа помощ за ревизиране и допълване на предпроектни проучвания, относно подобряване на навигационните условия на общия Румъно-Български участък на р. Дунав</w:t>
      </w:r>
      <w:r>
        <w:rPr>
          <w:rFonts w:eastAsia="Times New Roman"/>
        </w:rPr>
        <w:t>“</w:t>
      </w:r>
      <w:r w:rsidRPr="00B0344E">
        <w:rPr>
          <w:rFonts w:eastAsia="Times New Roman"/>
        </w:rPr>
        <w:t xml:space="preserve"> – FAST Danube и Проект </w:t>
      </w:r>
      <w:r>
        <w:rPr>
          <w:rFonts w:eastAsia="Times New Roman"/>
        </w:rPr>
        <w:t>„</w:t>
      </w:r>
      <w:r w:rsidRPr="00B0344E">
        <w:rPr>
          <w:rFonts w:eastAsia="Times New Roman"/>
        </w:rPr>
        <w:t>FAIRway Danube</w:t>
      </w:r>
      <w:r>
        <w:rPr>
          <w:rFonts w:eastAsia="Times New Roman"/>
        </w:rPr>
        <w:t>“</w:t>
      </w:r>
      <w:r w:rsidRPr="00B0344E">
        <w:rPr>
          <w:rFonts w:eastAsia="Times New Roman"/>
        </w:rPr>
        <w:t>. Целта на проекта е подобряване на безопасността на корабоплаването по река Дунав; повишаване на ефективността на мерките за поддържане на фарватера по река Дунав; повишаване на качеството на хидроложките дейности за ползвателите на водната инфраструктура по р. Дунав. Ще се изпълняват пилотни дейности по проучване, маркиране, управление на вътрешните водни пътища и прогнозиране на водните нива, както и прилагане на иновативни подходи.</w:t>
      </w:r>
    </w:p>
    <w:p w:rsidR="00064BF8" w:rsidRDefault="00064BF8" w:rsidP="00064BF8">
      <w:pPr>
        <w:shd w:val="clear" w:color="auto" w:fill="FFFFFF" w:themeFill="background1"/>
        <w:spacing w:before="120" w:after="0" w:line="237" w:lineRule="auto"/>
        <w:ind w:left="20"/>
        <w:rPr>
          <w:rFonts w:eastAsia="Times New Roman"/>
        </w:rPr>
      </w:pPr>
      <w:r w:rsidRPr="00B0344E">
        <w:rPr>
          <w:rFonts w:eastAsia="Times New Roman"/>
        </w:rPr>
        <w:t xml:space="preserve">Бенефициент ДП </w:t>
      </w:r>
      <w:r>
        <w:rPr>
          <w:rFonts w:eastAsia="Times New Roman"/>
        </w:rPr>
        <w:t>„</w:t>
      </w:r>
      <w:r w:rsidRPr="00B0344E">
        <w:rPr>
          <w:rFonts w:eastAsia="Times New Roman"/>
        </w:rPr>
        <w:t>Пристанищна инфраструктура</w:t>
      </w:r>
      <w:r>
        <w:rPr>
          <w:rFonts w:eastAsia="Times New Roman"/>
        </w:rPr>
        <w:t>“</w:t>
      </w:r>
      <w:r w:rsidRPr="00B0344E">
        <w:rPr>
          <w:rFonts w:eastAsia="Times New Roman"/>
        </w:rPr>
        <w:t xml:space="preserve"> изпълнява </w:t>
      </w:r>
      <w:r>
        <w:rPr>
          <w:rFonts w:eastAsia="Times New Roman"/>
        </w:rPr>
        <w:t>„</w:t>
      </w:r>
      <w:r w:rsidRPr="00B0344E">
        <w:rPr>
          <w:rFonts w:eastAsia="Times New Roman"/>
          <w:i/>
        </w:rPr>
        <w:t>Проект</w:t>
      </w:r>
      <w:r w:rsidRPr="00B0344E">
        <w:rPr>
          <w:rFonts w:eastAsia="Times New Roman"/>
        </w:rPr>
        <w:t xml:space="preserve"> </w:t>
      </w:r>
      <w:r w:rsidRPr="00B0344E">
        <w:rPr>
          <w:rFonts w:eastAsia="Times New Roman"/>
          <w:i/>
        </w:rPr>
        <w:t>RIS COMEX</w:t>
      </w:r>
      <w:r>
        <w:rPr>
          <w:rFonts w:eastAsia="Times New Roman"/>
          <w:i/>
        </w:rPr>
        <w:t>“</w:t>
      </w:r>
      <w:r w:rsidRPr="00B0344E">
        <w:rPr>
          <w:rFonts w:eastAsia="Times New Roman"/>
          <w:i/>
        </w:rPr>
        <w:t>,</w:t>
      </w:r>
      <w:r w:rsidRPr="00B0344E">
        <w:rPr>
          <w:rFonts w:eastAsia="Times New Roman"/>
        </w:rPr>
        <w:t xml:space="preserve"> който е фокусиран върху хармонизирано, усъвършенствано разработване и експлоатация на речни информационни услуги на международно ниво.</w:t>
      </w:r>
    </w:p>
    <w:p w:rsidR="00064BF8" w:rsidRDefault="00064BF8" w:rsidP="00383B3F">
      <w:pPr>
        <w:spacing w:before="120" w:after="0"/>
        <w:rPr>
          <w:rFonts w:eastAsia="Batang"/>
        </w:rPr>
      </w:pPr>
    </w:p>
    <w:p w:rsidR="00AE3F21" w:rsidRPr="00D830CF" w:rsidRDefault="005D7434" w:rsidP="00D830CF">
      <w:pPr>
        <w:pStyle w:val="Caption"/>
        <w:jc w:val="both"/>
      </w:pPr>
      <w:bookmarkStart w:id="596" w:name="_Toc464737649"/>
      <w:r w:rsidRPr="00D830CF">
        <w:t xml:space="preserve">Граф. </w:t>
      </w:r>
      <w:fldSimple w:instr=" STYLEREF 1 \s ">
        <w:r w:rsidR="0034195B">
          <w:rPr>
            <w:noProof/>
          </w:rPr>
          <w:t>V</w:t>
        </w:r>
      </w:fldSimple>
      <w:r w:rsidRPr="00D830CF">
        <w:noBreakHyphen/>
      </w:r>
      <w:fldSimple w:instr=" SEQ Граф. \* ARABIC \s 1 ">
        <w:r w:rsidR="0034195B">
          <w:rPr>
            <w:noProof/>
          </w:rPr>
          <w:t>5</w:t>
        </w:r>
      </w:fldSimple>
      <w:r w:rsidR="00AE3F21" w:rsidRPr="00D830CF">
        <w:t>:</w:t>
      </w:r>
      <w:r w:rsidR="00AE3F21" w:rsidRPr="00D830CF">
        <w:tab/>
      </w:r>
      <w:r w:rsidR="00715D5E" w:rsidRPr="00C91239">
        <w:t>Приходи и разходи по другите сметки за средства от ЕС и средства по други международни програми и договори, за които се прилага режимът на сметките з</w:t>
      </w:r>
      <w:r w:rsidR="00243BF6">
        <w:t xml:space="preserve">а средства от ЕС за периода </w:t>
      </w:r>
      <w:r w:rsidR="00BE2D9E">
        <w:t>2020</w:t>
      </w:r>
      <w:r w:rsidR="00D16620" w:rsidRPr="00BE2D9E">
        <w:t>-202</w:t>
      </w:r>
      <w:r w:rsidR="00BE2D9E" w:rsidRPr="00BE2D9E">
        <w:t>2</w:t>
      </w:r>
      <w:r w:rsidR="00AA3035" w:rsidRPr="00C91239">
        <w:t> г.</w:t>
      </w:r>
      <w:bookmarkEnd w:id="596"/>
      <w:r w:rsidR="00715D5E" w:rsidRPr="00D830CF">
        <w:t xml:space="preserve"> </w:t>
      </w:r>
    </w:p>
    <w:p w:rsidR="00610275" w:rsidRDefault="00610275" w:rsidP="00636974">
      <w:pPr>
        <w:pStyle w:val="textgraf"/>
        <w:jc w:val="right"/>
        <w:rPr>
          <w:lang w:val="en-US"/>
        </w:rPr>
      </w:pPr>
      <w:r>
        <w:t>(в млн. лв.)</w:t>
      </w:r>
    </w:p>
    <w:p w:rsidR="007D6981" w:rsidRDefault="007D6981" w:rsidP="007D6981">
      <w:pPr>
        <w:pStyle w:val="textgraf"/>
        <w:ind w:left="0"/>
        <w:jc w:val="right"/>
        <w:rPr>
          <w:lang w:val="en-US"/>
        </w:rPr>
      </w:pPr>
      <w:r>
        <w:rPr>
          <w:noProof/>
        </w:rPr>
        <w:drawing>
          <wp:inline distT="0" distB="0" distL="0" distR="0" wp14:anchorId="07525386" wp14:editId="7C5AF9F1">
            <wp:extent cx="5759450" cy="2522294"/>
            <wp:effectExtent l="0" t="0" r="12700" b="11430"/>
            <wp:docPr id="680" name="Chart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7D6981" w:rsidRPr="007D6981" w:rsidRDefault="007D6981" w:rsidP="00636974">
      <w:pPr>
        <w:pStyle w:val="textgraf"/>
        <w:jc w:val="right"/>
        <w:rPr>
          <w:lang w:val="en-US"/>
        </w:rPr>
      </w:pPr>
    </w:p>
    <w:p w:rsidR="00C91239" w:rsidRDefault="00C91239" w:rsidP="00C91239">
      <w:pPr>
        <w:pStyle w:val="textgraf"/>
        <w:ind w:left="0"/>
      </w:pPr>
    </w:p>
    <w:p w:rsidR="00FE71FC" w:rsidRPr="00AE3F21" w:rsidRDefault="00FE71FC" w:rsidP="00DE2BDB">
      <w:pPr>
        <w:pStyle w:val="Heading2"/>
      </w:pPr>
      <w:bookmarkStart w:id="597" w:name="_Toc464224807"/>
      <w:bookmarkStart w:id="598" w:name="_Toc464225457"/>
      <w:bookmarkStart w:id="599" w:name="_Toc464459004"/>
      <w:bookmarkStart w:id="600" w:name="_Toc464459752"/>
      <w:bookmarkStart w:id="601" w:name="_Toc464460705"/>
      <w:bookmarkStart w:id="602" w:name="_Toc464463104"/>
      <w:bookmarkStart w:id="603" w:name="_Toc464464933"/>
      <w:bookmarkStart w:id="604" w:name="_Toc464465437"/>
      <w:bookmarkStart w:id="605" w:name="_Toc464465625"/>
      <w:bookmarkStart w:id="606" w:name="_Toc464466450"/>
      <w:bookmarkStart w:id="607" w:name="_Toc464466694"/>
      <w:bookmarkStart w:id="608" w:name="_Toc464645013"/>
      <w:bookmarkStart w:id="609" w:name="_Toc465205566"/>
      <w:bookmarkStart w:id="610" w:name="_Toc23337484"/>
      <w:r w:rsidRPr="00AE3F21">
        <w:t>Вноска в о</w:t>
      </w:r>
      <w:r w:rsidR="006C7E1D">
        <w:t>бщия бюджет на ЕС за периода 2020-2022</w:t>
      </w:r>
      <w:r w:rsidR="00AA3035">
        <w:t> г.</w:t>
      </w:r>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p>
    <w:p w:rsidR="00C6110C" w:rsidRPr="001A13B3" w:rsidRDefault="00C6110C" w:rsidP="00C6110C">
      <w:pPr>
        <w:rPr>
          <w:rFonts w:eastAsia="Batang"/>
        </w:rPr>
      </w:pPr>
      <w:r w:rsidRPr="00C6110C">
        <w:rPr>
          <w:rFonts w:eastAsia="Batang"/>
        </w:rPr>
        <w:t xml:space="preserve">Прогнозата за </w:t>
      </w:r>
      <w:r w:rsidRPr="001A13B3">
        <w:rPr>
          <w:rFonts w:eastAsia="Batang"/>
        </w:rPr>
        <w:t>размера на вноската на Република България в общия бюджет на ЕС по години за периода 2020-2022 г. е както следва: 1 397,4 млн. лв. за 2020 г., 1 540,4 млн. лв. за 2021 г. и 1 667,6 млн. лв. за 2022 г.</w:t>
      </w:r>
    </w:p>
    <w:p w:rsidR="00C6110C" w:rsidRPr="00C6110C" w:rsidRDefault="00C6110C" w:rsidP="00C6110C">
      <w:pPr>
        <w:rPr>
          <w:rFonts w:eastAsia="Batang"/>
        </w:rPr>
      </w:pPr>
      <w:r w:rsidRPr="001A13B3">
        <w:rPr>
          <w:rFonts w:eastAsia="Batang"/>
        </w:rPr>
        <w:t xml:space="preserve">Тази прогноза е изготвена въз основа на Решението на Съвета относно системата на собствени ресурси на ЕС (2014/335/ЕС, Евратом), което влезе в сила от 1 </w:t>
      </w:r>
      <w:r w:rsidRPr="00C6110C">
        <w:rPr>
          <w:rFonts w:eastAsia="Batang"/>
        </w:rPr>
        <w:t>октомври 2016 г. и породи действие със задна дата от 1 януари 2014 г.</w:t>
      </w:r>
    </w:p>
    <w:p w:rsidR="00C6110C" w:rsidRPr="00C6110C" w:rsidRDefault="00C6110C" w:rsidP="00C6110C">
      <w:pPr>
        <w:rPr>
          <w:rFonts w:eastAsia="Batang"/>
        </w:rPr>
      </w:pPr>
      <w:r w:rsidRPr="00C6110C">
        <w:rPr>
          <w:rFonts w:eastAsia="Batang"/>
        </w:rPr>
        <w:t>Следва да се има предвид, че 2020 г. е последната бюджетна година от сегашната Многогодишна финансова рамка</w:t>
      </w:r>
      <w:r>
        <w:rPr>
          <w:rFonts w:eastAsia="Batang"/>
        </w:rPr>
        <w:t xml:space="preserve"> </w:t>
      </w:r>
      <w:r w:rsidRPr="00C6110C">
        <w:rPr>
          <w:rFonts w:eastAsia="Batang"/>
        </w:rPr>
        <w:t xml:space="preserve">(МФР), а 2021 г. и 2022 г. са първите години от следващия финансов период, преговорите по който все още не са приключили. </w:t>
      </w:r>
    </w:p>
    <w:p w:rsidR="00C6110C" w:rsidRPr="00C6110C" w:rsidRDefault="00C6110C" w:rsidP="00C6110C">
      <w:pPr>
        <w:rPr>
          <w:rFonts w:eastAsia="Batang"/>
        </w:rPr>
      </w:pPr>
      <w:r w:rsidRPr="00C6110C">
        <w:rPr>
          <w:rFonts w:eastAsia="Batang"/>
        </w:rPr>
        <w:t>Прогнозата за вноските на България в бюджета на ЕС за периода 2020-2022 г. е изготвена въз основа на следните прогнозни данни:</w:t>
      </w:r>
    </w:p>
    <w:p w:rsidR="00C6110C" w:rsidRPr="00BE102B" w:rsidRDefault="00C6110C" w:rsidP="003403BF">
      <w:pPr>
        <w:pStyle w:val="ListParagraph"/>
        <w:numPr>
          <w:ilvl w:val="0"/>
          <w:numId w:val="42"/>
        </w:numPr>
        <w:rPr>
          <w:rFonts w:eastAsia="Batang"/>
        </w:rPr>
      </w:pPr>
      <w:r w:rsidRPr="00BE102B">
        <w:rPr>
          <w:rFonts w:eastAsia="Batang"/>
        </w:rPr>
        <w:t>Данни за бюджетните кредити за плащания на ЕС за 2020 г. от приложението към Съобщението на Комисията до Съвета и Европейския парламент „Техническа корекция на финансовата рамка за 2020 г. в съответствие с промените в БНД (ЕСС</w:t>
      </w:r>
      <w:r w:rsidR="00BE102B">
        <w:rPr>
          <w:rFonts w:eastAsia="Batang"/>
        </w:rPr>
        <w:t xml:space="preserve"> </w:t>
      </w:r>
      <w:r w:rsidRPr="00BE102B">
        <w:rPr>
          <w:rFonts w:eastAsia="Batang"/>
        </w:rPr>
        <w:t>2010) (Член 6 от Регламент № 1311/2013 на Съвета за определяне на Многогодишната финансова рамка за годините 2014-2020)“ (документ COM</w:t>
      </w:r>
      <w:r w:rsidR="00572142" w:rsidRPr="00BE102B">
        <w:rPr>
          <w:rFonts w:eastAsia="Batang"/>
        </w:rPr>
        <w:t xml:space="preserve"> </w:t>
      </w:r>
      <w:r w:rsidRPr="00BE102B">
        <w:rPr>
          <w:rFonts w:eastAsia="Batang"/>
        </w:rPr>
        <w:t>(2019) 310 final от 15.05.2019 г.) и за бюджетните кредити за поети задължения за 2021 г. и 2022 г. от предложението на Европейската</w:t>
      </w:r>
      <w:r w:rsidR="00572142" w:rsidRPr="00BE102B">
        <w:rPr>
          <w:rFonts w:eastAsia="Batang"/>
        </w:rPr>
        <w:t xml:space="preserve"> комисия за МФР за периода 2021-</w:t>
      </w:r>
      <w:r w:rsidRPr="00BE102B">
        <w:rPr>
          <w:rFonts w:eastAsia="Batang"/>
        </w:rPr>
        <w:t xml:space="preserve">2027 г.; </w:t>
      </w:r>
    </w:p>
    <w:p w:rsidR="00C6110C" w:rsidRPr="00BE102B" w:rsidRDefault="00C6110C" w:rsidP="003403BF">
      <w:pPr>
        <w:pStyle w:val="ListParagraph"/>
        <w:numPr>
          <w:ilvl w:val="0"/>
          <w:numId w:val="42"/>
        </w:numPr>
        <w:rPr>
          <w:rFonts w:eastAsia="Batang"/>
        </w:rPr>
      </w:pPr>
      <w:r w:rsidRPr="00BE102B">
        <w:rPr>
          <w:rFonts w:eastAsia="Batang"/>
        </w:rPr>
        <w:t>Прогнозни данни за приходите от мита за България,  основаващи се на все по-либералната политика на ЕС, насочена към разширяване на обхвата на споразуменията за свободна търговия и споразуменията за икономическо партньорство, прогнозни данни на Световната банка за периода 2020-2022 г. и очаквания ръст на размера на брутния вътрешен продукт, на вътрешното потребление и на вноса съгласно есенната макроикономическа прогноза за периода 2019-2022 г.;</w:t>
      </w:r>
    </w:p>
    <w:p w:rsidR="00C6110C" w:rsidRPr="00BE102B" w:rsidRDefault="00C6110C" w:rsidP="003403BF">
      <w:pPr>
        <w:pStyle w:val="ListParagraph"/>
        <w:numPr>
          <w:ilvl w:val="0"/>
          <w:numId w:val="42"/>
        </w:numPr>
        <w:rPr>
          <w:rFonts w:eastAsia="Batang"/>
        </w:rPr>
      </w:pPr>
      <w:r w:rsidRPr="00BE102B">
        <w:rPr>
          <w:rFonts w:eastAsia="Batang"/>
        </w:rPr>
        <w:t>Прогнозни данни за базата на данъка върху добавената стойност (ДДС) за България за целите на собствените ресурси н</w:t>
      </w:r>
      <w:r w:rsidR="00CD5E16">
        <w:rPr>
          <w:rFonts w:eastAsia="Batang"/>
        </w:rPr>
        <w:t xml:space="preserve">а ЕС за периода 2020-2022 г., </w:t>
      </w:r>
      <w:r w:rsidRPr="00BE102B">
        <w:rPr>
          <w:rFonts w:eastAsia="Batang"/>
        </w:rPr>
        <w:t>отчитайки тенденциите при потреблението, цената на суровия петрол тип „Брент“, цената на неенергийните суровини в щатски долари, валутния курс, изменението във физическите и стойностните обеми при вноса на стоки и услуги и съобразно есенната макроикономическа прогноза за периода 2019-2022 г. Основните рискове за прогнозата са свързвани преди всичко с направените допускания за динамиката на международните цени. Възможно е цените на петрола да бъдат различни от включените в тази прогноза, което ще даде отражение в приходите от ДДС от внос;</w:t>
      </w:r>
    </w:p>
    <w:p w:rsidR="00C6110C" w:rsidRPr="00BE102B" w:rsidRDefault="00C6110C" w:rsidP="003403BF">
      <w:pPr>
        <w:pStyle w:val="ListParagraph"/>
        <w:numPr>
          <w:ilvl w:val="0"/>
          <w:numId w:val="42"/>
        </w:numPr>
        <w:rPr>
          <w:rFonts w:eastAsia="Batang"/>
        </w:rPr>
      </w:pPr>
      <w:r w:rsidRPr="00BE102B">
        <w:rPr>
          <w:rFonts w:eastAsia="Batang"/>
        </w:rPr>
        <w:t>Прогнозни данни за брутния национален доход (БНД) на България за периода 2020-2022 г. от есенната макроикономическа прогноза за периода 2019-2022 г.;</w:t>
      </w:r>
    </w:p>
    <w:p w:rsidR="00C6110C" w:rsidRPr="00BE102B" w:rsidRDefault="00C6110C" w:rsidP="003403BF">
      <w:pPr>
        <w:pStyle w:val="ListParagraph"/>
        <w:numPr>
          <w:ilvl w:val="0"/>
          <w:numId w:val="42"/>
        </w:numPr>
        <w:rPr>
          <w:rFonts w:eastAsia="Batang"/>
        </w:rPr>
      </w:pPr>
      <w:r w:rsidRPr="00BE102B">
        <w:rPr>
          <w:rFonts w:eastAsia="Batang"/>
        </w:rPr>
        <w:t>Прогнозни данни за приходите от мита, базите на ДДС и БНД (по Европейската система от сметки (ЕСС 2010) на останалите държави членки от одобрените прогнози за 2020 г. от Консултативния комитет по собствени ресурси – подкомитет „Прогнози” на 24 май 2019 г.</w:t>
      </w:r>
    </w:p>
    <w:p w:rsidR="00572142" w:rsidRPr="009C7157" w:rsidRDefault="00572142" w:rsidP="00572142">
      <w:pPr>
        <w:pStyle w:val="Heading4"/>
        <w:numPr>
          <w:ilvl w:val="0"/>
          <w:numId w:val="0"/>
        </w:numPr>
        <w:jc w:val="both"/>
        <w:rPr>
          <w:rStyle w:val="Strong"/>
          <w:b/>
        </w:rPr>
      </w:pPr>
      <w:r w:rsidRPr="009C7157">
        <w:rPr>
          <w:rStyle w:val="Strong"/>
          <w:b/>
        </w:rPr>
        <w:t xml:space="preserve">Оценка на бюджетните ефекти от промените в допусканията, макроикономическите показатели и/или в нормативната </w:t>
      </w:r>
      <w:r>
        <w:rPr>
          <w:rStyle w:val="Strong"/>
          <w:b/>
        </w:rPr>
        <w:t xml:space="preserve">уредба по години за периода 2020-2022 </w:t>
      </w:r>
      <w:r w:rsidRPr="009C7157">
        <w:rPr>
          <w:rStyle w:val="Strong"/>
          <w:b/>
        </w:rPr>
        <w:t>г.:</w:t>
      </w:r>
    </w:p>
    <w:p w:rsidR="00C6110C" w:rsidRPr="00C6110C" w:rsidRDefault="00C6110C" w:rsidP="00C6110C">
      <w:pPr>
        <w:rPr>
          <w:rFonts w:eastAsia="Batang"/>
        </w:rPr>
      </w:pPr>
      <w:r w:rsidRPr="00C6110C">
        <w:rPr>
          <w:rFonts w:eastAsia="Batang"/>
        </w:rPr>
        <w:t xml:space="preserve">Проведените симулации показват, че промяната в размера на всеки един от компонентите на вноската на България в бюджета на ЕС, както и на лежащите в основата му приходи и/или макроикономически показатели, би довела до правопропорционално изменение в общия размер на вноската. </w:t>
      </w:r>
    </w:p>
    <w:p w:rsidR="00C6110C" w:rsidRPr="00C6110C" w:rsidRDefault="00C6110C" w:rsidP="00C6110C">
      <w:pPr>
        <w:rPr>
          <w:rFonts w:eastAsia="Batang"/>
        </w:rPr>
      </w:pPr>
      <w:r w:rsidRPr="00C6110C">
        <w:rPr>
          <w:rFonts w:eastAsia="Batang"/>
        </w:rPr>
        <w:t xml:space="preserve">Конкретно по отношение на ресурса на база ДДС следва да се има предвид, че нарастването на т.нар. „ДДС-база“ на съответната държава членка, въз основа на която се изчислява и самият ресурс на база ДДС, е ограничено в действащото законодателство до 50% от брутния й национален доход и в този смисъл ресурсът на база ДДС би могъл да нараства до определени граници. </w:t>
      </w:r>
    </w:p>
    <w:p w:rsidR="00C6110C" w:rsidRPr="00C6110C" w:rsidRDefault="00C6110C" w:rsidP="00C6110C">
      <w:pPr>
        <w:rPr>
          <w:rFonts w:eastAsia="Batang"/>
        </w:rPr>
      </w:pPr>
      <w:r w:rsidRPr="00C6110C">
        <w:rPr>
          <w:rFonts w:eastAsia="Batang"/>
        </w:rPr>
        <w:t xml:space="preserve">Намаляването (или увеличаването) на който и да било от останалите собствени ресурси от България ще предизвика съответно увеличаване (или намаляване) на размера на ресурса й на база БНД, т.е. налице е обратнопропорционална зависимост. </w:t>
      </w:r>
    </w:p>
    <w:p w:rsidR="00C6110C" w:rsidRPr="00C6110C" w:rsidRDefault="00C6110C" w:rsidP="00C6110C">
      <w:pPr>
        <w:rPr>
          <w:rFonts w:eastAsia="Batang"/>
        </w:rPr>
      </w:pPr>
      <w:r w:rsidRPr="00C6110C">
        <w:rPr>
          <w:rFonts w:eastAsia="Batang"/>
        </w:rPr>
        <w:t>Поради структурата на системата на собствените ресурси на ЕС и взаимообвързаността между елементите ѝ, промени в размера на собствените ресурси, предоставяни от останалите държави членки, биха дали отражение върху размера на ресурса на база БНД от България, като зависимостта в общия случай е обратнопропорционална.</w:t>
      </w:r>
    </w:p>
    <w:p w:rsidR="00C6110C" w:rsidRPr="00C6110C" w:rsidRDefault="00C6110C" w:rsidP="00C6110C">
      <w:pPr>
        <w:rPr>
          <w:rFonts w:eastAsia="Batang"/>
        </w:rPr>
      </w:pPr>
      <w:r w:rsidRPr="00C6110C">
        <w:rPr>
          <w:rFonts w:eastAsia="Batang"/>
        </w:rPr>
        <w:t xml:space="preserve">Независимо от предварителните прогнози за приходите от мита държавите членки ще превеждат (през месец n+2) в бюджета на ЕС 80% от реално събраните суми (през месец n). </w:t>
      </w:r>
    </w:p>
    <w:p w:rsidR="00C6110C" w:rsidRPr="00C6110C" w:rsidRDefault="00C6110C" w:rsidP="00C6110C">
      <w:pPr>
        <w:rPr>
          <w:rFonts w:eastAsia="Batang"/>
        </w:rPr>
      </w:pPr>
      <w:r w:rsidRPr="00C6110C">
        <w:rPr>
          <w:rFonts w:eastAsia="Batang"/>
        </w:rPr>
        <w:t>В процеса на изпълнението на бюджета на ЕС е възможно да се наложи промяна в размера (увеличение или намаление) на вноската на България поради въздействието на следните фактори: възникнали допълнителни или непредвидени нужди от средства по бюджета на ЕС при изпълнение на разходните политики; промяна в размера на другите приходи на ЕС (извън собствените ресурси); промяна в размера на събраните традиционни собствени ресурси от всички държави членки; периодични актуализации на данните за предишни години за хармонизираната ДДС-база и за брутния национален доход на държавите членки с оглед постигане на по-голяма точност при изчислението на вноските им и др.</w:t>
      </w:r>
    </w:p>
    <w:p w:rsidR="00C6110C" w:rsidRPr="00C6110C" w:rsidRDefault="00C6110C" w:rsidP="00C6110C">
      <w:pPr>
        <w:rPr>
          <w:rFonts w:eastAsia="Batang"/>
        </w:rPr>
      </w:pPr>
      <w:r w:rsidRPr="00C6110C">
        <w:rPr>
          <w:rFonts w:eastAsia="Batang"/>
        </w:rPr>
        <w:t>Към настоящия момент не са приключили преговорите по оттеглянето на Обединеното кралство съгласно член 50 на Договора за ЕС и не е ясен резултатът от тях. Въз основа на развитието на преговорите по напускането на Обединеното кралство представената прогноза е направена при допускането, че през 2020 г. Обединеното кралство ще продължи да плаща полагащите му се вноски в бюджета на ЕС в съответствие с действащото законодателство и поетите правни ангажименти по време на членството му</w:t>
      </w:r>
      <w:r w:rsidR="00BE102B">
        <w:rPr>
          <w:rFonts w:eastAsia="Batang"/>
        </w:rPr>
        <w:t>, като</w:t>
      </w:r>
      <w:r w:rsidRPr="00C6110C">
        <w:rPr>
          <w:rFonts w:eastAsia="Batang"/>
        </w:rPr>
        <w:t xml:space="preserve"> през 2020 г. няма да има промени нито в разходната, нито в приходната страна на бюджета на ЕС в тази връзка. </w:t>
      </w:r>
    </w:p>
    <w:p w:rsidR="00C6110C" w:rsidRPr="00C6110C" w:rsidRDefault="00C6110C" w:rsidP="00C6110C">
      <w:pPr>
        <w:rPr>
          <w:rFonts w:eastAsia="Batang"/>
        </w:rPr>
      </w:pPr>
      <w:r w:rsidRPr="00C6110C">
        <w:rPr>
          <w:rFonts w:eastAsia="Batang"/>
        </w:rPr>
        <w:t xml:space="preserve">Прогнозата за 2021 г. и 2022 г. е изготвена при следните допускания: размерът на бюджета ще е равен на бюджетните кредити за поети задължения за 2021 г. и 2022 г., посочени в предложението на Европейската комисия за МФР за периода 2021-2027 г., Обединеното кралство няма да участва във финансирането на бюджета на ЕС за 2021 г. и 2022 г. и 27-те държави членки няма да финансират корекцията в полза на Обединеното кралство (от предходната година). </w:t>
      </w:r>
    </w:p>
    <w:p w:rsidR="00C6110C" w:rsidRPr="00C6110C" w:rsidRDefault="00C6110C" w:rsidP="00C6110C">
      <w:pPr>
        <w:rPr>
          <w:rFonts w:eastAsia="Batang"/>
        </w:rPr>
      </w:pPr>
      <w:r w:rsidRPr="00C6110C">
        <w:rPr>
          <w:rFonts w:eastAsia="Batang"/>
        </w:rPr>
        <w:t xml:space="preserve">След 2020 г. се очакват промени в законодателството за собствените ресурси на база на предложения от Европейската комисия законодателен пакет за собствените ресурси от 02.05.2018 г., но преговорите по тези документи, както и по предложението на ЕК за новата Многогодишна финансова рамка, определяща размера на разходите по бюджета на ЕС, все още не са приключили. Размерът на бъдещата вноска на България ще зависи от постигнатите резултати от преговорите по МФР и по предложението на ЕК за Решение за собствените ресурси. </w:t>
      </w:r>
    </w:p>
    <w:p w:rsidR="00C6110C" w:rsidRDefault="00C6110C" w:rsidP="0040190E">
      <w:pPr>
        <w:rPr>
          <w:rFonts w:eastAsia="Batang"/>
        </w:rPr>
      </w:pPr>
      <w:r w:rsidRPr="00C6110C">
        <w:rPr>
          <w:rFonts w:eastAsia="Batang"/>
        </w:rPr>
        <w:t>Поради посочената по-горе несигурност във връзка с бъдещите резултати от преговорите за МФР 2021-2027 г., вероятността новото законодателство да влезе в сила по-късно със задна дата от 01.01.2021 г., както и във връзка с оттеглянето на Обединеното кралство от ЕС, настоящата прогноза е изготвена изцяло въз основа на настоящото законодателство в областта на собствените ресурси.</w:t>
      </w:r>
    </w:p>
    <w:p w:rsidR="006934DD" w:rsidRPr="00AE3F21" w:rsidRDefault="00E24A3F" w:rsidP="00DE2BDB">
      <w:pPr>
        <w:pStyle w:val="Heading2"/>
      </w:pPr>
      <w:bookmarkStart w:id="611" w:name="_Toc464224808"/>
      <w:bookmarkStart w:id="612" w:name="_Toc464225458"/>
      <w:bookmarkStart w:id="613" w:name="_Toc464459005"/>
      <w:bookmarkStart w:id="614" w:name="_Toc464459753"/>
      <w:bookmarkStart w:id="615" w:name="_Toc464460706"/>
      <w:bookmarkStart w:id="616" w:name="_Toc464463105"/>
      <w:bookmarkStart w:id="617" w:name="_Toc464464934"/>
      <w:bookmarkStart w:id="618" w:name="_Toc464465438"/>
      <w:bookmarkStart w:id="619" w:name="_Toc464465626"/>
      <w:bookmarkStart w:id="620" w:name="_Toc464466451"/>
      <w:bookmarkStart w:id="621" w:name="_Toc464466695"/>
      <w:bookmarkStart w:id="622" w:name="_Toc464645014"/>
      <w:bookmarkStart w:id="623" w:name="_Toc465205567"/>
      <w:bookmarkStart w:id="624" w:name="_Toc23337485"/>
      <w:r w:rsidRPr="00AE3F21">
        <w:t>Оценка на макроикономическите ефекти от усвояването на средствата от европейските фондове и програми на Е</w:t>
      </w:r>
      <w:r w:rsidR="006C7E1D">
        <w:t>С за периода 2020</w:t>
      </w:r>
      <w:r w:rsidR="00D16620">
        <w:t>-202</w:t>
      </w:r>
      <w:r w:rsidR="006C7E1D">
        <w:t>2</w:t>
      </w:r>
      <w:r w:rsidR="00AA3035">
        <w:t> г.</w:t>
      </w:r>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p>
    <w:p w:rsidR="005F297C" w:rsidRDefault="00C457ED" w:rsidP="00AE3F21">
      <w:pPr>
        <w:rPr>
          <w:rFonts w:eastAsia="Batang"/>
          <w:highlight w:val="yellow"/>
        </w:rPr>
      </w:pPr>
      <w:r w:rsidRPr="00C457ED">
        <w:rPr>
          <w:rFonts w:eastAsia="Batang"/>
        </w:rPr>
        <w:t xml:space="preserve">В таблицата по-долу са представени очакваните макроикономически ефекти от </w:t>
      </w:r>
      <w:r>
        <w:rPr>
          <w:rFonts w:eastAsia="Batang"/>
        </w:rPr>
        <w:t>усвояването на средствата от ЕС</w:t>
      </w:r>
      <w:r>
        <w:rPr>
          <w:rStyle w:val="FootnoteReference"/>
          <w:rFonts w:eastAsia="Batang"/>
        </w:rPr>
        <w:footnoteReference w:id="28"/>
      </w:r>
      <w:r w:rsidRPr="00C457ED">
        <w:rPr>
          <w:rFonts w:eastAsia="Batang"/>
        </w:rPr>
        <w:t xml:space="preserve"> за периода 2020-2022 г. За изчислението им  е използван макрои</w:t>
      </w:r>
      <w:r>
        <w:rPr>
          <w:rFonts w:eastAsia="Batang"/>
        </w:rPr>
        <w:t>конометричния</w:t>
      </w:r>
      <w:r w:rsidR="003A1FF3">
        <w:rPr>
          <w:rFonts w:eastAsia="Batang"/>
        </w:rPr>
        <w:t>т</w:t>
      </w:r>
      <w:r>
        <w:rPr>
          <w:rFonts w:eastAsia="Batang"/>
        </w:rPr>
        <w:t xml:space="preserve"> модел СИБИЛА 2.0</w:t>
      </w:r>
      <w:r>
        <w:rPr>
          <w:rStyle w:val="FootnoteReference"/>
          <w:rFonts w:eastAsia="Batang"/>
        </w:rPr>
        <w:footnoteReference w:id="29"/>
      </w:r>
      <w:r>
        <w:rPr>
          <w:rStyle w:val="FootnoteReference"/>
          <w:rFonts w:eastAsia="Batang"/>
        </w:rPr>
        <w:footnoteReference w:id="30"/>
      </w:r>
      <w:r>
        <w:rPr>
          <w:rFonts w:eastAsia="Batang"/>
        </w:rPr>
        <w:t>. Оценявани са ефекти</w:t>
      </w:r>
      <w:r>
        <w:rPr>
          <w:rStyle w:val="FootnoteReference"/>
          <w:rFonts w:eastAsia="Batang"/>
        </w:rPr>
        <w:footnoteReference w:id="31"/>
      </w:r>
      <w:r w:rsidRPr="00C457ED">
        <w:rPr>
          <w:rFonts w:eastAsia="Batang"/>
        </w:rPr>
        <w:t>, дефинирани като промени в нивата на основни макроикономически показатели в средносрочен хоризонт.</w:t>
      </w:r>
    </w:p>
    <w:p w:rsidR="00C457ED" w:rsidRDefault="00C457ED" w:rsidP="00AE3F21">
      <w:pPr>
        <w:rPr>
          <w:rFonts w:eastAsia="Batang"/>
          <w:highlight w:val="yellow"/>
        </w:rPr>
      </w:pPr>
    </w:p>
    <w:p w:rsidR="00927CD5" w:rsidRPr="00927CD5" w:rsidRDefault="00927CD5" w:rsidP="00B40F91">
      <w:pPr>
        <w:pStyle w:val="Caption"/>
        <w:ind w:left="1560"/>
      </w:pPr>
      <w:bookmarkStart w:id="625" w:name="_Toc23337533"/>
      <w:r>
        <w:t xml:space="preserve">Табл. </w:t>
      </w:r>
      <w:fldSimple w:instr=" STYLEREF 1 \s ">
        <w:r w:rsidR="0034195B">
          <w:rPr>
            <w:noProof/>
          </w:rPr>
          <w:t>V</w:t>
        </w:r>
      </w:fldSimple>
      <w:r>
        <w:noBreakHyphen/>
      </w:r>
      <w:fldSimple w:instr=" SEQ Табл. \* ARABIC \s 1 ">
        <w:r w:rsidR="0034195B">
          <w:rPr>
            <w:noProof/>
          </w:rPr>
          <w:t>3</w:t>
        </w:r>
      </w:fldSimple>
      <w:r>
        <w:t>:</w:t>
      </w:r>
      <w:r w:rsidR="00B40F91">
        <w:t xml:space="preserve"> </w:t>
      </w:r>
      <w:r>
        <w:t xml:space="preserve"> </w:t>
      </w:r>
      <w:r w:rsidRPr="00927CD5">
        <w:t>Ефекти от усвояването на средствата от европейските фондове и програми на ЕС</w:t>
      </w:r>
      <w:bookmarkEnd w:id="625"/>
    </w:p>
    <w:tbl>
      <w:tblPr>
        <w:tblW w:w="5000" w:type="pct"/>
        <w:tblCellMar>
          <w:left w:w="70" w:type="dxa"/>
          <w:right w:w="70" w:type="dxa"/>
        </w:tblCellMar>
        <w:tblLook w:val="04A0" w:firstRow="1" w:lastRow="0" w:firstColumn="1" w:lastColumn="0" w:noHBand="0" w:noVBand="1"/>
      </w:tblPr>
      <w:tblGrid>
        <w:gridCol w:w="4677"/>
        <w:gridCol w:w="1286"/>
        <w:gridCol w:w="3107"/>
      </w:tblGrid>
      <w:tr w:rsidR="003806B8" w:rsidRPr="006C7E1D" w:rsidTr="000A5AF5">
        <w:trPr>
          <w:trHeight w:val="300"/>
          <w:tblHeader/>
        </w:trPr>
        <w:tc>
          <w:tcPr>
            <w:tcW w:w="3287" w:type="pct"/>
            <w:gridSpan w:val="2"/>
            <w:tcBorders>
              <w:top w:val="single" w:sz="4" w:space="0" w:color="auto"/>
              <w:left w:val="nil"/>
              <w:bottom w:val="single" w:sz="4" w:space="0" w:color="auto"/>
              <w:right w:val="nil"/>
            </w:tcBorders>
            <w:shd w:val="clear" w:color="auto" w:fill="auto"/>
            <w:noWrap/>
            <w:vAlign w:val="center"/>
            <w:hideMark/>
          </w:tcPr>
          <w:p w:rsidR="003806B8" w:rsidRPr="00B821A6" w:rsidRDefault="003806B8" w:rsidP="003806B8">
            <w:pPr>
              <w:spacing w:after="0"/>
              <w:jc w:val="center"/>
              <w:rPr>
                <w:rFonts w:eastAsia="Times New Roman" w:cs="Times New Roman"/>
                <w:b/>
                <w:bCs/>
                <w:sz w:val="20"/>
                <w:szCs w:val="20"/>
              </w:rPr>
            </w:pPr>
            <w:r w:rsidRPr="00B821A6">
              <w:rPr>
                <w:rFonts w:eastAsia="Times New Roman" w:cs="Times New Roman"/>
                <w:b/>
                <w:bCs/>
                <w:sz w:val="20"/>
                <w:szCs w:val="20"/>
              </w:rPr>
              <w:t>Макроикономически показател</w:t>
            </w:r>
          </w:p>
        </w:tc>
        <w:tc>
          <w:tcPr>
            <w:tcW w:w="1713" w:type="pct"/>
            <w:tcBorders>
              <w:top w:val="single" w:sz="4" w:space="0" w:color="auto"/>
              <w:left w:val="nil"/>
              <w:bottom w:val="single" w:sz="4" w:space="0" w:color="auto"/>
              <w:right w:val="nil"/>
            </w:tcBorders>
            <w:shd w:val="clear" w:color="auto" w:fill="auto"/>
            <w:noWrap/>
            <w:vAlign w:val="center"/>
            <w:hideMark/>
          </w:tcPr>
          <w:p w:rsidR="003806B8" w:rsidRPr="00B821A6" w:rsidRDefault="00B821A6" w:rsidP="00BE452F">
            <w:pPr>
              <w:spacing w:after="0"/>
              <w:rPr>
                <w:rFonts w:eastAsia="Times New Roman" w:cs="Times New Roman"/>
                <w:b/>
                <w:bCs/>
                <w:sz w:val="20"/>
                <w:szCs w:val="20"/>
              </w:rPr>
            </w:pPr>
            <w:r>
              <w:rPr>
                <w:rFonts w:eastAsia="Times New Roman" w:cs="Times New Roman"/>
                <w:b/>
                <w:bCs/>
                <w:sz w:val="20"/>
                <w:szCs w:val="20"/>
              </w:rPr>
              <w:t>Ефект към 2022</w:t>
            </w:r>
            <w:r w:rsidR="003806B8" w:rsidRPr="00B821A6">
              <w:rPr>
                <w:rFonts w:eastAsia="Times New Roman" w:cs="Times New Roman"/>
                <w:b/>
                <w:bCs/>
                <w:sz w:val="20"/>
                <w:szCs w:val="20"/>
              </w:rPr>
              <w:t xml:space="preserve"> г.</w:t>
            </w:r>
          </w:p>
        </w:tc>
      </w:tr>
      <w:tr w:rsidR="00BE452F" w:rsidRPr="006C7E1D" w:rsidTr="000A5AF5">
        <w:trPr>
          <w:trHeight w:val="300"/>
        </w:trPr>
        <w:tc>
          <w:tcPr>
            <w:tcW w:w="2578" w:type="pct"/>
            <w:tcBorders>
              <w:top w:val="single" w:sz="4" w:space="0" w:color="auto"/>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БВП</w:t>
            </w:r>
          </w:p>
        </w:tc>
        <w:tc>
          <w:tcPr>
            <w:tcW w:w="2422" w:type="pct"/>
            <w:gridSpan w:val="2"/>
            <w:tcBorders>
              <w:top w:val="single" w:sz="4" w:space="0" w:color="auto"/>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4,</w:t>
            </w:r>
            <w:r w:rsidRPr="00BE452F">
              <w:rPr>
                <w:rFonts w:eastAsia="Times New Roman" w:cs="Times New Roman"/>
                <w:sz w:val="20"/>
                <w:szCs w:val="20"/>
              </w:rPr>
              <w:t>4%</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Износ на стоки и услуги</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0,</w:t>
            </w:r>
            <w:r w:rsidRPr="00BE452F">
              <w:rPr>
                <w:rFonts w:eastAsia="Times New Roman" w:cs="Times New Roman"/>
                <w:sz w:val="20"/>
                <w:szCs w:val="20"/>
              </w:rPr>
              <w:t>7%</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Внос на стоки и услуги</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10,</w:t>
            </w:r>
            <w:r w:rsidRPr="00BE452F">
              <w:rPr>
                <w:rFonts w:eastAsia="Times New Roman" w:cs="Times New Roman"/>
                <w:sz w:val="20"/>
                <w:szCs w:val="20"/>
              </w:rPr>
              <w:t>1%</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Текуща сметка, % от БВП</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sidRPr="00BE452F">
              <w:rPr>
                <w:rFonts w:eastAsia="Times New Roman" w:cs="Times New Roman"/>
                <w:sz w:val="20"/>
                <w:szCs w:val="20"/>
              </w:rPr>
              <w:t>-</w:t>
            </w:r>
            <w:r>
              <w:rPr>
                <w:rFonts w:eastAsia="Times New Roman" w:cs="Times New Roman"/>
                <w:sz w:val="20"/>
                <w:szCs w:val="20"/>
              </w:rPr>
              <w:t xml:space="preserve"> 4,</w:t>
            </w:r>
            <w:r w:rsidRPr="00BE452F">
              <w:rPr>
                <w:rFonts w:eastAsia="Times New Roman" w:cs="Times New Roman"/>
                <w:sz w:val="20"/>
                <w:szCs w:val="20"/>
              </w:rPr>
              <w:t>9 п</w:t>
            </w:r>
            <w:r>
              <w:rPr>
                <w:rFonts w:eastAsia="Times New Roman" w:cs="Times New Roman"/>
                <w:sz w:val="20"/>
                <w:szCs w:val="20"/>
              </w:rPr>
              <w:t>р</w:t>
            </w:r>
            <w:r w:rsidRPr="00BE452F">
              <w:rPr>
                <w:rFonts w:eastAsia="Times New Roman" w:cs="Times New Roman"/>
                <w:sz w:val="20"/>
                <w:szCs w:val="20"/>
              </w:rPr>
              <w:t>.п.</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Частно потребление</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5,</w:t>
            </w:r>
            <w:r w:rsidRPr="00BE452F">
              <w:rPr>
                <w:rFonts w:eastAsia="Times New Roman" w:cs="Times New Roman"/>
                <w:sz w:val="20"/>
                <w:szCs w:val="20"/>
              </w:rPr>
              <w:t>3%</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Частни инвестиции</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sidRPr="00BE452F">
              <w:rPr>
                <w:rFonts w:eastAsia="Times New Roman" w:cs="Times New Roman"/>
                <w:sz w:val="20"/>
                <w:szCs w:val="20"/>
              </w:rPr>
              <w:t>17</w:t>
            </w:r>
            <w:r>
              <w:rPr>
                <w:rFonts w:eastAsia="Times New Roman" w:cs="Times New Roman"/>
                <w:sz w:val="20"/>
                <w:szCs w:val="20"/>
              </w:rPr>
              <w:t>,</w:t>
            </w:r>
            <w:r w:rsidRPr="00BE452F">
              <w:rPr>
                <w:rFonts w:eastAsia="Times New Roman" w:cs="Times New Roman"/>
                <w:sz w:val="20"/>
                <w:szCs w:val="20"/>
              </w:rPr>
              <w:t>8%</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Заетост (15-64 г.), хил.</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6,</w:t>
            </w:r>
            <w:r w:rsidRPr="00BE452F">
              <w:rPr>
                <w:rFonts w:eastAsia="Times New Roman" w:cs="Times New Roman"/>
                <w:sz w:val="20"/>
                <w:szCs w:val="20"/>
              </w:rPr>
              <w:t>8%</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Коефициент на безработица (15-64 г.)</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-3,</w:t>
            </w:r>
            <w:r w:rsidRPr="00BE452F">
              <w:rPr>
                <w:rFonts w:eastAsia="Times New Roman" w:cs="Times New Roman"/>
                <w:sz w:val="20"/>
                <w:szCs w:val="20"/>
              </w:rPr>
              <w:t>2 п</w:t>
            </w:r>
            <w:r>
              <w:rPr>
                <w:rFonts w:eastAsia="Times New Roman" w:cs="Times New Roman"/>
                <w:sz w:val="20"/>
                <w:szCs w:val="20"/>
              </w:rPr>
              <w:t>р</w:t>
            </w:r>
            <w:r w:rsidRPr="00BE452F">
              <w:rPr>
                <w:rFonts w:eastAsia="Times New Roman" w:cs="Times New Roman"/>
                <w:sz w:val="20"/>
                <w:szCs w:val="20"/>
              </w:rPr>
              <w:t>.п.</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Средна работна заплата</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3,</w:t>
            </w:r>
            <w:r w:rsidRPr="00BE452F">
              <w:rPr>
                <w:rFonts w:eastAsia="Times New Roman" w:cs="Times New Roman"/>
                <w:sz w:val="20"/>
                <w:szCs w:val="20"/>
              </w:rPr>
              <w:t>0%</w:t>
            </w:r>
          </w:p>
        </w:tc>
      </w:tr>
      <w:tr w:rsidR="00BE452F" w:rsidRPr="006C7E1D" w:rsidTr="00BE452F">
        <w:trPr>
          <w:trHeight w:val="300"/>
        </w:trPr>
        <w:tc>
          <w:tcPr>
            <w:tcW w:w="2578" w:type="pct"/>
            <w:tcBorders>
              <w:top w:val="nil"/>
              <w:left w:val="nil"/>
              <w:bottom w:val="nil"/>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Инфлация по ХИПЦ</w:t>
            </w:r>
          </w:p>
        </w:tc>
        <w:tc>
          <w:tcPr>
            <w:tcW w:w="2422" w:type="pct"/>
            <w:gridSpan w:val="2"/>
            <w:tcBorders>
              <w:top w:val="nil"/>
              <w:left w:val="nil"/>
              <w:bottom w:val="nil"/>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1,</w:t>
            </w:r>
            <w:r w:rsidRPr="00BE452F">
              <w:rPr>
                <w:rFonts w:eastAsia="Times New Roman" w:cs="Times New Roman"/>
                <w:sz w:val="20"/>
                <w:szCs w:val="20"/>
              </w:rPr>
              <w:t>1%</w:t>
            </w:r>
          </w:p>
        </w:tc>
      </w:tr>
      <w:tr w:rsidR="00BE452F" w:rsidRPr="003806B8" w:rsidTr="00BE452F">
        <w:trPr>
          <w:trHeight w:val="300"/>
        </w:trPr>
        <w:tc>
          <w:tcPr>
            <w:tcW w:w="2578" w:type="pct"/>
            <w:tcBorders>
              <w:top w:val="nil"/>
              <w:left w:val="nil"/>
              <w:bottom w:val="single" w:sz="4" w:space="0" w:color="auto"/>
              <w:right w:val="nil"/>
            </w:tcBorders>
            <w:shd w:val="clear" w:color="auto" w:fill="auto"/>
            <w:noWrap/>
            <w:vAlign w:val="center"/>
            <w:hideMark/>
          </w:tcPr>
          <w:p w:rsidR="00BE452F" w:rsidRPr="00B821A6" w:rsidRDefault="00BE452F" w:rsidP="003806B8">
            <w:pPr>
              <w:spacing w:after="0"/>
              <w:jc w:val="left"/>
              <w:rPr>
                <w:rFonts w:eastAsia="Times New Roman" w:cs="Times New Roman"/>
                <w:sz w:val="20"/>
                <w:szCs w:val="20"/>
              </w:rPr>
            </w:pPr>
            <w:r w:rsidRPr="00B821A6">
              <w:rPr>
                <w:rFonts w:eastAsia="Times New Roman" w:cs="Times New Roman"/>
                <w:sz w:val="20"/>
                <w:szCs w:val="20"/>
              </w:rPr>
              <w:t>Бюджетен баланс, % БВП</w:t>
            </w:r>
          </w:p>
        </w:tc>
        <w:tc>
          <w:tcPr>
            <w:tcW w:w="2422" w:type="pct"/>
            <w:gridSpan w:val="2"/>
            <w:tcBorders>
              <w:top w:val="nil"/>
              <w:left w:val="nil"/>
              <w:bottom w:val="single" w:sz="4" w:space="0" w:color="auto"/>
              <w:right w:val="nil"/>
            </w:tcBorders>
            <w:shd w:val="clear" w:color="auto" w:fill="auto"/>
            <w:noWrap/>
          </w:tcPr>
          <w:p w:rsidR="00BE452F" w:rsidRPr="00BE452F" w:rsidRDefault="00BE452F" w:rsidP="00BE452F">
            <w:pPr>
              <w:spacing w:after="0"/>
              <w:jc w:val="center"/>
              <w:rPr>
                <w:rFonts w:eastAsia="Times New Roman" w:cs="Times New Roman"/>
                <w:sz w:val="20"/>
                <w:szCs w:val="20"/>
              </w:rPr>
            </w:pPr>
            <w:r>
              <w:rPr>
                <w:rFonts w:eastAsia="Times New Roman" w:cs="Times New Roman"/>
                <w:sz w:val="20"/>
                <w:szCs w:val="20"/>
              </w:rPr>
              <w:t>0,</w:t>
            </w:r>
            <w:r w:rsidRPr="00BE452F">
              <w:rPr>
                <w:rFonts w:eastAsia="Times New Roman" w:cs="Times New Roman"/>
                <w:sz w:val="20"/>
                <w:szCs w:val="20"/>
              </w:rPr>
              <w:t>4 п</w:t>
            </w:r>
            <w:r>
              <w:rPr>
                <w:rFonts w:eastAsia="Times New Roman" w:cs="Times New Roman"/>
                <w:sz w:val="20"/>
                <w:szCs w:val="20"/>
              </w:rPr>
              <w:t>р</w:t>
            </w:r>
            <w:r w:rsidRPr="00BE452F">
              <w:rPr>
                <w:rFonts w:eastAsia="Times New Roman" w:cs="Times New Roman"/>
                <w:sz w:val="20"/>
                <w:szCs w:val="20"/>
              </w:rPr>
              <w:t>.п.</w:t>
            </w:r>
          </w:p>
        </w:tc>
      </w:tr>
    </w:tbl>
    <w:p w:rsidR="00751BA3" w:rsidRPr="00A3143A" w:rsidRDefault="00751BA3" w:rsidP="002A7D3B">
      <w:pPr>
        <w:pStyle w:val="Source0"/>
        <w:rPr>
          <w:sz w:val="16"/>
          <w:szCs w:val="16"/>
        </w:rPr>
      </w:pPr>
      <w:r w:rsidRPr="00A3143A">
        <w:rPr>
          <w:sz w:val="16"/>
          <w:szCs w:val="16"/>
        </w:rPr>
        <w:t>Източник: МФ, СИБИЛА 2.0.</w:t>
      </w:r>
    </w:p>
    <w:p w:rsidR="00787250" w:rsidRPr="00787250" w:rsidRDefault="00787250" w:rsidP="00787250">
      <w:pPr>
        <w:spacing w:after="120"/>
        <w:rPr>
          <w:rFonts w:eastAsia="Calibri" w:cs="Times New Roman"/>
          <w:bCs/>
          <w:szCs w:val="24"/>
        </w:rPr>
      </w:pPr>
      <w:r w:rsidRPr="00787250">
        <w:rPr>
          <w:rFonts w:eastAsia="Calibri" w:cs="Times New Roman"/>
          <w:bCs/>
          <w:szCs w:val="24"/>
        </w:rPr>
        <w:t>Оцененият общ ефект върху българската икономика от планираното усвояване на средствата от ЕС е положителен, като към 2022 г. ниво</w:t>
      </w:r>
      <w:r>
        <w:rPr>
          <w:rFonts w:eastAsia="Calibri" w:cs="Times New Roman"/>
          <w:bCs/>
          <w:szCs w:val="24"/>
        </w:rPr>
        <w:t>то на БВП се очаква да бъде с 4,</w:t>
      </w:r>
      <w:r w:rsidRPr="00787250">
        <w:rPr>
          <w:rFonts w:eastAsia="Calibri" w:cs="Times New Roman"/>
          <w:bCs/>
          <w:szCs w:val="24"/>
        </w:rPr>
        <w:t>4% по-високо в сравнение със сценария, при който тези средства не се оползотворят.</w:t>
      </w:r>
    </w:p>
    <w:p w:rsidR="00787250" w:rsidRPr="00787250" w:rsidRDefault="00787250" w:rsidP="00787250">
      <w:pPr>
        <w:spacing w:after="120"/>
        <w:rPr>
          <w:rFonts w:eastAsia="Calibri" w:cs="Times New Roman"/>
          <w:bCs/>
          <w:szCs w:val="24"/>
        </w:rPr>
      </w:pPr>
      <w:r w:rsidRPr="00787250">
        <w:rPr>
          <w:rFonts w:eastAsia="Calibri" w:cs="Times New Roman"/>
          <w:bCs/>
          <w:szCs w:val="24"/>
        </w:rPr>
        <w:t>Основата за този ефект е положителното влияние върху производството в страната, което е следствие на увеличението в инвестиционните разходи. Същевременно, допълнителен импулс се генерира по линия на частното потребление поради допълнителен ръст в заетостта и средната работна заплата. Позитивният ефект върху въпросните основни компоненти на Б</w:t>
      </w:r>
      <w:r>
        <w:rPr>
          <w:rFonts w:eastAsia="Calibri" w:cs="Times New Roman"/>
          <w:bCs/>
          <w:szCs w:val="24"/>
        </w:rPr>
        <w:t>ВП е прогнозиран да достигне 17,8% за частните инвестиции и 5,</w:t>
      </w:r>
      <w:r w:rsidRPr="00787250">
        <w:rPr>
          <w:rFonts w:eastAsia="Calibri" w:cs="Times New Roman"/>
          <w:bCs/>
          <w:szCs w:val="24"/>
        </w:rPr>
        <w:t>3% за частното потребление. Същевременно, по-високото равнище на БВП не се предвижда да бъде съпътствано от ускоряване на инфлацията, като ефектът върху ценовото равнище към 2022 г. се изр</w:t>
      </w:r>
      <w:r>
        <w:rPr>
          <w:rFonts w:eastAsia="Calibri" w:cs="Times New Roman"/>
          <w:bCs/>
          <w:szCs w:val="24"/>
        </w:rPr>
        <w:t>азява в скромно повишаване от 1,</w:t>
      </w:r>
      <w:r w:rsidRPr="00787250">
        <w:rPr>
          <w:rFonts w:eastAsia="Calibri" w:cs="Times New Roman"/>
          <w:bCs/>
          <w:szCs w:val="24"/>
        </w:rPr>
        <w:t>1% спрямо базисния сценарий.</w:t>
      </w:r>
    </w:p>
    <w:p w:rsidR="00787250" w:rsidRPr="00787250" w:rsidRDefault="00787250" w:rsidP="00787250">
      <w:pPr>
        <w:spacing w:after="120"/>
        <w:rPr>
          <w:rFonts w:eastAsia="Calibri" w:cs="Times New Roman"/>
          <w:bCs/>
          <w:szCs w:val="24"/>
        </w:rPr>
      </w:pPr>
      <w:r w:rsidRPr="00787250">
        <w:rPr>
          <w:rFonts w:eastAsia="Calibri" w:cs="Times New Roman"/>
          <w:bCs/>
          <w:szCs w:val="24"/>
        </w:rPr>
        <w:t xml:space="preserve">По отношение на пазара на труда, симулациите </w:t>
      </w:r>
      <w:r>
        <w:rPr>
          <w:rFonts w:eastAsia="Calibri" w:cs="Times New Roman"/>
          <w:bCs/>
          <w:szCs w:val="24"/>
        </w:rPr>
        <w:t>показват допълнителен ръст от 3,</w:t>
      </w:r>
      <w:r w:rsidRPr="00787250">
        <w:rPr>
          <w:rFonts w:eastAsia="Calibri" w:cs="Times New Roman"/>
          <w:bCs/>
          <w:szCs w:val="24"/>
        </w:rPr>
        <w:t>0% в с</w:t>
      </w:r>
      <w:r>
        <w:rPr>
          <w:rFonts w:eastAsia="Calibri" w:cs="Times New Roman"/>
          <w:bCs/>
          <w:szCs w:val="24"/>
        </w:rPr>
        <w:t>редната работна заплата и 6,</w:t>
      </w:r>
      <w:r w:rsidRPr="00787250">
        <w:rPr>
          <w:rFonts w:eastAsia="Calibri" w:cs="Times New Roman"/>
          <w:bCs/>
          <w:szCs w:val="24"/>
        </w:rPr>
        <w:t>8% в броя на заетите, както и подобряване на нивото на безработица, което към кра</w:t>
      </w:r>
      <w:r>
        <w:rPr>
          <w:rFonts w:eastAsia="Calibri" w:cs="Times New Roman"/>
          <w:bCs/>
          <w:szCs w:val="24"/>
        </w:rPr>
        <w:t>я на 2022 г. се очаква да е с 3,2</w:t>
      </w:r>
      <w:r w:rsidRPr="00787250">
        <w:rPr>
          <w:rFonts w:eastAsia="Calibri" w:cs="Times New Roman"/>
          <w:bCs/>
          <w:szCs w:val="24"/>
        </w:rPr>
        <w:t xml:space="preserve"> п</w:t>
      </w:r>
      <w:r>
        <w:rPr>
          <w:rFonts w:eastAsia="Calibri" w:cs="Times New Roman"/>
          <w:bCs/>
          <w:szCs w:val="24"/>
        </w:rPr>
        <w:t>р</w:t>
      </w:r>
      <w:r w:rsidRPr="00787250">
        <w:rPr>
          <w:rFonts w:eastAsia="Calibri" w:cs="Times New Roman"/>
          <w:bCs/>
          <w:szCs w:val="24"/>
        </w:rPr>
        <w:t>.п. по-ниско в сравнение със сценария без средства от ЕС. Каналите, чрез които средствата от ЕС влияят на пазара на труда, са два. От една страна, в направените симулации са включени ефектите от директната намеса на програмите, съфинансирани със средства от ЕС, на пазара на труда, чрез мерките за създаване на заетост и преквалификация на работната сила, а от друга са отразени и очакванията за неговото развитие в резултат на повишената икономическа активност, генерирана от допълнителните инвестиции.</w:t>
      </w:r>
    </w:p>
    <w:p w:rsidR="00787250" w:rsidRPr="00787250" w:rsidRDefault="00787250" w:rsidP="00787250">
      <w:pPr>
        <w:spacing w:after="120"/>
        <w:rPr>
          <w:rFonts w:eastAsia="Calibri" w:cs="Times New Roman"/>
          <w:bCs/>
          <w:szCs w:val="24"/>
        </w:rPr>
      </w:pPr>
      <w:r w:rsidRPr="00787250">
        <w:rPr>
          <w:rFonts w:eastAsia="Calibri" w:cs="Times New Roman"/>
          <w:bCs/>
          <w:szCs w:val="24"/>
        </w:rPr>
        <w:t>Анализът показва, че планираното изпълнение на оперативните програми, съфинансирани със средства от ЕС, води до подобря</w:t>
      </w:r>
      <w:r>
        <w:rPr>
          <w:rFonts w:eastAsia="Calibri" w:cs="Times New Roman"/>
          <w:bCs/>
          <w:szCs w:val="24"/>
        </w:rPr>
        <w:t>ване на бюджетния баланс с 0,</w:t>
      </w:r>
      <w:r w:rsidRPr="00787250">
        <w:rPr>
          <w:rFonts w:eastAsia="Calibri" w:cs="Times New Roman"/>
          <w:bCs/>
          <w:szCs w:val="24"/>
        </w:rPr>
        <w:t>4 п</w:t>
      </w:r>
      <w:r>
        <w:rPr>
          <w:rFonts w:eastAsia="Calibri" w:cs="Times New Roman"/>
          <w:bCs/>
          <w:szCs w:val="24"/>
        </w:rPr>
        <w:t>р</w:t>
      </w:r>
      <w:r w:rsidRPr="00787250">
        <w:rPr>
          <w:rFonts w:eastAsia="Calibri" w:cs="Times New Roman"/>
          <w:bCs/>
          <w:szCs w:val="24"/>
        </w:rPr>
        <w:t>.п. от БВП към 2022 г. Това се дължи на по-благоприятната икономическа конюнктура и съпровождащото разширяване на данъчната база в резултат на предвидените допълнителни инвестиции от средствата от ЕС. Така приходите в държавния бюджет се очаква да надвишат преките правителствени разходи, обвързани със съфинансиране на инвестиционните проекти.</w:t>
      </w:r>
    </w:p>
    <w:p w:rsidR="00787250" w:rsidRPr="00787250" w:rsidRDefault="00787250" w:rsidP="00787250">
      <w:pPr>
        <w:spacing w:after="120"/>
        <w:rPr>
          <w:rFonts w:eastAsia="Calibri" w:cs="Times New Roman"/>
          <w:bCs/>
          <w:szCs w:val="24"/>
        </w:rPr>
      </w:pPr>
      <w:r w:rsidRPr="00787250">
        <w:rPr>
          <w:rFonts w:eastAsia="Calibri" w:cs="Times New Roman"/>
          <w:bCs/>
          <w:szCs w:val="24"/>
        </w:rPr>
        <w:t>Увеличената производствена активност, която е силно зависима от внос на суровини, както и ускореният ръст на доходите, се очаква да повишат допълнително вноса на стоки и услуги с 10</w:t>
      </w:r>
      <w:r w:rsidR="00924EB2">
        <w:rPr>
          <w:rFonts w:eastAsia="Calibri" w:cs="Times New Roman"/>
          <w:bCs/>
          <w:szCs w:val="24"/>
        </w:rPr>
        <w:t>,1</w:t>
      </w:r>
      <w:r w:rsidRPr="00787250">
        <w:rPr>
          <w:rFonts w:eastAsia="Calibri" w:cs="Times New Roman"/>
          <w:bCs/>
          <w:szCs w:val="24"/>
        </w:rPr>
        <w:t xml:space="preserve">% към 2022 г. Износът, от друга страна, се очаква да отбележи </w:t>
      </w:r>
      <w:r>
        <w:rPr>
          <w:rFonts w:eastAsia="Calibri" w:cs="Times New Roman"/>
          <w:bCs/>
          <w:szCs w:val="24"/>
        </w:rPr>
        <w:t>по-скромен допълнителен ръст (0,</w:t>
      </w:r>
      <w:r w:rsidRPr="00787250">
        <w:rPr>
          <w:rFonts w:eastAsia="Calibri" w:cs="Times New Roman"/>
          <w:bCs/>
          <w:szCs w:val="24"/>
        </w:rPr>
        <w:t>7%) в този тригодишен хоризонт, тъй като за пълното проявление на очаквания ефект от изпълнението на програмите върху  конкурентоспособността на българските стоки и услуги е необходим по-дълъг период. В резултат на това, в средносрочен план балансът по текущата сметка на пл</w:t>
      </w:r>
      <w:r>
        <w:rPr>
          <w:rFonts w:eastAsia="Calibri" w:cs="Times New Roman"/>
          <w:bCs/>
          <w:szCs w:val="24"/>
        </w:rPr>
        <w:t>атежния баланс ще  се влоши с 4,</w:t>
      </w:r>
      <w:r w:rsidRPr="00787250">
        <w:rPr>
          <w:rFonts w:eastAsia="Calibri" w:cs="Times New Roman"/>
          <w:bCs/>
          <w:szCs w:val="24"/>
        </w:rPr>
        <w:t>9 п</w:t>
      </w:r>
      <w:r>
        <w:rPr>
          <w:rFonts w:eastAsia="Calibri" w:cs="Times New Roman"/>
          <w:bCs/>
          <w:szCs w:val="24"/>
        </w:rPr>
        <w:t>р</w:t>
      </w:r>
      <w:r w:rsidRPr="00787250">
        <w:rPr>
          <w:rFonts w:eastAsia="Calibri" w:cs="Times New Roman"/>
          <w:bCs/>
          <w:szCs w:val="24"/>
        </w:rPr>
        <w:t>.п. от БВП.</w:t>
      </w:r>
    </w:p>
    <w:p w:rsidR="00787250" w:rsidRDefault="00787250" w:rsidP="00BB1AB7">
      <w:pPr>
        <w:spacing w:before="240"/>
        <w:rPr>
          <w:rFonts w:eastAsia="Batang"/>
          <w:highlight w:val="yellow"/>
        </w:rPr>
      </w:pPr>
    </w:p>
    <w:p w:rsidR="00787250" w:rsidRDefault="00787250" w:rsidP="00BB1AB7">
      <w:pPr>
        <w:spacing w:before="240"/>
        <w:rPr>
          <w:rFonts w:eastAsia="Batang"/>
          <w:highlight w:val="yellow"/>
        </w:rPr>
      </w:pPr>
    </w:p>
    <w:p w:rsidR="00787250" w:rsidRDefault="00787250" w:rsidP="00BB1AB7">
      <w:pPr>
        <w:spacing w:before="240"/>
        <w:rPr>
          <w:rFonts w:eastAsia="Batang"/>
          <w:highlight w:val="yellow"/>
        </w:rPr>
      </w:pPr>
    </w:p>
    <w:p w:rsidR="00A40B97" w:rsidRPr="00D16620" w:rsidRDefault="00A40B97" w:rsidP="00C853E5">
      <w:pPr>
        <w:pStyle w:val="Heading1"/>
        <w:numPr>
          <w:ilvl w:val="0"/>
          <w:numId w:val="0"/>
        </w:numPr>
        <w:rPr>
          <w:highlight w:val="yellow"/>
        </w:rPr>
        <w:sectPr w:rsidR="00A40B97" w:rsidRPr="00D16620" w:rsidSect="00FF16A0">
          <w:headerReference w:type="even" r:id="rId38"/>
          <w:headerReference w:type="default" r:id="rId39"/>
          <w:type w:val="oddPage"/>
          <w:pgSz w:w="11906" w:h="16838" w:code="9"/>
          <w:pgMar w:top="1418" w:right="1418" w:bottom="851" w:left="1418" w:header="708" w:footer="708" w:gutter="0"/>
          <w:cols w:space="708"/>
          <w:titlePg/>
          <w:docGrid w:linePitch="360"/>
        </w:sectPr>
      </w:pPr>
      <w:bookmarkStart w:id="626" w:name="_Toc464465440"/>
      <w:bookmarkStart w:id="627" w:name="_Toc464465628"/>
      <w:bookmarkStart w:id="628" w:name="_Toc464466453"/>
      <w:bookmarkStart w:id="629" w:name="_Toc464466697"/>
      <w:bookmarkStart w:id="630" w:name="_Toc464466735"/>
      <w:bookmarkStart w:id="631" w:name="_Toc464470245"/>
      <w:bookmarkStart w:id="632" w:name="_Toc464645017"/>
      <w:bookmarkStart w:id="633" w:name="_Toc464646379"/>
      <w:bookmarkStart w:id="634" w:name="_Toc464224809"/>
      <w:bookmarkStart w:id="635" w:name="_Toc464225459"/>
      <w:bookmarkStart w:id="636" w:name="_Toc464459006"/>
      <w:bookmarkStart w:id="637" w:name="_Toc464459754"/>
      <w:bookmarkStart w:id="638" w:name="_Toc464460707"/>
      <w:bookmarkStart w:id="639" w:name="_Toc464463106"/>
      <w:bookmarkStart w:id="640" w:name="_Toc464464935"/>
    </w:p>
    <w:p w:rsidR="005519CA" w:rsidRPr="00AE3F21" w:rsidRDefault="001E0DF0" w:rsidP="007D0124">
      <w:pPr>
        <w:pStyle w:val="Heading1"/>
      </w:pPr>
      <w:bookmarkStart w:id="641" w:name="_Toc23337486"/>
      <w:r w:rsidRPr="001E0DF0">
        <w:rPr>
          <w:noProof/>
        </w:rPr>
        <mc:AlternateContent>
          <mc:Choice Requires="wps">
            <w:drawing>
              <wp:anchor distT="0" distB="0" distL="114300" distR="114300" simplePos="0" relativeHeight="251668480" behindDoc="0" locked="0" layoutInCell="1" allowOverlap="1" wp14:anchorId="49339094" wp14:editId="5A3E6BAF">
                <wp:simplePos x="0" y="0"/>
                <wp:positionH relativeFrom="column">
                  <wp:posOffset>-898525</wp:posOffset>
                </wp:positionH>
                <wp:positionV relativeFrom="paragraph">
                  <wp:posOffset>1405577</wp:posOffset>
                </wp:positionV>
                <wp:extent cx="7560310" cy="0"/>
                <wp:effectExtent l="0" t="0" r="21590" b="19050"/>
                <wp:wrapNone/>
                <wp:docPr id="695" name="Straight Connector 695"/>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9F8E1D" id="Straight Connector 695"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70.75pt,110.7pt" to="524.55pt,1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" strokecolor="#b32c16 [3206]"/>
            </w:pict>
          </mc:Fallback>
        </mc:AlternateContent>
      </w:r>
      <w:r w:rsidRPr="001E0DF0">
        <w:rPr>
          <w:noProof/>
        </w:rPr>
        <mc:AlternateContent>
          <mc:Choice Requires="wps">
            <w:drawing>
              <wp:anchor distT="0" distB="0" distL="114300" distR="114300" simplePos="0" relativeHeight="251667456" behindDoc="1" locked="0" layoutInCell="1" allowOverlap="1" wp14:anchorId="27B60453" wp14:editId="0CD09F46">
                <wp:simplePos x="0" y="0"/>
                <wp:positionH relativeFrom="page">
                  <wp:posOffset>0</wp:posOffset>
                </wp:positionH>
                <wp:positionV relativeFrom="page">
                  <wp:posOffset>0</wp:posOffset>
                </wp:positionV>
                <wp:extent cx="7560000" cy="2304000"/>
                <wp:effectExtent l="0" t="0" r="3175" b="1270"/>
                <wp:wrapNone/>
                <wp:docPr id="694" name="Rectangle 694"/>
                <wp:cNvGraphicFramePr/>
                <a:graphic xmlns:a="http://schemas.openxmlformats.org/drawingml/2006/main">
                  <a:graphicData uri="http://schemas.microsoft.com/office/word/2010/wordprocessingShape">
                    <wps:wsp>
                      <wps:cNvSpPr/>
                      <wps:spPr>
                        <a:xfrm>
                          <a:off x="0" y="0"/>
                          <a:ext cx="756000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08B9F5" id="Rectangle 694" o:spid="_x0000_s1026" style="position:absolute;margin-left:0;margin-top:0;width:595.3pt;height:181.4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" fillcolor="#f8cec7 [662]" stroked="f" strokeweight="1pt">
                <w10:wrap anchorx="page" anchory="page"/>
              </v:rect>
            </w:pict>
          </mc:Fallback>
        </mc:AlternateContent>
      </w:r>
      <w:r w:rsidR="00AA3035">
        <w:br/>
      </w:r>
      <w:bookmarkStart w:id="642" w:name="_Toc465205568"/>
      <w:r w:rsidR="005519CA" w:rsidRPr="001E0DF0">
        <w:rPr>
          <w:color w:val="auto"/>
        </w:rPr>
        <w:t xml:space="preserve">Политика по дълга и </w:t>
      </w:r>
      <w:r w:rsidR="00AA3035" w:rsidRPr="001E0DF0">
        <w:rPr>
          <w:color w:val="auto"/>
        </w:rPr>
        <w:t>ф</w:t>
      </w:r>
      <w:r w:rsidR="005519CA" w:rsidRPr="001E0DF0">
        <w:rPr>
          <w:color w:val="auto"/>
        </w:rPr>
        <w:t xml:space="preserve">инансирането </w:t>
      </w:r>
      <w:r w:rsidR="00B51C67" w:rsidRPr="001E0DF0">
        <w:rPr>
          <w:color w:val="auto"/>
        </w:rPr>
        <w:br/>
      </w:r>
      <w:r w:rsidR="006C7E1D">
        <w:rPr>
          <w:color w:val="auto"/>
        </w:rPr>
        <w:t>за периода 2020</w:t>
      </w:r>
      <w:r w:rsidR="005519CA" w:rsidRPr="001E0DF0">
        <w:rPr>
          <w:color w:val="auto"/>
        </w:rPr>
        <w:t>-20</w:t>
      </w:r>
      <w:r w:rsidR="00D16620">
        <w:rPr>
          <w:color w:val="auto"/>
        </w:rPr>
        <w:t>2</w:t>
      </w:r>
      <w:r w:rsidR="006C7E1D">
        <w:rPr>
          <w:color w:val="auto"/>
        </w:rPr>
        <w:t>2</w:t>
      </w:r>
      <w:r w:rsidR="00AA3035" w:rsidRPr="001E0DF0">
        <w:rPr>
          <w:color w:val="auto"/>
        </w:rPr>
        <w:t> г.</w:t>
      </w:r>
      <w:bookmarkEnd w:id="626"/>
      <w:bookmarkEnd w:id="627"/>
      <w:bookmarkEnd w:id="628"/>
      <w:bookmarkEnd w:id="629"/>
      <w:bookmarkEnd w:id="630"/>
      <w:bookmarkEnd w:id="631"/>
      <w:bookmarkEnd w:id="632"/>
      <w:bookmarkEnd w:id="633"/>
      <w:bookmarkEnd w:id="641"/>
      <w:bookmarkEnd w:id="642"/>
    </w:p>
    <w:bookmarkEnd w:id="634"/>
    <w:bookmarkEnd w:id="635"/>
    <w:bookmarkEnd w:id="636"/>
    <w:bookmarkEnd w:id="637"/>
    <w:bookmarkEnd w:id="638"/>
    <w:bookmarkEnd w:id="639"/>
    <w:bookmarkEnd w:id="640"/>
    <w:p w:rsidR="006F4B41" w:rsidRPr="006F4B41" w:rsidRDefault="006F4B41" w:rsidP="006F4B41">
      <w:pPr>
        <w:rPr>
          <w:rFonts w:eastAsia="Batang"/>
        </w:rPr>
      </w:pPr>
      <w:r w:rsidRPr="006F4B41">
        <w:rPr>
          <w:rFonts w:eastAsia="Batang"/>
        </w:rPr>
        <w:t xml:space="preserve">Политиката на правителството </w:t>
      </w:r>
      <w:r>
        <w:rPr>
          <w:rFonts w:eastAsia="Batang"/>
        </w:rPr>
        <w:t>за управление на държавния дълг</w:t>
      </w:r>
      <w:r>
        <w:rPr>
          <w:rStyle w:val="FootnoteReference"/>
          <w:rFonts w:eastAsia="Batang"/>
        </w:rPr>
        <w:footnoteReference w:id="32"/>
      </w:r>
      <w:r w:rsidRPr="006F4B41">
        <w:rPr>
          <w:rFonts w:eastAsia="Batang"/>
        </w:rPr>
        <w:t xml:space="preserve"> за следващия тригодишен период ще бъде насочена към осигуряване необходимите средства за рефинансиране на дълга в обращение, при необходимост финансиране на бюджета и обезпечаване на стабилността на фискалния резерв при оптимално възможна цена и приемлива степен на риск. Усилията ще бъдат съсредоточени в посока обезпечаване на възможности за пазарно-ориентирано финансиране, при спазване на годишните дългови ограничения.</w:t>
      </w:r>
    </w:p>
    <w:p w:rsidR="006F4B41" w:rsidRPr="006F4B41" w:rsidRDefault="006F4B41" w:rsidP="006F4B41">
      <w:pPr>
        <w:rPr>
          <w:rFonts w:eastAsia="Batang"/>
        </w:rPr>
      </w:pPr>
      <w:r w:rsidRPr="006F4B41">
        <w:rPr>
          <w:rFonts w:eastAsia="Batang"/>
        </w:rPr>
        <w:t xml:space="preserve">Достигнатото ниво на фискалния резерв към края на </w:t>
      </w:r>
      <w:r w:rsidR="000522D9">
        <w:rPr>
          <w:rFonts w:eastAsia="Batang"/>
        </w:rPr>
        <w:t>първото полугодие</w:t>
      </w:r>
      <w:r w:rsidRPr="006F4B41">
        <w:rPr>
          <w:rFonts w:eastAsia="Batang"/>
        </w:rPr>
        <w:t xml:space="preserve"> на 2019 г. и залегналите основни цели на фискалната политика за </w:t>
      </w:r>
      <w:r w:rsidR="00927270" w:rsidRPr="00927270">
        <w:rPr>
          <w:rFonts w:eastAsia="Batang"/>
        </w:rPr>
        <w:t xml:space="preserve">постигане и </w:t>
      </w:r>
      <w:r w:rsidRPr="006F4B41">
        <w:rPr>
          <w:rFonts w:eastAsia="Batang"/>
        </w:rPr>
        <w:t xml:space="preserve">поддържане на балансирана бюджетна позиция в средносрочен хоризонт дават възможност за провеждане на политика по управлението на държавния дълг, съобразена с конкретните пазарни условия и минимизиране на ликвидните рискове, при запазване устойчивостта на основните дългови параметри. </w:t>
      </w:r>
    </w:p>
    <w:p w:rsidR="006F4B41" w:rsidRDefault="006F4B41" w:rsidP="006F4B41">
      <w:pPr>
        <w:rPr>
          <w:rFonts w:eastAsia="Batang"/>
          <w:highlight w:val="yellow"/>
        </w:rPr>
      </w:pPr>
      <w:r w:rsidRPr="006F4B41">
        <w:rPr>
          <w:rFonts w:eastAsia="Batang"/>
        </w:rPr>
        <w:t>Определянето на конкретните характеристики на новопоетия дълг ще бъде съобразено с настоящата конюнктура на пазара на ДЦК и профила на дълга в обращение, при отчитане на възможностите за намаляване на риска за рефинансиране на държавния дълг, плавно удължаване на средния остатъчен матуритет на дълга, в унисон с прилаганите политики по управление на дълга на държавите от Европейския съюз, както и изглаждане на матуритетната му структура. Планира се дълговото финансиране на бюджета да бъде обезпечено чрез предоставяне на високоликвидни, при подходящо съотношение доходност/риск дългови инструменти, позиционирани в различни матуритетни сегменти, както и посредством усвоявания по вече договорени държавни заеми, които са с целево предназначение за съфинансиране на проекти, изпълнявани със средства от ЕС. По отношение на финансирането на инвестиционни проекти и специфични програми с държавни и държавногарантирани заеми ще продължи прилагането на консервативен подход.</w:t>
      </w:r>
    </w:p>
    <w:p w:rsidR="006F4B41" w:rsidRDefault="006F4B41" w:rsidP="00B52B89">
      <w:pPr>
        <w:rPr>
          <w:rFonts w:eastAsia="Batang"/>
          <w:highlight w:val="yellow"/>
        </w:rPr>
      </w:pPr>
    </w:p>
    <w:p w:rsidR="006F4B41" w:rsidRDefault="006F4B41" w:rsidP="00B52B89">
      <w:pPr>
        <w:rPr>
          <w:rFonts w:eastAsia="Batang"/>
          <w:highlight w:val="yellow"/>
        </w:rPr>
      </w:pPr>
    </w:p>
    <w:p w:rsidR="00627C63" w:rsidRPr="00AE3F21" w:rsidRDefault="00853713" w:rsidP="00DE2BDB">
      <w:pPr>
        <w:pStyle w:val="Heading2"/>
      </w:pPr>
      <w:bookmarkStart w:id="643" w:name="_Toc464224811"/>
      <w:bookmarkStart w:id="644" w:name="_Toc464225461"/>
      <w:bookmarkStart w:id="645" w:name="_Toc464459008"/>
      <w:bookmarkStart w:id="646" w:name="_Toc464459756"/>
      <w:bookmarkStart w:id="647" w:name="_Toc464460709"/>
      <w:bookmarkStart w:id="648" w:name="_Toc464463108"/>
      <w:bookmarkStart w:id="649" w:name="_Toc464464937"/>
      <w:bookmarkStart w:id="650" w:name="_Toc464465444"/>
      <w:bookmarkStart w:id="651" w:name="_Toc464465630"/>
      <w:bookmarkStart w:id="652" w:name="_Toc464466455"/>
      <w:bookmarkStart w:id="653" w:name="_Toc464466699"/>
      <w:bookmarkStart w:id="654" w:name="_Toc464645019"/>
      <w:bookmarkStart w:id="655" w:name="_Toc465205569"/>
      <w:bookmarkStart w:id="656" w:name="_Toc23337487"/>
      <w:r w:rsidRPr="00AE3F21">
        <w:t>ДЪРЖАВЕН ДЪЛГ. ОБСЛУЖВАНЕ И ФИНАНСИРАНЕ</w:t>
      </w:r>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p>
    <w:p w:rsidR="00843A33" w:rsidRPr="00843A33" w:rsidRDefault="00843A33" w:rsidP="00843A33">
      <w:pPr>
        <w:rPr>
          <w:rFonts w:eastAsia="Batang"/>
        </w:rPr>
      </w:pPr>
      <w:r w:rsidRPr="00843A33">
        <w:rPr>
          <w:rFonts w:eastAsia="Batang"/>
        </w:rPr>
        <w:t xml:space="preserve">В края на </w:t>
      </w:r>
      <w:r w:rsidR="003A1FF3">
        <w:rPr>
          <w:rFonts w:eastAsia="Batang"/>
        </w:rPr>
        <w:t>първото полугодие</w:t>
      </w:r>
      <w:r w:rsidRPr="00843A33">
        <w:rPr>
          <w:rFonts w:eastAsia="Batang"/>
        </w:rPr>
        <w:t xml:space="preserve"> на 2019 г. номиналният размер на държавния дълг намалява до 21,3 млрд. лв., в сравнение с нивото от 22,1 млрд.</w:t>
      </w:r>
      <w:r>
        <w:rPr>
          <w:rFonts w:eastAsia="Batang"/>
        </w:rPr>
        <w:t xml:space="preserve"> </w:t>
      </w:r>
      <w:r w:rsidRPr="00843A33">
        <w:rPr>
          <w:rFonts w:eastAsia="Batang"/>
        </w:rPr>
        <w:t>лв. отчетено в края на 2018 г., а съотношението на държавния дълг към БВП до 18,0%, при 20,1% в края на 2018 г. Въз основа на очакваното изпълнение на дълговите параметри към края на бюджетната година се предвижда дър</w:t>
      </w:r>
      <w:r w:rsidR="003410A5">
        <w:rPr>
          <w:rFonts w:eastAsia="Batang"/>
        </w:rPr>
        <w:t xml:space="preserve">жавният дълг да достигне </w:t>
      </w:r>
      <w:r w:rsidR="003410A5" w:rsidRPr="005A45A5">
        <w:rPr>
          <w:rFonts w:eastAsia="Batang"/>
        </w:rPr>
        <w:t>до 22,0</w:t>
      </w:r>
      <w:r w:rsidRPr="005A45A5">
        <w:rPr>
          <w:rFonts w:eastAsia="Batang"/>
        </w:rPr>
        <w:t xml:space="preserve"> млрд. лв.</w:t>
      </w:r>
      <w:r w:rsidRPr="00843A33">
        <w:rPr>
          <w:rFonts w:eastAsia="Batang"/>
        </w:rPr>
        <w:t xml:space="preserve"> или под прага на предвиденото в Закона за държавния бюджет </w:t>
      </w:r>
      <w:r w:rsidR="003A1FF3">
        <w:rPr>
          <w:rFonts w:eastAsia="Batang"/>
        </w:rPr>
        <w:t xml:space="preserve">на Република България </w:t>
      </w:r>
      <w:r w:rsidRPr="00843A33">
        <w:rPr>
          <w:rFonts w:eastAsia="Batang"/>
        </w:rPr>
        <w:t xml:space="preserve">за 2019 г. дългово ограничение. </w:t>
      </w:r>
    </w:p>
    <w:p w:rsidR="00843A33" w:rsidRPr="00843A33" w:rsidRDefault="00843A33" w:rsidP="00843A33">
      <w:pPr>
        <w:rPr>
          <w:rFonts w:eastAsia="Batang"/>
        </w:rPr>
      </w:pPr>
      <w:r w:rsidRPr="00843A33">
        <w:rPr>
          <w:rFonts w:eastAsia="Batang"/>
        </w:rPr>
        <w:t>В структурата на дълга относителният дял на вътрешния държавен дълг от 24,7% (5,5 млрд.</w:t>
      </w:r>
      <w:r>
        <w:rPr>
          <w:rFonts w:eastAsia="Batang"/>
        </w:rPr>
        <w:t xml:space="preserve"> </w:t>
      </w:r>
      <w:r w:rsidRPr="00843A33">
        <w:rPr>
          <w:rFonts w:eastAsia="Batang"/>
        </w:rPr>
        <w:t>лв.) в края на 2018 г. намалява до 22,6% (4,8 млрд.</w:t>
      </w:r>
      <w:r>
        <w:rPr>
          <w:rFonts w:eastAsia="Batang"/>
        </w:rPr>
        <w:t xml:space="preserve"> </w:t>
      </w:r>
      <w:r w:rsidRPr="00843A33">
        <w:rPr>
          <w:rFonts w:eastAsia="Batang"/>
        </w:rPr>
        <w:t>лв.) в края на юни 2019 г., като съответно се увеличава делът на външния държавен дълг от 75,3% до 77,4%.</w:t>
      </w:r>
    </w:p>
    <w:p w:rsidR="00843A33" w:rsidRPr="00843A33" w:rsidRDefault="00843A33" w:rsidP="00843A33">
      <w:pPr>
        <w:rPr>
          <w:rFonts w:eastAsia="Batang"/>
        </w:rPr>
      </w:pPr>
      <w:r w:rsidRPr="00843A33">
        <w:rPr>
          <w:rFonts w:eastAsia="Batang"/>
        </w:rPr>
        <w:t xml:space="preserve">В </w:t>
      </w:r>
      <w:r w:rsidRPr="003957D4">
        <w:rPr>
          <w:rFonts w:eastAsia="Batang"/>
          <w:i/>
        </w:rPr>
        <w:t>матуритетната структура на дълга</w:t>
      </w:r>
      <w:r w:rsidRPr="00843A33">
        <w:rPr>
          <w:rFonts w:eastAsia="Batang"/>
        </w:rPr>
        <w:t xml:space="preserve"> към края на полугодието превес имат дългът със срочност от 5 до 10 г. – 45,1% и дългът със срочност от 1 до 5 г. – 33,6%, следвани от дълга със срочност над 10 г. – 17,8% и краткосрочния дълг с матуритет до 1 г. – 3,5%. </w:t>
      </w:r>
    </w:p>
    <w:p w:rsidR="00843A33" w:rsidRPr="00843A33" w:rsidRDefault="00843A33" w:rsidP="00843A33">
      <w:pPr>
        <w:rPr>
          <w:rFonts w:eastAsia="Batang"/>
        </w:rPr>
      </w:pPr>
      <w:r w:rsidRPr="00843A33">
        <w:rPr>
          <w:rFonts w:eastAsia="Batang"/>
        </w:rPr>
        <w:t xml:space="preserve">В </w:t>
      </w:r>
      <w:r w:rsidRPr="003957D4">
        <w:rPr>
          <w:rFonts w:eastAsia="Batang"/>
          <w:i/>
        </w:rPr>
        <w:t>структурата на дълга по инструменти</w:t>
      </w:r>
      <w:r w:rsidRPr="00843A33">
        <w:rPr>
          <w:rFonts w:eastAsia="Batang"/>
        </w:rPr>
        <w:t xml:space="preserve">, към 30.06.2019 г., основен дял заемат облигациите, емитирани на МКП – 61,0%, следвани от ДЦК, емитирани на вътрешния пазар - 22,5% и кредитите – 16,5%. В структурата на кредитите най-голям е делът на държавните заеми - 47,2%, следвани от държавните инвестиционни заеми – 33,8% и други – 19,0%. </w:t>
      </w:r>
    </w:p>
    <w:p w:rsidR="00843A33" w:rsidRPr="00843A33" w:rsidRDefault="00843A33" w:rsidP="00843A33">
      <w:pPr>
        <w:rPr>
          <w:rFonts w:eastAsia="Batang"/>
        </w:rPr>
      </w:pPr>
      <w:r w:rsidRPr="00843A33">
        <w:rPr>
          <w:rFonts w:eastAsia="Batang"/>
        </w:rPr>
        <w:t xml:space="preserve">В </w:t>
      </w:r>
      <w:r w:rsidRPr="003957D4">
        <w:rPr>
          <w:rFonts w:eastAsia="Batang"/>
          <w:i/>
        </w:rPr>
        <w:t>лихвената и валутна структура на дълга</w:t>
      </w:r>
      <w:r w:rsidRPr="00843A33">
        <w:rPr>
          <w:rFonts w:eastAsia="Batang"/>
        </w:rPr>
        <w:t xml:space="preserve"> към края на юни 2019 г. нараства ясно изразеният превес на задълженията с фиксиран лихвен процент – 96,5% (при 96,1% в края на 2018 г.) и големият относителен дял на евровия и левовия компонент на дълга – 99,5% (99,4% и в края на 2018 г.). Дългът с плаващи лихви е обвързан с 6-месечния LIBOR на еврото (3,5%).</w:t>
      </w:r>
    </w:p>
    <w:p w:rsidR="00843A33" w:rsidRPr="00843A33" w:rsidRDefault="00843A33" w:rsidP="00843A33">
      <w:pPr>
        <w:rPr>
          <w:rFonts w:eastAsia="Batang"/>
        </w:rPr>
      </w:pPr>
      <w:r w:rsidRPr="00843A33">
        <w:rPr>
          <w:rFonts w:eastAsia="Batang"/>
        </w:rPr>
        <w:t>През с</w:t>
      </w:r>
      <w:r>
        <w:rPr>
          <w:rFonts w:eastAsia="Batang"/>
        </w:rPr>
        <w:t>ледващия тригодишен период 2020-</w:t>
      </w:r>
      <w:r w:rsidRPr="00843A33">
        <w:rPr>
          <w:rFonts w:eastAsia="Batang"/>
        </w:rPr>
        <w:t>2022 г. е предвидена възможност за поемане на нов държавен дълг на пазар</w:t>
      </w:r>
      <w:r w:rsidR="003A1FF3">
        <w:rPr>
          <w:rFonts w:eastAsia="Batang"/>
        </w:rPr>
        <w:t>а</w:t>
      </w:r>
      <w:r w:rsidRPr="00843A33">
        <w:rPr>
          <w:rFonts w:eastAsia="Batang"/>
        </w:rPr>
        <w:t xml:space="preserve"> на ДЦК в обеми, по-големи от погашенията по държавния дълг за същия период, с оглед акумулиране на средства във фискалния резерв в размер на около 1,8 млрд.</w:t>
      </w:r>
      <w:r>
        <w:rPr>
          <w:rFonts w:eastAsia="Batang"/>
        </w:rPr>
        <w:t xml:space="preserve"> </w:t>
      </w:r>
      <w:r w:rsidRPr="00843A33">
        <w:rPr>
          <w:rFonts w:eastAsia="Batang"/>
        </w:rPr>
        <w:t>лв. към края на 2022 г. Целта е предварително да бъдат осигурени част от средствата за предстоящото погашение по емитираните през 2016 г. еврооблигации (2,2 млрд.</w:t>
      </w:r>
      <w:r w:rsidR="002A343B">
        <w:rPr>
          <w:rFonts w:eastAsia="Batang"/>
        </w:rPr>
        <w:t xml:space="preserve"> </w:t>
      </w:r>
      <w:r w:rsidRPr="00843A33">
        <w:rPr>
          <w:rFonts w:eastAsia="Batang"/>
        </w:rPr>
        <w:t xml:space="preserve">лв.) в началото на 2023 г. По-високото ниво на фискалния резерв би позволило провеждането на гъвкава политика по управлението на държавния дълг, съобразена с конкретните пазарни условия при минимизиране на ликвидните рискове при изпълнението на бюджета и рефинансирането на дълга в обращение и гарантиране на възможно най-добрата цена за финансиране на държавата, респективно намаляване на разходите за обслужване на дълга в средносрочен аспект. </w:t>
      </w:r>
    </w:p>
    <w:p w:rsidR="00843A33" w:rsidRPr="00843A33" w:rsidRDefault="00843A33" w:rsidP="00843A33">
      <w:pPr>
        <w:rPr>
          <w:rFonts w:eastAsia="Batang"/>
        </w:rPr>
      </w:pPr>
      <w:r w:rsidRPr="00843A33">
        <w:rPr>
          <w:rFonts w:eastAsia="Batang"/>
        </w:rPr>
        <w:t xml:space="preserve">През 2020-2022 г. са предвидени и усвоявания на средства по вече договорени държавни заеми в размер на 100,0 млн. евро (195,6 млн. лв.) годишно, в т.ч. 50,0 млн. евро по Финансов договор между Република България и Европейската инвестиционна банка (България съфинансиране по Фондовете на ЕС 2014-2020 г. /СПЗ/) и 50,0 млн. евро по Рамково споразумение за заем между Банката за развитие на Съвета на Европа и Република България, механизъм за съфинансиране на проекти, изпълнявани със средства от ЕС по оперативните програми, съфинансирани от Европейските структурни и инвестиционни фондове. </w:t>
      </w:r>
    </w:p>
    <w:p w:rsidR="00843A33" w:rsidRPr="00843A33" w:rsidRDefault="00843A33" w:rsidP="00843A33">
      <w:pPr>
        <w:rPr>
          <w:rFonts w:eastAsia="Batang"/>
        </w:rPr>
      </w:pPr>
      <w:r w:rsidRPr="00843A33">
        <w:rPr>
          <w:rFonts w:eastAsia="Batang"/>
        </w:rPr>
        <w:t>Въз основа на допусканията, при прогнозно положително нетно дългово финансиране за периода 2020-2022 г., независимо от нарастването на дълга в абсолютна стойност, очакванията са да се запази тенденцията към намаляване на съотношението на държавния дълг спрямо п</w:t>
      </w:r>
      <w:r>
        <w:rPr>
          <w:rFonts w:eastAsia="Batang"/>
        </w:rPr>
        <w:t>рогнозното ниво на БВП от 18,6%</w:t>
      </w:r>
      <w:r w:rsidRPr="00843A33">
        <w:rPr>
          <w:rFonts w:eastAsia="Batang"/>
        </w:rPr>
        <w:t xml:space="preserve"> към края на 2019 г. до 17,0% в края на 2022 г., удължаване на средния остатъчен матуритет на дълга, както и увеличение на дела на вътрешния държавен дълг в структурата на дълга (от </w:t>
      </w:r>
      <w:r w:rsidR="003957D4">
        <w:rPr>
          <w:rFonts w:eastAsia="Batang"/>
        </w:rPr>
        <w:t>24,7% в края на 2018 г. на 43,6</w:t>
      </w:r>
      <w:r w:rsidRPr="00843A33">
        <w:rPr>
          <w:rFonts w:eastAsia="Batang"/>
        </w:rPr>
        <w:t>% в края на 2022 г.).</w:t>
      </w:r>
    </w:p>
    <w:p w:rsidR="00843A33" w:rsidRDefault="00843A33" w:rsidP="00843A33">
      <w:pPr>
        <w:rPr>
          <w:rFonts w:eastAsia="Batang"/>
          <w:highlight w:val="yellow"/>
        </w:rPr>
      </w:pPr>
      <w:r w:rsidRPr="00843A33">
        <w:rPr>
          <w:rFonts w:eastAsia="Batang"/>
        </w:rPr>
        <w:t>Лихвените разходи за обслужването на държавния дълг през полугодието на 2019 г. са в размер на 393,5 млн. лв. (от които 280,5 млн. лв. по външния и 113,0 млн.</w:t>
      </w:r>
      <w:r>
        <w:rPr>
          <w:rFonts w:eastAsia="Batang"/>
        </w:rPr>
        <w:t xml:space="preserve"> </w:t>
      </w:r>
      <w:r w:rsidRPr="00843A33">
        <w:rPr>
          <w:rFonts w:eastAsia="Batang"/>
        </w:rPr>
        <w:t>лв. по вътрешния)</w:t>
      </w:r>
      <w:r>
        <w:rPr>
          <w:rFonts w:eastAsia="Batang"/>
        </w:rPr>
        <w:t>.</w:t>
      </w:r>
      <w:r w:rsidRPr="00843A33">
        <w:rPr>
          <w:rFonts w:eastAsia="Batang"/>
        </w:rPr>
        <w:t xml:space="preserve"> Към края на 2019 г. се прогнозира лихвените раз</w:t>
      </w:r>
      <w:r w:rsidR="003410A5">
        <w:rPr>
          <w:rFonts w:eastAsia="Batang"/>
        </w:rPr>
        <w:t xml:space="preserve">ходи по дълга да намалеят </w:t>
      </w:r>
      <w:r w:rsidR="003410A5" w:rsidRPr="00924EB2">
        <w:rPr>
          <w:rFonts w:eastAsia="Batang"/>
        </w:rPr>
        <w:t xml:space="preserve">до </w:t>
      </w:r>
      <w:r w:rsidR="003410A5" w:rsidRPr="001A245F">
        <w:rPr>
          <w:rFonts w:eastAsia="Batang"/>
        </w:rPr>
        <w:t>608,4</w:t>
      </w:r>
      <w:r w:rsidRPr="00924EB2">
        <w:rPr>
          <w:rFonts w:eastAsia="Batang"/>
        </w:rPr>
        <w:t xml:space="preserve"> млн. лв. (в т.ч. </w:t>
      </w:r>
      <w:r w:rsidR="004F65CF" w:rsidRPr="001A245F">
        <w:rPr>
          <w:rFonts w:eastAsia="Batang"/>
        </w:rPr>
        <w:t xml:space="preserve">423,8 </w:t>
      </w:r>
      <w:r w:rsidR="004F65CF" w:rsidRPr="00924EB2">
        <w:rPr>
          <w:rFonts w:eastAsia="Batang"/>
        </w:rPr>
        <w:t xml:space="preserve">млн. лв. по външния и </w:t>
      </w:r>
      <w:r w:rsidR="004F65CF" w:rsidRPr="001A245F">
        <w:rPr>
          <w:rFonts w:eastAsia="Batang"/>
        </w:rPr>
        <w:t>184,6</w:t>
      </w:r>
      <w:r w:rsidRPr="00843A33">
        <w:rPr>
          <w:rFonts w:eastAsia="Batang"/>
        </w:rPr>
        <w:t xml:space="preserve"> млн.</w:t>
      </w:r>
      <w:r>
        <w:rPr>
          <w:rFonts w:eastAsia="Batang"/>
        </w:rPr>
        <w:t xml:space="preserve"> </w:t>
      </w:r>
      <w:r w:rsidRPr="00843A33">
        <w:rPr>
          <w:rFonts w:eastAsia="Batang"/>
        </w:rPr>
        <w:t>лв. по вътрешния), в сравнение с нивото, отчетено към края на 2018 г. (649,8 млн. лв.). През следващите три години се предвижда съотношението на лихвените разходи спрямо прогнозния БВП да се запази под 1,0%.</w:t>
      </w:r>
    </w:p>
    <w:p w:rsidR="00843A33" w:rsidRDefault="00843A33" w:rsidP="00535024">
      <w:pPr>
        <w:rPr>
          <w:rFonts w:eastAsia="Batang"/>
          <w:highlight w:val="yellow"/>
        </w:rPr>
      </w:pPr>
    </w:p>
    <w:p w:rsidR="004C20EA" w:rsidRDefault="00AE3F21" w:rsidP="005A45A5">
      <w:pPr>
        <w:pStyle w:val="Caption"/>
        <w:spacing w:after="240"/>
        <w:ind w:left="0" w:firstLine="0"/>
      </w:pPr>
      <w:r w:rsidRPr="00435222">
        <w:t xml:space="preserve">Граф. </w:t>
      </w:r>
      <w:fldSimple w:instr=" STYLEREF 1 \s ">
        <w:r w:rsidR="0034195B">
          <w:rPr>
            <w:noProof/>
          </w:rPr>
          <w:t>VI</w:t>
        </w:r>
      </w:fldSimple>
      <w:r w:rsidR="005D7434" w:rsidRPr="00435222">
        <w:noBreakHyphen/>
      </w:r>
      <w:fldSimple w:instr=" SEQ Граф. \* ARABIC \s 1 ">
        <w:r w:rsidR="0034195B">
          <w:rPr>
            <w:noProof/>
          </w:rPr>
          <w:t>1</w:t>
        </w:r>
      </w:fldSimple>
      <w:r w:rsidRPr="00435222">
        <w:t xml:space="preserve">: </w:t>
      </w:r>
      <w:r w:rsidR="00A40B97" w:rsidRPr="00435222">
        <w:tab/>
      </w:r>
      <w:r w:rsidR="009A1DFB" w:rsidRPr="00435222">
        <w:rPr>
          <w:lang w:val="ru-RU"/>
        </w:rPr>
        <w:t xml:space="preserve"> </w:t>
      </w:r>
      <w:r w:rsidR="00A82A4B" w:rsidRPr="00435222">
        <w:t>Съотношение на лихвените разходи към БВП</w:t>
      </w:r>
    </w:p>
    <w:p w:rsidR="00AA5731" w:rsidRDefault="002A343B" w:rsidP="005A45A5">
      <w:pPr>
        <w:jc w:val="center"/>
      </w:pPr>
      <w:r>
        <w:rPr>
          <w:noProof/>
        </w:rPr>
        <w:drawing>
          <wp:inline distT="0" distB="0" distL="0" distR="0" wp14:anchorId="3A7AFFF8" wp14:editId="1BBAA822">
            <wp:extent cx="5759450" cy="2420243"/>
            <wp:effectExtent l="0" t="0" r="12700" b="18415"/>
            <wp:docPr id="688" name="Chart 688"/>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C22BE1" w:rsidRDefault="00C22BE1" w:rsidP="002A343B">
      <w:pPr>
        <w:rPr>
          <w:noProof/>
        </w:rPr>
      </w:pPr>
    </w:p>
    <w:p w:rsidR="00627C63" w:rsidRPr="00AE3F21" w:rsidRDefault="00853713" w:rsidP="00DE2BDB">
      <w:pPr>
        <w:pStyle w:val="Heading2"/>
      </w:pPr>
      <w:bookmarkStart w:id="657" w:name="_Toc464224812"/>
      <w:bookmarkStart w:id="658" w:name="_Toc464225462"/>
      <w:bookmarkStart w:id="659" w:name="_Toc464459009"/>
      <w:bookmarkStart w:id="660" w:name="_Toc464459757"/>
      <w:bookmarkStart w:id="661" w:name="_Toc464460710"/>
      <w:bookmarkStart w:id="662" w:name="_Toc464463109"/>
      <w:bookmarkStart w:id="663" w:name="_Toc464464938"/>
      <w:bookmarkStart w:id="664" w:name="_Toc464465445"/>
      <w:bookmarkStart w:id="665" w:name="_Toc464465631"/>
      <w:bookmarkStart w:id="666" w:name="_Toc464466456"/>
      <w:bookmarkStart w:id="667" w:name="_Toc464466700"/>
      <w:bookmarkStart w:id="668" w:name="_Toc464645020"/>
      <w:bookmarkStart w:id="669" w:name="_Toc465205570"/>
      <w:bookmarkStart w:id="670" w:name="_Toc23337488"/>
      <w:r w:rsidRPr="00AE3F21">
        <w:t>ДЪРЖАВНОГАРАНТИРАН ДЪЛГ</w:t>
      </w:r>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p>
    <w:p w:rsidR="00950C28" w:rsidRPr="00950C28" w:rsidRDefault="00950C28" w:rsidP="00950C28">
      <w:pPr>
        <w:rPr>
          <w:rFonts w:eastAsia="Batang"/>
        </w:rPr>
      </w:pPr>
      <w:r w:rsidRPr="00950C28">
        <w:rPr>
          <w:rFonts w:eastAsia="Batang"/>
        </w:rPr>
        <w:t xml:space="preserve">Към края на полугодието на 2019 г. размерът на държавногарантирания дълг възлиза на 1,8 млрд. лв., като бележи намаление (основно вследствие на извършените погашения) в сравнение с края на 2018 г. (1,9 млрд. лв.). Съотношението на дълга към БВП от 1,7% в края на предходната година достига до 1,5% към края на юни, което се очаква да се запази и към края на бюджетната година. Основната част от него се формира от външни държавногарантирани заеми. </w:t>
      </w:r>
    </w:p>
    <w:p w:rsidR="00950C28" w:rsidRPr="00950C28" w:rsidRDefault="00950C28" w:rsidP="00950C28">
      <w:pPr>
        <w:rPr>
          <w:rFonts w:eastAsia="Batang"/>
        </w:rPr>
      </w:pPr>
      <w:r w:rsidRPr="00950C28">
        <w:rPr>
          <w:rFonts w:eastAsia="Batang"/>
        </w:rPr>
        <w:t>До края на 2019 г. се очаква да стартира изпълнението на проекта „Междусистемна газова връзка Гърция-България“, финансиран с държавногарантиран заем от Европейската инвестиционна банка в размер до валутната равностойност на 215 млн.</w:t>
      </w:r>
      <w:r>
        <w:rPr>
          <w:rFonts w:eastAsia="Batang"/>
        </w:rPr>
        <w:t xml:space="preserve"> </w:t>
      </w:r>
      <w:r w:rsidRPr="00950C28">
        <w:rPr>
          <w:rFonts w:eastAsia="Batang"/>
        </w:rPr>
        <w:t>лв.</w:t>
      </w:r>
    </w:p>
    <w:p w:rsidR="00950C28" w:rsidRPr="00950C28" w:rsidRDefault="00950C28" w:rsidP="00950C28">
      <w:pPr>
        <w:rPr>
          <w:rFonts w:eastAsia="Batang"/>
        </w:rPr>
      </w:pPr>
      <w:r w:rsidRPr="00950C28">
        <w:rPr>
          <w:rFonts w:eastAsia="Batang"/>
        </w:rPr>
        <w:t>По отношение на поемането на нови държавногарантирани заеми през периода 2020-2022 г. ще продължи следването на последователен аналитичен подход и законово регламентираната практика при отчитане степента на тяхната ефективност, в контекста на изпълнението на поставените правителствени приоритети за насърчаване развитието на ключови сектори в икономиката. За 2020 г. е предвидена възможност за издаване на държавна гаранция по споразумението между МБВР и ФГВБ за осигуряване на достъп на ФГВБ до инструмент за условно финансиране в размер до 350 млн. евро.</w:t>
      </w:r>
    </w:p>
    <w:p w:rsidR="00950C28" w:rsidRDefault="00950C28" w:rsidP="00C22BE1">
      <w:pPr>
        <w:rPr>
          <w:rFonts w:eastAsia="Batang"/>
          <w:highlight w:val="yellow"/>
        </w:rPr>
      </w:pPr>
      <w:r w:rsidRPr="00950C28">
        <w:rPr>
          <w:rFonts w:eastAsia="Batang"/>
        </w:rPr>
        <w:t>През тригодишния период се предвижда държавногарантираният дълг плавно да намалява в номинално изражение, достигайки до 1,4 млрд.</w:t>
      </w:r>
      <w:r w:rsidR="002A343B">
        <w:rPr>
          <w:rFonts w:eastAsia="Batang"/>
        </w:rPr>
        <w:t xml:space="preserve"> </w:t>
      </w:r>
      <w:r w:rsidRPr="00950C28">
        <w:rPr>
          <w:rFonts w:eastAsia="Batang"/>
        </w:rPr>
        <w:t>лв. или около 1,0% от прогнозния БВП в края на 2022 г.</w:t>
      </w:r>
    </w:p>
    <w:p w:rsidR="008F1224" w:rsidRPr="00AE3F21" w:rsidRDefault="00853713" w:rsidP="00DE2BDB">
      <w:pPr>
        <w:pStyle w:val="Heading2"/>
      </w:pPr>
      <w:bookmarkStart w:id="671" w:name="_Toc464224813"/>
      <w:bookmarkStart w:id="672" w:name="_Toc464225463"/>
      <w:bookmarkStart w:id="673" w:name="_Toc464459010"/>
      <w:bookmarkStart w:id="674" w:name="_Toc464459758"/>
      <w:bookmarkStart w:id="675" w:name="_Toc464460711"/>
      <w:bookmarkStart w:id="676" w:name="_Toc464463110"/>
      <w:bookmarkStart w:id="677" w:name="_Toc464464939"/>
      <w:bookmarkStart w:id="678" w:name="_Toc464465446"/>
      <w:bookmarkStart w:id="679" w:name="_Toc464465632"/>
      <w:bookmarkStart w:id="680" w:name="_Toc464466457"/>
      <w:bookmarkStart w:id="681" w:name="_Toc464466701"/>
      <w:bookmarkStart w:id="682" w:name="_Toc464645021"/>
      <w:bookmarkStart w:id="683" w:name="_Toc465205571"/>
      <w:bookmarkStart w:id="684" w:name="_Toc23337489"/>
      <w:r w:rsidRPr="00AE3F21">
        <w:t>ДЪРЖАВЕН ДЪЛГ ЧРЕЗ ФИНАНСОВ ЛИЗИНГ И ДРУГИ ФОРМИ НА ДЪРЖАВЕН ДЪЛГ</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p>
    <w:p w:rsidR="003A1BE2" w:rsidRPr="003A1BE2" w:rsidRDefault="003A1BE2" w:rsidP="00AE3F21">
      <w:pPr>
        <w:rPr>
          <w:rFonts w:eastAsia="Batang"/>
          <w:highlight w:val="yellow"/>
        </w:rPr>
      </w:pPr>
      <w:r w:rsidRPr="003A1BE2">
        <w:rPr>
          <w:rFonts w:eastAsia="Batang"/>
        </w:rPr>
        <w:t>За периода 2020-2022 г. не се предвижда поемане на нов дълг под формата на финансов лизинг или други форми на дълг от първостепенните разпоредители с бюджет.</w:t>
      </w:r>
    </w:p>
    <w:p w:rsidR="008F1224" w:rsidRDefault="00853713" w:rsidP="00DE2BDB">
      <w:pPr>
        <w:pStyle w:val="Heading2"/>
      </w:pPr>
      <w:bookmarkStart w:id="685" w:name="_Toc464224814"/>
      <w:bookmarkStart w:id="686" w:name="_Toc464225464"/>
      <w:bookmarkStart w:id="687" w:name="_Toc464459011"/>
      <w:bookmarkStart w:id="688" w:name="_Toc464459759"/>
      <w:bookmarkStart w:id="689" w:name="_Toc464460712"/>
      <w:bookmarkStart w:id="690" w:name="_Toc464463111"/>
      <w:bookmarkStart w:id="691" w:name="_Toc464464940"/>
      <w:bookmarkStart w:id="692" w:name="_Toc464465447"/>
      <w:bookmarkStart w:id="693" w:name="_Toc464465633"/>
      <w:bookmarkStart w:id="694" w:name="_Toc464466458"/>
      <w:bookmarkStart w:id="695" w:name="_Toc464466702"/>
      <w:bookmarkStart w:id="696" w:name="_Toc464645022"/>
      <w:bookmarkStart w:id="697" w:name="_Toc465205572"/>
      <w:bookmarkStart w:id="698" w:name="_Toc23337490"/>
      <w:r w:rsidRPr="00AE3F21">
        <w:t>ДРУГИ ОПЕРАЦИИ В ЧАСТТА НА ФИНАНСИРАНЕТО</w:t>
      </w:r>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p>
    <w:p w:rsidR="00AB3682" w:rsidRDefault="00DC1E2B" w:rsidP="00DC1E2B">
      <w:pPr>
        <w:pStyle w:val="Heading3"/>
        <w:ind w:left="709" w:hanging="567"/>
      </w:pPr>
      <w:r>
        <w:t xml:space="preserve">УСВОЯВАНИЯ ПО ДЪРЖАВНИТЕ ИНВЕСТИЦИОННИ ЗАЕМИ </w:t>
      </w:r>
    </w:p>
    <w:p w:rsidR="0083795C" w:rsidRPr="0083795C" w:rsidRDefault="0083795C" w:rsidP="0083795C">
      <w:r w:rsidRPr="0083795C">
        <w:t xml:space="preserve">През 2020 г. в централния бюджет са разчетени приходи от лихви по държавни инвестиционни заеми с краен бенефициент търговско дружество общо в размер на 3,9 млн. лв. </w:t>
      </w:r>
    </w:p>
    <w:p w:rsidR="0083795C" w:rsidRPr="001A13B3" w:rsidRDefault="0083795C" w:rsidP="0083795C">
      <w:r w:rsidRPr="0083795C">
        <w:t xml:space="preserve">Общо разчетените разходи </w:t>
      </w:r>
      <w:r w:rsidR="003410A5">
        <w:t xml:space="preserve">за 2020 г. </w:t>
      </w:r>
      <w:r w:rsidRPr="0083795C">
        <w:t xml:space="preserve">по </w:t>
      </w:r>
      <w:r w:rsidRPr="001A13B3">
        <w:t>държавните инвестиционни заеми, в т.ч. и с краен бенефициент търговско дружество, са в размер на 42,6 млн. лв., в т.ч. 30,7 млн. лв. за разходи за лихви и 11,9 млн. лв. за изпълнението от Министерството на регионалното развитие и благоустройството на проект „Развитие на общинската инфраструктура“.</w:t>
      </w:r>
    </w:p>
    <w:p w:rsidR="0083795C" w:rsidRPr="001A13B3" w:rsidRDefault="0083795C" w:rsidP="001B68DD">
      <w:r w:rsidRPr="001A13B3">
        <w:t xml:space="preserve">За 2020 г. е предвидено усвояване на външно финансиране в размер на 9,4 млн. лв. по проект „Развитие </w:t>
      </w:r>
      <w:r w:rsidR="007027DF" w:rsidRPr="001A13B3">
        <w:t xml:space="preserve">на общинската инфраструктура“. </w:t>
      </w:r>
      <w:r w:rsidRPr="001A13B3">
        <w:t>Разчетените средства за погашения по държавни инвестиционни заеми, в т.ч. и с краен бенефициент търговско дружество, са в размер на 151,7 млн. лв.</w:t>
      </w:r>
    </w:p>
    <w:p w:rsidR="00DC1E2B" w:rsidRDefault="00DC1E2B" w:rsidP="00DC1E2B">
      <w:pPr>
        <w:pStyle w:val="Heading3"/>
        <w:ind w:left="709" w:hanging="567"/>
      </w:pPr>
      <w:r>
        <w:t>ФИНАНСИРАНЕ ПО ЧЛ. 9, АЛ. 1 ОТ ЗАКОНА</w:t>
      </w:r>
      <w:r w:rsidR="00AB3682">
        <w:t xml:space="preserve"> ЗА ЕКСПОРТНОТО ЗАСТРАХОВАНЕ</w:t>
      </w:r>
    </w:p>
    <w:p w:rsidR="008F6CD0" w:rsidRDefault="00C73046" w:rsidP="00C73046">
      <w:r>
        <w:t xml:space="preserve">Съгласно чл. 9, ал. 1 от Закона за експортното застраховане (ЗЕЗ), в закона за държавния бюджет на Република България за съответната година се предвиждат средствата от централния бюджет за изплащане на застрахователни обезщетения по </w:t>
      </w:r>
      <w:r w:rsidR="008F6CD0">
        <w:t xml:space="preserve">           </w:t>
      </w:r>
      <w:r>
        <w:t xml:space="preserve">чл. 3 от ЗЕЗ (дейността за сметка на държавата). </w:t>
      </w:r>
      <w:r w:rsidR="008F6CD0" w:rsidRPr="008F6CD0">
        <w:t>Предвидените в държавния бюджет за 2019 г. средства за изплащане на застрахователни обезщетения по чл. 3 от ЗЕЗ с</w:t>
      </w:r>
      <w:r w:rsidR="008F6CD0">
        <w:t xml:space="preserve">а в размер на 115,0 млн. лева. </w:t>
      </w:r>
    </w:p>
    <w:p w:rsidR="00C73046" w:rsidRDefault="00C73046" w:rsidP="00C73046">
      <w:r w:rsidRPr="002A6FB1">
        <w:t xml:space="preserve">За </w:t>
      </w:r>
      <w:r w:rsidRPr="005A45A5">
        <w:t>периода 2020-2022 г. се предвижда увеличение на размера на средствата, както следва: 120</w:t>
      </w:r>
      <w:r w:rsidR="008F6CD0" w:rsidRPr="005A45A5">
        <w:t>,0</w:t>
      </w:r>
      <w:r w:rsidRPr="005A45A5">
        <w:t xml:space="preserve"> млн. лв. за 2020 г., 125</w:t>
      </w:r>
      <w:r w:rsidR="008F6CD0" w:rsidRPr="005A45A5">
        <w:t>,0</w:t>
      </w:r>
      <w:r w:rsidRPr="005A45A5">
        <w:t xml:space="preserve"> млн. лв. за 2021 г. и 130</w:t>
      </w:r>
      <w:r w:rsidR="008F6CD0" w:rsidRPr="005A45A5">
        <w:t>,0</w:t>
      </w:r>
      <w:r w:rsidRPr="005A45A5">
        <w:t xml:space="preserve"> млн. лв. за 2022 </w:t>
      </w:r>
      <w:r w:rsidRPr="002A6FB1">
        <w:t>г.</w:t>
      </w:r>
      <w:r>
        <w:t xml:space="preserve"> </w:t>
      </w:r>
    </w:p>
    <w:p w:rsidR="00C73046" w:rsidRDefault="00C73046" w:rsidP="00C73046">
      <w:r>
        <w:t xml:space="preserve">В съответствие с мисията и целите на „Българска агенция за експортно застраховане“ (БАЕЗ) като държавна агенция, която подкрепя българските износители, дружеството акцентира върху развитието в предлагането на застрахователните продукти по дейността за сметка на държавата. За изпълнението на заложените показатели БАЕЗ се нуждае от съответния застрахователен капацитет, който да покрива нуждите на компанията. </w:t>
      </w:r>
    </w:p>
    <w:p w:rsidR="00C73046" w:rsidRDefault="00C73046" w:rsidP="00F8237B">
      <w:r>
        <w:t>Мерките за постепенно повишаване на заделените средства в държавния бюджет целят повишаване на застрахователния капацитет на БАЕЗ и разширяване на бизнеса по ЗЕЗ, в съответствие с националната стратегия за развитие на износа и подкрепа и стимулиране на българските компании – износителки на стоки и услуги.</w:t>
      </w:r>
    </w:p>
    <w:p w:rsidR="00EE2B20" w:rsidRDefault="0004499E" w:rsidP="00EE2B20">
      <w:pPr>
        <w:pStyle w:val="Heading3"/>
        <w:ind w:left="709" w:hanging="567"/>
      </w:pPr>
      <w:r>
        <w:t xml:space="preserve">ПОСТЪПЛЕНИЯ ОТ ПРИВАТИЗАЦИЯ </w:t>
      </w:r>
    </w:p>
    <w:p w:rsidR="00DF0A76" w:rsidRPr="005A45A5" w:rsidRDefault="00DF0A76" w:rsidP="00896983">
      <w:r w:rsidRPr="00DF0A76">
        <w:t xml:space="preserve">Прогнозните приходи </w:t>
      </w:r>
      <w:r w:rsidRPr="00896983">
        <w:t xml:space="preserve">по държавния бюджет </w:t>
      </w:r>
      <w:r w:rsidRPr="00DF0A76">
        <w:t xml:space="preserve">от приватизация и следприватизационен </w:t>
      </w:r>
      <w:r w:rsidRPr="005A45A5">
        <w:t>контрол за периода 2020-2022 г. са съответно 3,1 млн. лв. за 2020 г., 4,8 млн. лв. за 2021 г. и 35,0 млн. лв. за 2022 г.</w:t>
      </w:r>
    </w:p>
    <w:p w:rsidR="00DC1E2B" w:rsidRPr="00EE2B20" w:rsidRDefault="0004499E" w:rsidP="00EE2B20">
      <w:pPr>
        <w:pStyle w:val="Heading3"/>
        <w:ind w:left="709" w:hanging="567"/>
      </w:pPr>
      <w:r w:rsidRPr="00EE2B20">
        <w:t xml:space="preserve">ФИСКАЛЕН РЕЗЕРВ </w:t>
      </w:r>
    </w:p>
    <w:p w:rsidR="00DC1E2B" w:rsidRPr="00A5174F" w:rsidRDefault="00DC1E2B" w:rsidP="00DC1E2B">
      <w:r w:rsidRPr="00A5174F">
        <w:t>Съгласно дефиницията за показателя „Фискален резерв</w:t>
      </w:r>
      <w:r w:rsidR="00BB1AB7" w:rsidRPr="00A5174F">
        <w:t>“</w:t>
      </w:r>
      <w:r w:rsidRPr="00A5174F">
        <w:t xml:space="preserve"> в т. 41 от </w:t>
      </w:r>
      <w:r w:rsidR="002F1E48">
        <w:t>д</w:t>
      </w:r>
      <w:r w:rsidRPr="00A5174F">
        <w:t xml:space="preserve">опълнителните разпоредби на Закона за публичните финанси в неговия обхват се включват </w:t>
      </w:r>
      <w:r w:rsidR="002F1E48">
        <w:t>салдата</w:t>
      </w:r>
      <w:r w:rsidRPr="00A5174F">
        <w:t xml:space="preserve"> по </w:t>
      </w:r>
      <w:r w:rsidR="002F1E48">
        <w:t xml:space="preserve">всички </w:t>
      </w:r>
      <w:r w:rsidRPr="00A5174F">
        <w:t>банкови сметки на бюджетните организации без тези на общините и техните разпоредители с бюджет, активите на Държавния фонд за гарантиране устойчивост на държавната пенсионна система (ДФГУДПС), вземания от фондове на Европейския съюз за сертифицирани разходи, аванси и други</w:t>
      </w:r>
      <w:r w:rsidR="002F1E48">
        <w:t>, и други</w:t>
      </w:r>
      <w:r w:rsidRPr="00A5174F">
        <w:t xml:space="preserve"> финансови </w:t>
      </w:r>
      <w:r w:rsidR="002F1E48" w:rsidRPr="002F1E48">
        <w:t>активи по чл. 154, ал. 22 и 23 от същия закон</w:t>
      </w:r>
      <w:r w:rsidRPr="00A5174F">
        <w:t>.</w:t>
      </w:r>
    </w:p>
    <w:p w:rsidR="00DC1E2B" w:rsidRPr="00A5174F" w:rsidRDefault="00DC1E2B" w:rsidP="00DC1E2B">
      <w:r w:rsidRPr="00A5174F">
        <w:t>Минималният размер на показателя „Фискален резерв</w:t>
      </w:r>
      <w:r w:rsidR="00BB1AB7" w:rsidRPr="00A5174F">
        <w:t>“</w:t>
      </w:r>
      <w:r w:rsidRPr="00A5174F">
        <w:t xml:space="preserve"> е определен на база необходимите средства на разположение към 31</w:t>
      </w:r>
      <w:r w:rsidR="002F1E48">
        <w:t xml:space="preserve"> декември </w:t>
      </w:r>
      <w:r w:rsidRPr="00A5174F">
        <w:t>20</w:t>
      </w:r>
      <w:r w:rsidR="0082151E">
        <w:t>20</w:t>
      </w:r>
      <w:r w:rsidRPr="00A5174F">
        <w:t xml:space="preserve"> г. за обезпечаване на наличностите на ДФГУДПС и текущите ликвидни нужди на бюджета. Следва обаче да се подчертае, че минималният размер на фискалния резерв не представлява целева стойност за показателя към даден период. Той представлява минимален праг за показателя, който има за цел да минимизира рисковете от ликвидни проблеми в краткосрочен хоризонт. </w:t>
      </w:r>
    </w:p>
    <w:p w:rsidR="00966232" w:rsidRDefault="00DC1E2B" w:rsidP="006F1009">
      <w:r w:rsidRPr="00A5174F">
        <w:t>На тази база се предвижда запазване на определения към момента праг за минималния размер на фискалния резерв за 201</w:t>
      </w:r>
      <w:r w:rsidR="0082151E">
        <w:t>9</w:t>
      </w:r>
      <w:r w:rsidRPr="00A5174F">
        <w:t xml:space="preserve"> г. </w:t>
      </w:r>
      <w:r w:rsidRPr="003A1BE2">
        <w:t>Предлага се минималният размер на фискалния резерв към 31</w:t>
      </w:r>
      <w:r w:rsidR="002F1E48">
        <w:t xml:space="preserve"> декември </w:t>
      </w:r>
      <w:r w:rsidRPr="003A1BE2">
        <w:t>20</w:t>
      </w:r>
      <w:r w:rsidR="0082151E" w:rsidRPr="003A1BE2">
        <w:t>20</w:t>
      </w:r>
      <w:r w:rsidRPr="003A1BE2">
        <w:t xml:space="preserve"> г. да бъде в размер на 4,5 млрд. лв.</w:t>
      </w:r>
      <w:bookmarkStart w:id="699" w:name="_Toc464465637"/>
      <w:bookmarkStart w:id="700" w:name="_Toc464466462"/>
      <w:bookmarkStart w:id="701" w:name="_Toc464466706"/>
      <w:bookmarkStart w:id="702" w:name="_Toc464466738"/>
      <w:bookmarkStart w:id="703" w:name="_Toc464470248"/>
      <w:bookmarkStart w:id="704" w:name="_Toc464645026"/>
      <w:bookmarkStart w:id="705" w:name="_Toc464646382"/>
    </w:p>
    <w:p w:rsidR="007027DF" w:rsidRDefault="007027DF" w:rsidP="006F1009"/>
    <w:p w:rsidR="007027DF" w:rsidRPr="003A1BE2" w:rsidRDefault="007027DF" w:rsidP="006F1009"/>
    <w:p w:rsidR="00966232" w:rsidRDefault="00966232" w:rsidP="006F1009">
      <w:pPr>
        <w:sectPr w:rsidR="00966232" w:rsidSect="00FF16A0">
          <w:headerReference w:type="even" r:id="rId41"/>
          <w:headerReference w:type="default" r:id="rId42"/>
          <w:type w:val="oddPage"/>
          <w:pgSz w:w="11906" w:h="16838" w:code="9"/>
          <w:pgMar w:top="1418" w:right="1418" w:bottom="851" w:left="1418" w:header="708" w:footer="708" w:gutter="0"/>
          <w:cols w:space="708"/>
          <w:titlePg/>
          <w:docGrid w:linePitch="360"/>
        </w:sectPr>
      </w:pPr>
    </w:p>
    <w:p w:rsidR="00AE23B8" w:rsidRPr="00BC7843" w:rsidRDefault="001E0DF0" w:rsidP="007D0124">
      <w:pPr>
        <w:pStyle w:val="Heading1"/>
      </w:pPr>
      <w:bookmarkStart w:id="706" w:name="_Toc23337491"/>
      <w:r w:rsidRPr="001E0DF0">
        <w:rPr>
          <w:noProof/>
        </w:rPr>
        <mc:AlternateContent>
          <mc:Choice Requires="wps">
            <w:drawing>
              <wp:anchor distT="0" distB="0" distL="114300" distR="114300" simplePos="0" relativeHeight="251670528" behindDoc="0" locked="0" layoutInCell="1" allowOverlap="1" wp14:anchorId="62D0EE6D" wp14:editId="0457AFC8">
                <wp:simplePos x="0" y="0"/>
                <wp:positionH relativeFrom="column">
                  <wp:posOffset>-898525</wp:posOffset>
                </wp:positionH>
                <wp:positionV relativeFrom="paragraph">
                  <wp:posOffset>1405255</wp:posOffset>
                </wp:positionV>
                <wp:extent cx="7560310" cy="0"/>
                <wp:effectExtent l="0" t="0" r="21590" b="19050"/>
                <wp:wrapNone/>
                <wp:docPr id="697" name="Straight Connector 697"/>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7071A8" id="Straight Connector 697"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70.75pt,110.65pt" to="524.55pt,1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" strokecolor="#b32c16 [3206]"/>
            </w:pict>
          </mc:Fallback>
        </mc:AlternateContent>
      </w:r>
      <w:r w:rsidRPr="001E0DF0">
        <w:rPr>
          <w:noProof/>
        </w:rPr>
        <mc:AlternateContent>
          <mc:Choice Requires="wps">
            <w:drawing>
              <wp:anchor distT="0" distB="0" distL="114300" distR="114300" simplePos="0" relativeHeight="251669504" behindDoc="1" locked="0" layoutInCell="1" allowOverlap="1" wp14:anchorId="32FF3983" wp14:editId="044E36BA">
                <wp:simplePos x="0" y="0"/>
                <wp:positionH relativeFrom="column">
                  <wp:posOffset>-898156</wp:posOffset>
                </wp:positionH>
                <wp:positionV relativeFrom="paragraph">
                  <wp:posOffset>-898155</wp:posOffset>
                </wp:positionV>
                <wp:extent cx="7560860" cy="2304000"/>
                <wp:effectExtent l="0" t="0" r="2540" b="1270"/>
                <wp:wrapNone/>
                <wp:docPr id="696" name="Rectangle 696"/>
                <wp:cNvGraphicFramePr/>
                <a:graphic xmlns:a="http://schemas.openxmlformats.org/drawingml/2006/main">
                  <a:graphicData uri="http://schemas.microsoft.com/office/word/2010/wordprocessingShape">
                    <wps:wsp>
                      <wps:cNvSpPr/>
                      <wps:spPr>
                        <a:xfrm>
                          <a:off x="0" y="0"/>
                          <a:ext cx="756086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9FBD77D" id="Rectangle 696" o:spid="_x0000_s1026" style="position:absolute;margin-left:-70.7pt;margin-top:-70.7pt;width:595.35pt;height:181.4pt;z-index:-251646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" fillcolor="#f8cec7 [662]" stroked="f" strokeweight="1pt"/>
            </w:pict>
          </mc:Fallback>
        </mc:AlternateContent>
      </w:r>
      <w:r w:rsidR="00AA3035" w:rsidRPr="00512FF1">
        <w:br/>
      </w:r>
      <w:bookmarkStart w:id="707" w:name="_Toc465205575"/>
      <w:r w:rsidR="00AE23B8" w:rsidRPr="001E0DF0">
        <w:rPr>
          <w:color w:val="auto"/>
        </w:rPr>
        <w:t>Перспективи за развитието на публичните финанси</w:t>
      </w:r>
      <w:bookmarkEnd w:id="699"/>
      <w:bookmarkEnd w:id="700"/>
      <w:bookmarkEnd w:id="701"/>
      <w:bookmarkEnd w:id="702"/>
      <w:bookmarkEnd w:id="703"/>
      <w:bookmarkEnd w:id="704"/>
      <w:bookmarkEnd w:id="705"/>
      <w:bookmarkEnd w:id="706"/>
      <w:bookmarkEnd w:id="707"/>
    </w:p>
    <w:p w:rsidR="00627C63" w:rsidRPr="00BC7843" w:rsidRDefault="00E36533" w:rsidP="00DE2BDB">
      <w:pPr>
        <w:pStyle w:val="Heading2"/>
      </w:pPr>
      <w:bookmarkStart w:id="708" w:name="_Toc464224819"/>
      <w:bookmarkStart w:id="709" w:name="_Toc464225469"/>
      <w:bookmarkStart w:id="710" w:name="_Toc464459016"/>
      <w:bookmarkStart w:id="711" w:name="_Toc464459764"/>
      <w:bookmarkStart w:id="712" w:name="_Toc464460717"/>
      <w:bookmarkStart w:id="713" w:name="_Toc464463116"/>
      <w:bookmarkStart w:id="714" w:name="_Toc464464945"/>
      <w:bookmarkStart w:id="715" w:name="_Toc464465452"/>
      <w:bookmarkStart w:id="716" w:name="_Toc464465640"/>
      <w:bookmarkStart w:id="717" w:name="_Toc464466463"/>
      <w:bookmarkStart w:id="718" w:name="_Toc464466707"/>
      <w:bookmarkStart w:id="719" w:name="_Toc464645027"/>
      <w:bookmarkStart w:id="720" w:name="_Toc465205576"/>
      <w:bookmarkStart w:id="721" w:name="_Toc23337492"/>
      <w:r w:rsidRPr="00BC7843">
        <w:t>УСТОЙЧИВОСТ НА ПУБЛИЧНИТЕ ФИНАНСИ</w:t>
      </w:r>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r w:rsidRPr="00BC7843">
        <w:t xml:space="preserve"> </w:t>
      </w:r>
    </w:p>
    <w:p w:rsidR="00A220A8" w:rsidRPr="00A220A8" w:rsidRDefault="00A220A8" w:rsidP="00A220A8">
      <w:pPr>
        <w:spacing w:after="120"/>
        <w:rPr>
          <w:rFonts w:eastAsia="Calibri" w:cs="Times New Roman"/>
          <w:bCs/>
          <w:szCs w:val="24"/>
        </w:rPr>
      </w:pPr>
      <w:r w:rsidRPr="00A220A8">
        <w:rPr>
          <w:rFonts w:eastAsia="Calibri" w:cs="Times New Roman"/>
          <w:bCs/>
          <w:szCs w:val="24"/>
        </w:rPr>
        <w:t>В този раздел се разглежда устойчивостта на фискалната позиция, като се оценява текущото състояние на публичните финанси от гледна точка на бъдещото нарастване на публичните разходи, свързани със застаряването на населението. За тази цел се използват индикаторите за устойчивост S1 и S2, изчислени по методология, разработена от ЕК</w:t>
      </w:r>
      <w:r w:rsidRPr="00A220A8">
        <w:rPr>
          <w:rFonts w:eastAsia="Times New Roman" w:cs="Times New Roman"/>
          <w:position w:val="2"/>
          <w:sz w:val="18"/>
          <w:szCs w:val="20"/>
          <w:vertAlign w:val="superscript"/>
          <w:lang w:eastAsia="en-US"/>
        </w:rPr>
        <w:footnoteReference w:id="33"/>
      </w:r>
      <w:r w:rsidRPr="00A220A8">
        <w:rPr>
          <w:rFonts w:eastAsia="Calibri" w:cs="Times New Roman"/>
          <w:bCs/>
          <w:szCs w:val="24"/>
        </w:rPr>
        <w:t>.</w:t>
      </w:r>
    </w:p>
    <w:p w:rsidR="00A220A8" w:rsidRPr="00A220A8" w:rsidRDefault="00A220A8" w:rsidP="00A220A8">
      <w:pPr>
        <w:spacing w:after="120"/>
        <w:rPr>
          <w:rFonts w:eastAsia="Calibri" w:cs="Times New Roman"/>
          <w:bCs/>
          <w:szCs w:val="24"/>
        </w:rPr>
      </w:pPr>
      <w:r w:rsidRPr="00A220A8">
        <w:rPr>
          <w:rFonts w:eastAsia="Calibri" w:cs="Times New Roman"/>
          <w:bCs/>
          <w:i/>
          <w:szCs w:val="24"/>
        </w:rPr>
        <w:t>Индикаторът за фискална устойчивост в средносрочен план (S1)</w:t>
      </w:r>
      <w:r w:rsidRPr="00A220A8">
        <w:rPr>
          <w:rFonts w:eastAsia="Calibri" w:cs="Times New Roman"/>
          <w:bCs/>
          <w:szCs w:val="24"/>
        </w:rPr>
        <w:t xml:space="preserve"> показва необходимата корекция в структурното първично бюджетно салдо в рамките на пет години от края на прогнозния период (2022 г. в случая на МФ, 2020 г. при ЕК), за да се гарантира, че държавният дълг в период t+15 (2034 г.) не надвишава референтната стойност от 60%. </w:t>
      </w:r>
    </w:p>
    <w:p w:rsidR="00A220A8" w:rsidRPr="00A220A8" w:rsidRDefault="00A220A8" w:rsidP="00A220A8">
      <w:pPr>
        <w:spacing w:after="120"/>
        <w:rPr>
          <w:rFonts w:eastAsia="Calibri" w:cs="Times New Roman"/>
          <w:bCs/>
          <w:szCs w:val="24"/>
        </w:rPr>
      </w:pPr>
      <w:r w:rsidRPr="00A220A8">
        <w:rPr>
          <w:rFonts w:eastAsia="Calibri" w:cs="Times New Roman"/>
          <w:bCs/>
          <w:i/>
          <w:szCs w:val="24"/>
        </w:rPr>
        <w:t>Индикаторът за фискална устойчивост в дългосрочен план (S2)</w:t>
      </w:r>
      <w:r w:rsidRPr="00A220A8">
        <w:rPr>
          <w:rFonts w:eastAsia="Calibri" w:cs="Times New Roman"/>
          <w:bCs/>
          <w:szCs w:val="24"/>
        </w:rPr>
        <w:t xml:space="preserve"> показва необходимата корекция в първичния баланс, за да се спази времевото бюджетно ограничение (дисконтираната стойност на бъдещите структурни първични баланси да покрива равнището на дълга в настоящия момент) за безкрайно дълъг период от време с включени допълнителни разходи, произтичащи от застаряването на населението.</w:t>
      </w:r>
    </w:p>
    <w:p w:rsidR="00A220A8" w:rsidRPr="00A220A8" w:rsidRDefault="00A220A8" w:rsidP="00A220A8">
      <w:pPr>
        <w:spacing w:after="120"/>
        <w:rPr>
          <w:rFonts w:eastAsia="Calibri" w:cs="Times New Roman"/>
          <w:bCs/>
          <w:szCs w:val="24"/>
        </w:rPr>
      </w:pPr>
      <w:r w:rsidRPr="00A220A8">
        <w:rPr>
          <w:rFonts w:eastAsia="Calibri" w:cs="Times New Roman"/>
          <w:bCs/>
          <w:szCs w:val="24"/>
        </w:rPr>
        <w:t>Положителна стойност на индикаторите означава необходимост от фискална консолидация или структурни реформи, които да намалят тежестта от застаряването на населението върху публичните финанси, докато отрицателната показва наличие на фискално пространство.</w:t>
      </w:r>
    </w:p>
    <w:p w:rsidR="00A220A8" w:rsidRPr="00A220A8" w:rsidRDefault="00BC7843" w:rsidP="00A220A8">
      <w:pPr>
        <w:pStyle w:val="Caption"/>
        <w:rPr>
          <w:rFonts w:eastAsia="MS Mincho"/>
          <w:bCs w:val="0"/>
          <w:szCs w:val="24"/>
          <w:lang w:eastAsia="ar-SA"/>
        </w:rPr>
      </w:pPr>
      <w:bookmarkStart w:id="722" w:name="_Toc464645028"/>
      <w:bookmarkStart w:id="723" w:name="_Toc464646383"/>
      <w:bookmarkStart w:id="724" w:name="_Toc464737651"/>
      <w:bookmarkStart w:id="725" w:name="_Toc23337534"/>
      <w:r>
        <w:t xml:space="preserve">Табл. </w:t>
      </w:r>
      <w:fldSimple w:instr=" STYLEREF 1 \s ">
        <w:r w:rsidR="0034195B">
          <w:rPr>
            <w:noProof/>
          </w:rPr>
          <w:t>VII</w:t>
        </w:r>
      </w:fldSimple>
      <w:r w:rsidR="00927CD5">
        <w:noBreakHyphen/>
      </w:r>
      <w:fldSimple w:instr=" SEQ Табл. \* ARABIC \s 1 ">
        <w:r w:rsidR="0034195B">
          <w:rPr>
            <w:noProof/>
          </w:rPr>
          <w:t>1</w:t>
        </w:r>
      </w:fldSimple>
      <w:r>
        <w:t>:</w:t>
      </w:r>
      <w:r>
        <w:tab/>
      </w:r>
      <w:r w:rsidR="00A02457" w:rsidRPr="00D8634F">
        <w:rPr>
          <w:rFonts w:eastAsia="MS Mincho"/>
          <w:bCs w:val="0"/>
          <w:szCs w:val="24"/>
          <w:lang w:eastAsia="ar-SA"/>
        </w:rPr>
        <w:t>Индикатори за устойчивост</w:t>
      </w:r>
      <w:bookmarkEnd w:id="722"/>
      <w:bookmarkEnd w:id="723"/>
      <w:bookmarkEnd w:id="724"/>
      <w:bookmarkEnd w:id="725"/>
    </w:p>
    <w:tbl>
      <w:tblPr>
        <w:tblW w:w="4925" w:type="pct"/>
        <w:tblInd w:w="77" w:type="dxa"/>
        <w:tblCellMar>
          <w:left w:w="70" w:type="dxa"/>
          <w:right w:w="70" w:type="dxa"/>
        </w:tblCellMar>
        <w:tblLook w:val="00A0" w:firstRow="1" w:lastRow="0" w:firstColumn="1" w:lastColumn="0" w:noHBand="0" w:noVBand="0"/>
      </w:tblPr>
      <w:tblGrid>
        <w:gridCol w:w="5046"/>
        <w:gridCol w:w="974"/>
        <w:gridCol w:w="972"/>
        <w:gridCol w:w="972"/>
        <w:gridCol w:w="970"/>
      </w:tblGrid>
      <w:tr w:rsidR="00A220A8" w:rsidRPr="00A220A8" w:rsidTr="00210735">
        <w:trPr>
          <w:trHeight w:val="315"/>
        </w:trPr>
        <w:tc>
          <w:tcPr>
            <w:tcW w:w="2824" w:type="pct"/>
            <w:tcBorders>
              <w:top w:val="single" w:sz="4" w:space="0" w:color="auto"/>
              <w:left w:val="nil"/>
              <w:right w:val="nil"/>
            </w:tcBorders>
            <w:vAlign w:val="center"/>
          </w:tcPr>
          <w:p w:rsidR="00A220A8" w:rsidRPr="00A220A8" w:rsidRDefault="00A220A8" w:rsidP="00A220A8">
            <w:pPr>
              <w:spacing w:before="40" w:after="40"/>
              <w:rPr>
                <w:rFonts w:eastAsia="Times New Roman" w:cs="Times New Roman"/>
                <w:b/>
                <w:bCs/>
                <w:sz w:val="20"/>
                <w:szCs w:val="20"/>
              </w:rPr>
            </w:pPr>
          </w:p>
        </w:tc>
        <w:tc>
          <w:tcPr>
            <w:tcW w:w="1089" w:type="pct"/>
            <w:gridSpan w:val="2"/>
            <w:tcBorders>
              <w:top w:val="single" w:sz="4" w:space="0" w:color="auto"/>
              <w:left w:val="nil"/>
              <w:right w:val="nil"/>
            </w:tcBorders>
            <w:vAlign w:val="center"/>
          </w:tcPr>
          <w:p w:rsidR="00A220A8" w:rsidRPr="00A220A8" w:rsidRDefault="00A220A8" w:rsidP="00A220A8">
            <w:pPr>
              <w:spacing w:before="40" w:after="40"/>
              <w:jc w:val="center"/>
              <w:rPr>
                <w:rFonts w:eastAsia="Times New Roman" w:cs="Times New Roman"/>
                <w:b/>
                <w:bCs/>
                <w:sz w:val="20"/>
                <w:szCs w:val="20"/>
              </w:rPr>
            </w:pPr>
            <w:r w:rsidRPr="00A220A8">
              <w:rPr>
                <w:rFonts w:eastAsia="Times New Roman" w:cs="Times New Roman"/>
                <w:b/>
                <w:bCs/>
                <w:sz w:val="20"/>
                <w:szCs w:val="20"/>
              </w:rPr>
              <w:t>МФ (база 2022 г.)</w:t>
            </w:r>
          </w:p>
        </w:tc>
        <w:tc>
          <w:tcPr>
            <w:tcW w:w="1087" w:type="pct"/>
            <w:gridSpan w:val="2"/>
            <w:tcBorders>
              <w:top w:val="single" w:sz="4" w:space="0" w:color="auto"/>
              <w:left w:val="nil"/>
            </w:tcBorders>
          </w:tcPr>
          <w:p w:rsidR="00A220A8" w:rsidRPr="00A220A8" w:rsidRDefault="00A220A8" w:rsidP="00A220A8">
            <w:pPr>
              <w:spacing w:before="40" w:after="40"/>
              <w:jc w:val="center"/>
              <w:rPr>
                <w:rFonts w:eastAsia="Times New Roman" w:cs="Times New Roman"/>
                <w:b/>
                <w:bCs/>
                <w:sz w:val="20"/>
                <w:szCs w:val="20"/>
              </w:rPr>
            </w:pPr>
            <w:r w:rsidRPr="00A220A8">
              <w:rPr>
                <w:rFonts w:eastAsia="Times New Roman" w:cs="Times New Roman"/>
                <w:b/>
                <w:bCs/>
                <w:sz w:val="20"/>
                <w:szCs w:val="20"/>
              </w:rPr>
              <w:t>ЕК (база 2020 г.)</w:t>
            </w:r>
          </w:p>
        </w:tc>
      </w:tr>
      <w:tr w:rsidR="00A220A8" w:rsidRPr="00A220A8" w:rsidTr="007027DF">
        <w:trPr>
          <w:trHeight w:val="315"/>
        </w:trPr>
        <w:tc>
          <w:tcPr>
            <w:tcW w:w="2824" w:type="pct"/>
            <w:tcBorders>
              <w:left w:val="nil"/>
              <w:bottom w:val="single" w:sz="4" w:space="0" w:color="auto"/>
              <w:right w:val="nil"/>
            </w:tcBorders>
            <w:vAlign w:val="center"/>
          </w:tcPr>
          <w:p w:rsidR="00A220A8" w:rsidRPr="00A220A8" w:rsidRDefault="00A220A8" w:rsidP="00A220A8">
            <w:pPr>
              <w:spacing w:before="40" w:after="40"/>
              <w:rPr>
                <w:rFonts w:eastAsia="Times New Roman" w:cs="Times New Roman"/>
                <w:b/>
                <w:bCs/>
                <w:sz w:val="20"/>
                <w:szCs w:val="20"/>
              </w:rPr>
            </w:pPr>
            <w:r w:rsidRPr="00A220A8">
              <w:rPr>
                <w:rFonts w:eastAsia="Times New Roman" w:cs="Times New Roman"/>
                <w:b/>
                <w:bCs/>
                <w:sz w:val="20"/>
                <w:szCs w:val="20"/>
              </w:rPr>
              <w:t> </w:t>
            </w:r>
          </w:p>
        </w:tc>
        <w:tc>
          <w:tcPr>
            <w:tcW w:w="545" w:type="pct"/>
            <w:tcBorders>
              <w:left w:val="nil"/>
              <w:bottom w:val="single" w:sz="4" w:space="0" w:color="auto"/>
              <w:right w:val="nil"/>
            </w:tcBorders>
            <w:vAlign w:val="center"/>
          </w:tcPr>
          <w:p w:rsidR="00A220A8" w:rsidRPr="00A220A8" w:rsidRDefault="00A220A8" w:rsidP="00A220A8">
            <w:pPr>
              <w:spacing w:before="40" w:after="40"/>
              <w:jc w:val="center"/>
              <w:rPr>
                <w:rFonts w:eastAsia="Times New Roman" w:cs="Times New Roman"/>
                <w:b/>
                <w:bCs/>
                <w:sz w:val="20"/>
                <w:szCs w:val="20"/>
              </w:rPr>
            </w:pPr>
            <w:r w:rsidRPr="00A220A8">
              <w:rPr>
                <w:rFonts w:eastAsia="Times New Roman" w:cs="Times New Roman"/>
                <w:b/>
                <w:bCs/>
                <w:sz w:val="20"/>
                <w:szCs w:val="20"/>
              </w:rPr>
              <w:t>S1</w:t>
            </w:r>
          </w:p>
        </w:tc>
        <w:tc>
          <w:tcPr>
            <w:tcW w:w="544" w:type="pct"/>
            <w:tcBorders>
              <w:left w:val="nil"/>
              <w:bottom w:val="single" w:sz="4" w:space="0" w:color="auto"/>
              <w:right w:val="nil"/>
            </w:tcBorders>
            <w:vAlign w:val="center"/>
          </w:tcPr>
          <w:p w:rsidR="00A220A8" w:rsidRPr="00A220A8" w:rsidRDefault="00A220A8" w:rsidP="00A220A8">
            <w:pPr>
              <w:spacing w:before="40" w:after="40"/>
              <w:jc w:val="center"/>
              <w:rPr>
                <w:rFonts w:eastAsia="Times New Roman" w:cs="Times New Roman"/>
                <w:b/>
                <w:bCs/>
                <w:sz w:val="20"/>
                <w:szCs w:val="20"/>
              </w:rPr>
            </w:pPr>
            <w:r w:rsidRPr="00A220A8">
              <w:rPr>
                <w:rFonts w:eastAsia="Times New Roman" w:cs="Times New Roman"/>
                <w:b/>
                <w:bCs/>
                <w:sz w:val="20"/>
                <w:szCs w:val="20"/>
              </w:rPr>
              <w:t>S2</w:t>
            </w:r>
          </w:p>
        </w:tc>
        <w:tc>
          <w:tcPr>
            <w:tcW w:w="544" w:type="pct"/>
            <w:tcBorders>
              <w:left w:val="nil"/>
              <w:bottom w:val="single" w:sz="4" w:space="0" w:color="auto"/>
              <w:right w:val="nil"/>
            </w:tcBorders>
          </w:tcPr>
          <w:p w:rsidR="00A220A8" w:rsidRPr="00A220A8" w:rsidRDefault="00A220A8" w:rsidP="00A220A8">
            <w:pPr>
              <w:spacing w:before="40" w:after="40"/>
              <w:jc w:val="center"/>
              <w:rPr>
                <w:rFonts w:eastAsia="Times New Roman" w:cs="Times New Roman"/>
                <w:b/>
                <w:bCs/>
                <w:sz w:val="20"/>
                <w:szCs w:val="20"/>
                <w:lang w:val="en-US"/>
              </w:rPr>
            </w:pPr>
            <w:r w:rsidRPr="00A220A8">
              <w:rPr>
                <w:rFonts w:eastAsia="Times New Roman" w:cs="Times New Roman"/>
                <w:b/>
                <w:bCs/>
                <w:sz w:val="20"/>
                <w:szCs w:val="20"/>
                <w:lang w:val="en-US"/>
              </w:rPr>
              <w:t>S1</w:t>
            </w:r>
          </w:p>
        </w:tc>
        <w:tc>
          <w:tcPr>
            <w:tcW w:w="543" w:type="pct"/>
            <w:tcBorders>
              <w:left w:val="nil"/>
              <w:bottom w:val="single" w:sz="4" w:space="0" w:color="auto"/>
              <w:right w:val="nil"/>
            </w:tcBorders>
          </w:tcPr>
          <w:p w:rsidR="00A220A8" w:rsidRPr="00A220A8" w:rsidRDefault="00A220A8" w:rsidP="00A220A8">
            <w:pPr>
              <w:spacing w:before="40" w:after="40"/>
              <w:jc w:val="center"/>
              <w:rPr>
                <w:rFonts w:eastAsia="Times New Roman" w:cs="Times New Roman"/>
                <w:b/>
                <w:bCs/>
                <w:sz w:val="20"/>
                <w:szCs w:val="20"/>
              </w:rPr>
            </w:pPr>
            <w:r w:rsidRPr="00A220A8">
              <w:rPr>
                <w:rFonts w:eastAsia="Times New Roman" w:cs="Times New Roman"/>
                <w:b/>
                <w:bCs/>
                <w:sz w:val="20"/>
                <w:szCs w:val="20"/>
                <w:lang w:val="en-US"/>
              </w:rPr>
              <w:t>S2</w:t>
            </w:r>
          </w:p>
        </w:tc>
      </w:tr>
      <w:tr w:rsidR="00A220A8" w:rsidRPr="00A220A8" w:rsidTr="007027DF">
        <w:trPr>
          <w:trHeight w:val="315"/>
        </w:trPr>
        <w:tc>
          <w:tcPr>
            <w:tcW w:w="2824" w:type="pct"/>
            <w:tcBorders>
              <w:top w:val="single" w:sz="4" w:space="0" w:color="auto"/>
              <w:left w:val="nil"/>
              <w:bottom w:val="nil"/>
              <w:right w:val="nil"/>
            </w:tcBorders>
            <w:vAlign w:val="center"/>
          </w:tcPr>
          <w:p w:rsidR="00A220A8" w:rsidRPr="00A220A8" w:rsidRDefault="00A220A8" w:rsidP="00A220A8">
            <w:pPr>
              <w:spacing w:before="40" w:after="40"/>
              <w:rPr>
                <w:rFonts w:eastAsia="Times New Roman" w:cs="Times New Roman"/>
                <w:bCs/>
                <w:sz w:val="20"/>
                <w:szCs w:val="20"/>
              </w:rPr>
            </w:pPr>
            <w:r w:rsidRPr="00A220A8">
              <w:rPr>
                <w:rFonts w:eastAsia="Times New Roman" w:cs="Times New Roman"/>
                <w:bCs/>
                <w:sz w:val="20"/>
                <w:szCs w:val="20"/>
              </w:rPr>
              <w:t>Стойност, от която:</w:t>
            </w:r>
          </w:p>
        </w:tc>
        <w:tc>
          <w:tcPr>
            <w:tcW w:w="545" w:type="pct"/>
            <w:tcBorders>
              <w:top w:val="single" w:sz="4" w:space="0" w:color="auto"/>
              <w:left w:val="nil"/>
              <w:bottom w:val="nil"/>
              <w:right w:val="nil"/>
            </w:tcBorders>
            <w:vAlign w:val="center"/>
          </w:tcPr>
          <w:p w:rsidR="00A220A8" w:rsidRPr="00A220A8" w:rsidRDefault="00A220A8" w:rsidP="00A220A8">
            <w:pPr>
              <w:spacing w:before="40" w:after="40"/>
              <w:jc w:val="center"/>
              <w:rPr>
                <w:rFonts w:eastAsia="Times New Roman" w:cs="Times New Roman"/>
                <w:bCs/>
                <w:sz w:val="20"/>
                <w:szCs w:val="20"/>
              </w:rPr>
            </w:pPr>
            <w:r w:rsidRPr="00A220A8">
              <w:rPr>
                <w:rFonts w:eastAsia="Times New Roman" w:cs="Times New Roman"/>
                <w:bCs/>
                <w:sz w:val="20"/>
                <w:szCs w:val="20"/>
              </w:rPr>
              <w:t>-</w:t>
            </w:r>
            <w:r>
              <w:rPr>
                <w:rFonts w:eastAsia="Times New Roman" w:cs="Times New Roman"/>
                <w:bCs/>
                <w:sz w:val="20"/>
                <w:szCs w:val="20"/>
              </w:rPr>
              <w:t>4,</w:t>
            </w:r>
            <w:r w:rsidRPr="00A220A8">
              <w:rPr>
                <w:rFonts w:eastAsia="Times New Roman" w:cs="Times New Roman"/>
                <w:bCs/>
                <w:sz w:val="20"/>
                <w:szCs w:val="20"/>
              </w:rPr>
              <w:t>8</w:t>
            </w:r>
          </w:p>
        </w:tc>
        <w:tc>
          <w:tcPr>
            <w:tcW w:w="544" w:type="pct"/>
            <w:tcBorders>
              <w:top w:val="single" w:sz="4" w:space="0" w:color="auto"/>
              <w:left w:val="nil"/>
              <w:bottom w:val="nil"/>
              <w:right w:val="nil"/>
            </w:tcBorders>
            <w:vAlign w:val="center"/>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0,</w:t>
            </w:r>
            <w:r w:rsidRPr="00A220A8">
              <w:rPr>
                <w:rFonts w:eastAsia="Times New Roman" w:cs="Times New Roman"/>
                <w:bCs/>
                <w:sz w:val="20"/>
                <w:szCs w:val="20"/>
              </w:rPr>
              <w:t>4</w:t>
            </w:r>
          </w:p>
        </w:tc>
        <w:tc>
          <w:tcPr>
            <w:tcW w:w="544" w:type="pct"/>
            <w:tcBorders>
              <w:top w:val="single" w:sz="4" w:space="0" w:color="auto"/>
              <w:left w:val="nil"/>
              <w:bottom w:val="nil"/>
              <w:right w:val="nil"/>
            </w:tcBorders>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-4,</w:t>
            </w:r>
            <w:r w:rsidRPr="00A220A8">
              <w:rPr>
                <w:rFonts w:eastAsia="Times New Roman" w:cs="Times New Roman"/>
                <w:bCs/>
                <w:sz w:val="20"/>
                <w:szCs w:val="20"/>
              </w:rPr>
              <w:t>2</w:t>
            </w:r>
          </w:p>
        </w:tc>
        <w:tc>
          <w:tcPr>
            <w:tcW w:w="543" w:type="pct"/>
            <w:tcBorders>
              <w:top w:val="single" w:sz="4" w:space="0" w:color="auto"/>
              <w:left w:val="nil"/>
              <w:bottom w:val="nil"/>
              <w:right w:val="nil"/>
            </w:tcBorders>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1,</w:t>
            </w:r>
            <w:r w:rsidRPr="00A220A8">
              <w:rPr>
                <w:rFonts w:eastAsia="Times New Roman" w:cs="Times New Roman"/>
                <w:bCs/>
                <w:sz w:val="20"/>
                <w:szCs w:val="20"/>
              </w:rPr>
              <w:t>8</w:t>
            </w:r>
          </w:p>
        </w:tc>
      </w:tr>
      <w:tr w:rsidR="00A220A8" w:rsidRPr="00A220A8" w:rsidTr="00210735">
        <w:trPr>
          <w:trHeight w:val="315"/>
        </w:trPr>
        <w:tc>
          <w:tcPr>
            <w:tcW w:w="2824" w:type="pct"/>
            <w:tcBorders>
              <w:top w:val="nil"/>
              <w:left w:val="nil"/>
              <w:bottom w:val="nil"/>
              <w:right w:val="nil"/>
            </w:tcBorders>
            <w:vAlign w:val="center"/>
          </w:tcPr>
          <w:p w:rsidR="00A220A8" w:rsidRPr="00A220A8" w:rsidRDefault="00A220A8" w:rsidP="00A220A8">
            <w:pPr>
              <w:spacing w:before="40" w:after="40"/>
              <w:rPr>
                <w:rFonts w:eastAsia="Times New Roman" w:cs="Times New Roman"/>
                <w:bCs/>
                <w:sz w:val="20"/>
                <w:szCs w:val="20"/>
              </w:rPr>
            </w:pPr>
            <w:r w:rsidRPr="00A220A8">
              <w:rPr>
                <w:rFonts w:eastAsia="Times New Roman" w:cs="Times New Roman"/>
                <w:bCs/>
                <w:sz w:val="20"/>
                <w:szCs w:val="20"/>
              </w:rPr>
              <w:t xml:space="preserve">  Начална бюджетна позиция</w:t>
            </w:r>
          </w:p>
        </w:tc>
        <w:tc>
          <w:tcPr>
            <w:tcW w:w="545" w:type="pct"/>
            <w:tcBorders>
              <w:top w:val="nil"/>
              <w:left w:val="nil"/>
              <w:bottom w:val="nil"/>
              <w:right w:val="nil"/>
            </w:tcBorders>
            <w:vAlign w:val="center"/>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-1,</w:t>
            </w:r>
            <w:r w:rsidRPr="00A220A8">
              <w:rPr>
                <w:rFonts w:eastAsia="Times New Roman" w:cs="Times New Roman"/>
                <w:bCs/>
                <w:sz w:val="20"/>
                <w:szCs w:val="20"/>
              </w:rPr>
              <w:t>2</w:t>
            </w:r>
          </w:p>
        </w:tc>
        <w:tc>
          <w:tcPr>
            <w:tcW w:w="544" w:type="pct"/>
            <w:tcBorders>
              <w:top w:val="nil"/>
              <w:left w:val="nil"/>
              <w:bottom w:val="nil"/>
              <w:right w:val="nil"/>
            </w:tcBorders>
            <w:vAlign w:val="center"/>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-0,</w:t>
            </w:r>
            <w:r w:rsidRPr="00A220A8">
              <w:rPr>
                <w:rFonts w:eastAsia="Times New Roman" w:cs="Times New Roman"/>
                <w:bCs/>
                <w:sz w:val="20"/>
                <w:szCs w:val="20"/>
              </w:rPr>
              <w:t>3</w:t>
            </w:r>
          </w:p>
        </w:tc>
        <w:tc>
          <w:tcPr>
            <w:tcW w:w="544" w:type="pct"/>
            <w:tcBorders>
              <w:top w:val="nil"/>
              <w:left w:val="nil"/>
              <w:bottom w:val="nil"/>
              <w:right w:val="nil"/>
            </w:tcBorders>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-0,</w:t>
            </w:r>
            <w:r w:rsidRPr="00A220A8">
              <w:rPr>
                <w:rFonts w:eastAsia="Times New Roman" w:cs="Times New Roman"/>
                <w:bCs/>
                <w:sz w:val="20"/>
                <w:szCs w:val="20"/>
              </w:rPr>
              <w:t>9</w:t>
            </w:r>
          </w:p>
        </w:tc>
        <w:tc>
          <w:tcPr>
            <w:tcW w:w="543" w:type="pct"/>
            <w:tcBorders>
              <w:top w:val="nil"/>
              <w:left w:val="nil"/>
              <w:bottom w:val="nil"/>
              <w:right w:val="nil"/>
            </w:tcBorders>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-0,</w:t>
            </w:r>
            <w:r w:rsidRPr="00A220A8">
              <w:rPr>
                <w:rFonts w:eastAsia="Times New Roman" w:cs="Times New Roman"/>
                <w:bCs/>
                <w:sz w:val="20"/>
                <w:szCs w:val="20"/>
              </w:rPr>
              <w:t>4</w:t>
            </w:r>
          </w:p>
        </w:tc>
      </w:tr>
      <w:tr w:rsidR="00A220A8" w:rsidRPr="00A220A8" w:rsidTr="00210735">
        <w:trPr>
          <w:trHeight w:val="315"/>
        </w:trPr>
        <w:tc>
          <w:tcPr>
            <w:tcW w:w="2824" w:type="pct"/>
            <w:tcBorders>
              <w:top w:val="nil"/>
              <w:left w:val="nil"/>
              <w:bottom w:val="nil"/>
              <w:right w:val="nil"/>
            </w:tcBorders>
            <w:vAlign w:val="center"/>
          </w:tcPr>
          <w:p w:rsidR="00A220A8" w:rsidRPr="00A220A8" w:rsidRDefault="00A220A8" w:rsidP="00A220A8">
            <w:pPr>
              <w:spacing w:before="40" w:after="40"/>
              <w:rPr>
                <w:rFonts w:eastAsia="Times New Roman" w:cs="Times New Roman"/>
                <w:bCs/>
                <w:sz w:val="20"/>
                <w:szCs w:val="20"/>
              </w:rPr>
            </w:pPr>
            <w:r w:rsidRPr="00A220A8">
              <w:rPr>
                <w:rFonts w:eastAsia="Times New Roman" w:cs="Times New Roman"/>
                <w:bCs/>
                <w:sz w:val="20"/>
                <w:szCs w:val="20"/>
              </w:rPr>
              <w:t xml:space="preserve">  Дългово ограничение </w:t>
            </w:r>
          </w:p>
        </w:tc>
        <w:tc>
          <w:tcPr>
            <w:tcW w:w="545" w:type="pct"/>
            <w:tcBorders>
              <w:top w:val="nil"/>
              <w:left w:val="nil"/>
              <w:bottom w:val="nil"/>
              <w:right w:val="nil"/>
            </w:tcBorders>
            <w:vAlign w:val="center"/>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-3,</w:t>
            </w:r>
            <w:r w:rsidRPr="00A220A8">
              <w:rPr>
                <w:rFonts w:eastAsia="Times New Roman" w:cs="Times New Roman"/>
                <w:bCs/>
                <w:sz w:val="20"/>
                <w:szCs w:val="20"/>
              </w:rPr>
              <w:t>5</w:t>
            </w:r>
          </w:p>
        </w:tc>
        <w:tc>
          <w:tcPr>
            <w:tcW w:w="544" w:type="pct"/>
            <w:tcBorders>
              <w:top w:val="nil"/>
              <w:left w:val="nil"/>
              <w:bottom w:val="nil"/>
              <w:right w:val="nil"/>
            </w:tcBorders>
            <w:vAlign w:val="center"/>
          </w:tcPr>
          <w:p w:rsidR="00A220A8" w:rsidRPr="00A220A8" w:rsidRDefault="00A220A8" w:rsidP="00A220A8">
            <w:pPr>
              <w:spacing w:before="40" w:after="40"/>
              <w:jc w:val="center"/>
              <w:rPr>
                <w:rFonts w:eastAsia="Times New Roman" w:cs="Times New Roman"/>
                <w:bCs/>
                <w:sz w:val="20"/>
                <w:szCs w:val="20"/>
              </w:rPr>
            </w:pPr>
          </w:p>
        </w:tc>
        <w:tc>
          <w:tcPr>
            <w:tcW w:w="544" w:type="pct"/>
            <w:tcBorders>
              <w:top w:val="nil"/>
              <w:left w:val="nil"/>
              <w:bottom w:val="nil"/>
              <w:right w:val="nil"/>
            </w:tcBorders>
          </w:tcPr>
          <w:p w:rsidR="00A220A8" w:rsidRPr="00A220A8" w:rsidRDefault="00A220A8" w:rsidP="00A220A8">
            <w:pPr>
              <w:spacing w:before="40" w:after="40"/>
              <w:jc w:val="center"/>
              <w:rPr>
                <w:rFonts w:eastAsia="Times New Roman" w:cs="Times New Roman"/>
                <w:bCs/>
                <w:sz w:val="20"/>
                <w:szCs w:val="20"/>
              </w:rPr>
            </w:pPr>
            <w:r w:rsidRPr="00A220A8">
              <w:rPr>
                <w:rFonts w:eastAsia="Times New Roman" w:cs="Times New Roman"/>
                <w:bCs/>
                <w:sz w:val="20"/>
                <w:szCs w:val="20"/>
              </w:rPr>
              <w:t>-3</w:t>
            </w:r>
            <w:r>
              <w:rPr>
                <w:rFonts w:eastAsia="Times New Roman" w:cs="Times New Roman"/>
                <w:bCs/>
                <w:sz w:val="20"/>
                <w:szCs w:val="20"/>
              </w:rPr>
              <w:t>,0</w:t>
            </w:r>
          </w:p>
        </w:tc>
        <w:tc>
          <w:tcPr>
            <w:tcW w:w="543" w:type="pct"/>
            <w:tcBorders>
              <w:top w:val="nil"/>
              <w:left w:val="nil"/>
              <w:bottom w:val="nil"/>
              <w:right w:val="nil"/>
            </w:tcBorders>
          </w:tcPr>
          <w:p w:rsidR="00A220A8" w:rsidRPr="00A220A8" w:rsidRDefault="00A220A8" w:rsidP="00A220A8">
            <w:pPr>
              <w:spacing w:before="40" w:after="40"/>
              <w:jc w:val="center"/>
              <w:rPr>
                <w:rFonts w:eastAsia="Times New Roman" w:cs="Times New Roman"/>
                <w:bCs/>
                <w:sz w:val="20"/>
                <w:szCs w:val="20"/>
              </w:rPr>
            </w:pPr>
          </w:p>
        </w:tc>
      </w:tr>
      <w:tr w:rsidR="00A220A8" w:rsidRPr="00A220A8" w:rsidTr="00210735">
        <w:trPr>
          <w:trHeight w:val="315"/>
        </w:trPr>
        <w:tc>
          <w:tcPr>
            <w:tcW w:w="2824" w:type="pct"/>
            <w:tcBorders>
              <w:top w:val="nil"/>
              <w:left w:val="nil"/>
              <w:bottom w:val="single" w:sz="4" w:space="0" w:color="auto"/>
              <w:right w:val="nil"/>
            </w:tcBorders>
            <w:vAlign w:val="center"/>
          </w:tcPr>
          <w:p w:rsidR="00A220A8" w:rsidRPr="00A220A8" w:rsidRDefault="00A220A8" w:rsidP="00A220A8">
            <w:pPr>
              <w:spacing w:before="40" w:after="40"/>
              <w:rPr>
                <w:rFonts w:eastAsia="Times New Roman" w:cs="Times New Roman"/>
                <w:bCs/>
                <w:sz w:val="20"/>
                <w:szCs w:val="20"/>
              </w:rPr>
            </w:pPr>
            <w:r w:rsidRPr="00A220A8">
              <w:rPr>
                <w:rFonts w:eastAsia="Times New Roman" w:cs="Times New Roman"/>
                <w:bCs/>
                <w:sz w:val="20"/>
                <w:szCs w:val="20"/>
              </w:rPr>
              <w:t xml:space="preserve">  Бъдещи промени в бюджетната позиция</w:t>
            </w:r>
          </w:p>
        </w:tc>
        <w:tc>
          <w:tcPr>
            <w:tcW w:w="545" w:type="pct"/>
            <w:tcBorders>
              <w:top w:val="nil"/>
              <w:left w:val="nil"/>
              <w:bottom w:val="single" w:sz="4" w:space="0" w:color="auto"/>
              <w:right w:val="nil"/>
            </w:tcBorders>
            <w:vAlign w:val="center"/>
          </w:tcPr>
          <w:p w:rsidR="00A220A8" w:rsidRPr="00A220A8" w:rsidRDefault="00A220A8" w:rsidP="00A220A8">
            <w:pPr>
              <w:spacing w:before="40" w:after="40"/>
              <w:rPr>
                <w:rFonts w:eastAsia="Times New Roman" w:cs="Times New Roman"/>
                <w:bCs/>
                <w:sz w:val="20"/>
                <w:szCs w:val="20"/>
                <w:lang w:val="en-US"/>
              </w:rPr>
            </w:pPr>
            <w:r w:rsidRPr="007D6981">
              <w:rPr>
                <w:rFonts w:eastAsia="Times New Roman" w:cs="Times New Roman"/>
                <w:bCs/>
                <w:sz w:val="20"/>
                <w:szCs w:val="20"/>
                <w:lang w:val="ru-RU"/>
              </w:rPr>
              <w:t xml:space="preserve">     </w:t>
            </w:r>
            <w:r w:rsidRPr="00A220A8">
              <w:rPr>
                <w:rFonts w:eastAsia="Times New Roman" w:cs="Times New Roman"/>
                <w:bCs/>
                <w:sz w:val="20"/>
                <w:szCs w:val="20"/>
                <w:lang w:val="en-US"/>
              </w:rPr>
              <w:t>-</w:t>
            </w:r>
            <w:r w:rsidRPr="00A220A8">
              <w:rPr>
                <w:rFonts w:eastAsia="Times New Roman" w:cs="Times New Roman"/>
                <w:bCs/>
                <w:sz w:val="20"/>
                <w:szCs w:val="20"/>
              </w:rPr>
              <w:t>0</w:t>
            </w:r>
            <w:r>
              <w:rPr>
                <w:rFonts w:eastAsia="Times New Roman" w:cs="Times New Roman"/>
                <w:bCs/>
                <w:sz w:val="20"/>
                <w:szCs w:val="20"/>
              </w:rPr>
              <w:t>,</w:t>
            </w:r>
            <w:r w:rsidRPr="00A220A8">
              <w:rPr>
                <w:rFonts w:eastAsia="Times New Roman" w:cs="Times New Roman"/>
                <w:bCs/>
                <w:sz w:val="20"/>
                <w:szCs w:val="20"/>
                <w:lang w:val="en-US"/>
              </w:rPr>
              <w:t>1</w:t>
            </w:r>
          </w:p>
        </w:tc>
        <w:tc>
          <w:tcPr>
            <w:tcW w:w="544" w:type="pct"/>
            <w:tcBorders>
              <w:top w:val="nil"/>
              <w:left w:val="nil"/>
              <w:bottom w:val="single" w:sz="4" w:space="0" w:color="auto"/>
              <w:right w:val="nil"/>
            </w:tcBorders>
            <w:vAlign w:val="center"/>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0,</w:t>
            </w:r>
            <w:r w:rsidRPr="00A220A8">
              <w:rPr>
                <w:rFonts w:eastAsia="Times New Roman" w:cs="Times New Roman"/>
                <w:bCs/>
                <w:sz w:val="20"/>
                <w:szCs w:val="20"/>
              </w:rPr>
              <w:t>7</w:t>
            </w:r>
          </w:p>
        </w:tc>
        <w:tc>
          <w:tcPr>
            <w:tcW w:w="544" w:type="pct"/>
            <w:tcBorders>
              <w:top w:val="nil"/>
              <w:left w:val="nil"/>
              <w:bottom w:val="single" w:sz="4" w:space="0" w:color="auto"/>
              <w:right w:val="nil"/>
            </w:tcBorders>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0,</w:t>
            </w:r>
            <w:r w:rsidRPr="00A220A8">
              <w:rPr>
                <w:rFonts w:eastAsia="Times New Roman" w:cs="Times New Roman"/>
                <w:bCs/>
                <w:sz w:val="20"/>
                <w:szCs w:val="20"/>
              </w:rPr>
              <w:t>4</w:t>
            </w:r>
          </w:p>
        </w:tc>
        <w:tc>
          <w:tcPr>
            <w:tcW w:w="543" w:type="pct"/>
            <w:tcBorders>
              <w:top w:val="nil"/>
              <w:left w:val="nil"/>
              <w:bottom w:val="single" w:sz="4" w:space="0" w:color="auto"/>
              <w:right w:val="nil"/>
            </w:tcBorders>
          </w:tcPr>
          <w:p w:rsidR="00A220A8" w:rsidRPr="00A220A8" w:rsidRDefault="00A220A8" w:rsidP="00A220A8">
            <w:pPr>
              <w:spacing w:before="40" w:after="40"/>
              <w:jc w:val="center"/>
              <w:rPr>
                <w:rFonts w:eastAsia="Times New Roman" w:cs="Times New Roman"/>
                <w:bCs/>
                <w:sz w:val="20"/>
                <w:szCs w:val="20"/>
              </w:rPr>
            </w:pPr>
            <w:r>
              <w:rPr>
                <w:rFonts w:eastAsia="Times New Roman" w:cs="Times New Roman"/>
                <w:bCs/>
                <w:sz w:val="20"/>
                <w:szCs w:val="20"/>
              </w:rPr>
              <w:t>2,</w:t>
            </w:r>
            <w:r w:rsidRPr="00A220A8">
              <w:rPr>
                <w:rFonts w:eastAsia="Times New Roman" w:cs="Times New Roman"/>
                <w:bCs/>
                <w:sz w:val="20"/>
                <w:szCs w:val="20"/>
              </w:rPr>
              <w:t>2</w:t>
            </w:r>
          </w:p>
        </w:tc>
      </w:tr>
    </w:tbl>
    <w:p w:rsidR="00A220A8" w:rsidRPr="00A220A8" w:rsidRDefault="00A220A8" w:rsidP="00A220A8">
      <w:pPr>
        <w:spacing w:before="60"/>
        <w:jc w:val="right"/>
        <w:rPr>
          <w:rFonts w:eastAsia="Times New Roman" w:cs="Times New Roman"/>
          <w:sz w:val="20"/>
        </w:rPr>
      </w:pPr>
      <w:r w:rsidRPr="00A220A8">
        <w:rPr>
          <w:rFonts w:eastAsia="Times New Roman" w:cs="Times New Roman"/>
          <w:sz w:val="20"/>
        </w:rPr>
        <w:t>Източник: МФ, Fiscal Sustainability Report 2018</w:t>
      </w:r>
    </w:p>
    <w:p w:rsidR="00A220A8" w:rsidRDefault="00A220A8" w:rsidP="00BC7843">
      <w:pPr>
        <w:pStyle w:val="Source0"/>
        <w:rPr>
          <w:sz w:val="16"/>
          <w:szCs w:val="16"/>
        </w:rPr>
      </w:pPr>
    </w:p>
    <w:p w:rsidR="00A220A8" w:rsidRPr="00A220A8" w:rsidRDefault="00A220A8" w:rsidP="00A220A8">
      <w:pPr>
        <w:spacing w:after="120"/>
        <w:rPr>
          <w:rFonts w:eastAsia="Calibri" w:cs="Times New Roman"/>
          <w:bCs/>
          <w:szCs w:val="24"/>
        </w:rPr>
      </w:pPr>
      <w:r w:rsidRPr="00A220A8">
        <w:rPr>
          <w:rFonts w:eastAsia="Calibri" w:cs="Times New Roman"/>
          <w:bCs/>
          <w:szCs w:val="24"/>
        </w:rPr>
        <w:t xml:space="preserve">В таблицата са представени оценките на МФ за индикаторите за устойчивост и тези на ЕК от Доклада за фискална устойчивост от 2018 г. (FSR 2018), публикуван на 18 януари 2019 г. Оценката за устойчивостта на фискалната политика е силно зависима от перспективите за дългосрочно развитие на икономиката. Наличието на разлики в стойностите на индикаторите S1 и S2 между двете институции се дължи най-вече на разлики в очакванията за бъдещи промени в бюджетната позиция, които са свързани с разходите за пенсии, здравеопазване и образование. При изготвянето на своята дългосрочна макроикономическа прогноза и съответните оценки за разходи, свързани със застаряването на населението, МФ използва методология и допускания на ЕК, заложени в Доклада по застаряване на населението от 2018 г. (Ageing report 2018), но взима под внимание и последните икономически развития. В същото време, прогнозата на ЕК за разходите за застаряване се базира на сценарий за дългосрочно развитие, който използва за стартиране на изчисленията прогноза на Комисията от пролетта на 2017 г. </w:t>
      </w:r>
    </w:p>
    <w:p w:rsidR="00A220A8" w:rsidRPr="00A220A8" w:rsidRDefault="00A220A8" w:rsidP="00A220A8">
      <w:pPr>
        <w:spacing w:after="120"/>
        <w:rPr>
          <w:rFonts w:eastAsia="Calibri" w:cs="Times New Roman"/>
          <w:bCs/>
          <w:szCs w:val="24"/>
        </w:rPr>
      </w:pPr>
      <w:r w:rsidRPr="00A220A8">
        <w:rPr>
          <w:rFonts w:eastAsia="Calibri" w:cs="Times New Roman"/>
          <w:bCs/>
          <w:szCs w:val="24"/>
        </w:rPr>
        <w:t>По оценки на МФ стойността на индикатора S1 е отрицателна, което според референтните стойности на ЕК</w:t>
      </w:r>
      <w:r w:rsidRPr="00A220A8">
        <w:rPr>
          <w:rFonts w:eastAsia="Times New Roman" w:cs="Times New Roman"/>
          <w:position w:val="2"/>
          <w:sz w:val="18"/>
          <w:szCs w:val="20"/>
          <w:vertAlign w:val="superscript"/>
          <w:lang w:eastAsia="en-US"/>
        </w:rPr>
        <w:footnoteReference w:id="34"/>
      </w:r>
      <w:r w:rsidRPr="00A220A8">
        <w:rPr>
          <w:rFonts w:eastAsia="Calibri" w:cs="Times New Roman"/>
          <w:bCs/>
          <w:szCs w:val="24"/>
        </w:rPr>
        <w:t xml:space="preserve"> означава нисък риск за фискалната устойчивост в средносрочен план и предполага поддържане на нивото на дълга под 60% от БВП. Стойността на индикатора S2 също съответства на нисък риск за фискалната устойчивост, поради благоприятна начална бюджетна позиция. </w:t>
      </w:r>
    </w:p>
    <w:p w:rsidR="00A220A8" w:rsidRPr="00A220A8" w:rsidRDefault="00A220A8" w:rsidP="00A220A8">
      <w:pPr>
        <w:spacing w:after="120"/>
        <w:rPr>
          <w:rFonts w:eastAsia="Calibri" w:cs="Times New Roman"/>
          <w:bCs/>
          <w:szCs w:val="24"/>
        </w:rPr>
      </w:pPr>
      <w:r w:rsidRPr="00A220A8">
        <w:rPr>
          <w:rFonts w:eastAsia="Calibri" w:cs="Times New Roman"/>
          <w:bCs/>
          <w:szCs w:val="24"/>
        </w:rPr>
        <w:t xml:space="preserve">Изводите от анализа на МФ съвпадат с тези от </w:t>
      </w:r>
      <w:r w:rsidR="0011278D" w:rsidRPr="0011278D">
        <w:rPr>
          <w:rFonts w:eastAsia="Calibri" w:cs="Times New Roman"/>
          <w:bCs/>
          <w:szCs w:val="24"/>
        </w:rPr>
        <w:t xml:space="preserve">Доклада за </w:t>
      </w:r>
      <w:r w:rsidR="0011278D">
        <w:rPr>
          <w:rFonts w:eastAsia="Calibri" w:cs="Times New Roman"/>
          <w:bCs/>
          <w:szCs w:val="24"/>
        </w:rPr>
        <w:t>фискална устойчивост от 2018 г</w:t>
      </w:r>
      <w:r w:rsidRPr="00A220A8">
        <w:rPr>
          <w:rFonts w:eastAsia="Calibri" w:cs="Times New Roman"/>
          <w:bCs/>
          <w:szCs w:val="24"/>
        </w:rPr>
        <w:t>. Според доклада рисковете за фискалната устойчивост в България в средносрочен план са ниски. Отрицателната стойност на S1 е подкрепена от ниското равнище на дълга и благоприятната бюджетна позиция. Тя показва, че България има фискално пространство. Анализът на устойчивостта на дълга също сочи нисък риск както в базовия сценарий, така и в алтернативния. Поради ниското ниво на дълга, не се очаква съществен ефект върху съотношението дълг-БВП при шок върху лихвените проценти или номиналния растеж на БВП. Комисията също така счита, че в дългосрочен план рискът пред фискалната устойчивост е нисък. При сценарий с по-високо нарастване на разходите за застаряване спрямо базовия, рискът в дългосрочен план се оценява като среден.</w:t>
      </w:r>
    </w:p>
    <w:p w:rsidR="007E3876" w:rsidRPr="00356CCD" w:rsidRDefault="007E3876" w:rsidP="008A5616">
      <w:pPr>
        <w:pStyle w:val="Heading3"/>
        <w:ind w:left="567" w:hanging="567"/>
        <w:jc w:val="both"/>
        <w:rPr>
          <w:rFonts w:eastAsia="Batang"/>
        </w:rPr>
      </w:pPr>
      <w:r w:rsidRPr="00356CCD">
        <w:rPr>
          <w:rFonts w:eastAsia="Batang"/>
        </w:rPr>
        <w:t>Оценка на структурния бюджетен баланс и годишния ръст на разходите спрямо референтния растеж на потенциалния БВП</w:t>
      </w:r>
    </w:p>
    <w:p w:rsidR="00F61E0A" w:rsidRPr="00F61E0A" w:rsidRDefault="0014351D" w:rsidP="008A5616">
      <w:pPr>
        <w:pStyle w:val="Heading4"/>
        <w:rPr>
          <w:rFonts w:eastAsia="Batang"/>
        </w:rPr>
      </w:pPr>
      <w:r>
        <w:rPr>
          <w:rFonts w:eastAsia="Batang"/>
        </w:rPr>
        <w:t>Структурен</w:t>
      </w:r>
      <w:r w:rsidR="00F61E0A" w:rsidRPr="00F61E0A">
        <w:rPr>
          <w:rFonts w:eastAsia="Batang"/>
        </w:rPr>
        <w:t xml:space="preserve"> бюджетен баланс</w:t>
      </w:r>
    </w:p>
    <w:p w:rsidR="001370B5" w:rsidRDefault="001370B5" w:rsidP="0011278D">
      <w:pPr>
        <w:spacing w:after="120"/>
        <w:rPr>
          <w:rFonts w:eastAsia="Calibri" w:cs="Times New Roman"/>
          <w:bCs/>
          <w:szCs w:val="24"/>
        </w:rPr>
      </w:pPr>
    </w:p>
    <w:p w:rsidR="0011278D" w:rsidRDefault="001370B5" w:rsidP="00700C3F">
      <w:pPr>
        <w:rPr>
          <w:rFonts w:eastAsia="Calibri" w:cs="Times New Roman"/>
          <w:bCs/>
          <w:szCs w:val="24"/>
        </w:rPr>
      </w:pPr>
      <w:r w:rsidRPr="001370B5">
        <w:rPr>
          <w:rFonts w:eastAsia="Calibri" w:cs="Times New Roman"/>
          <w:bCs/>
          <w:szCs w:val="24"/>
        </w:rPr>
        <w:t xml:space="preserve">През изминалите три години бяха реализирани фактически бюджетни излишъци и България преизпълняваше средносрочната си бюджетна цел за структурен дефицит </w:t>
      </w:r>
      <w:r>
        <w:rPr>
          <w:rFonts w:eastAsia="Calibri" w:cs="Times New Roman"/>
          <w:bCs/>
          <w:szCs w:val="24"/>
        </w:rPr>
        <w:t xml:space="preserve">             </w:t>
      </w:r>
      <w:r w:rsidRPr="001370B5">
        <w:rPr>
          <w:rFonts w:eastAsia="Calibri" w:cs="Times New Roman"/>
          <w:bCs/>
          <w:szCs w:val="24"/>
        </w:rPr>
        <w:t xml:space="preserve">(-1% от БВП). През 2019 г. реалният растеж на БВП съвпада с потенциалния, в резултат на което отклонението от потенциала бе 0. Оценката за коригирания спрямо фазата на икономически цикъл бюджетен баланс за настоящата година е 0%, което съответства на неутрална фискална позиция. През 2020 г. отклонението от потенциалния БВП се прогнозира да бъде леко положително, а структурният бюджетен </w:t>
      </w:r>
      <w:r>
        <w:rPr>
          <w:rFonts w:eastAsia="Calibri" w:cs="Times New Roman"/>
          <w:bCs/>
          <w:szCs w:val="24"/>
        </w:rPr>
        <w:t>дефицит 0,</w:t>
      </w:r>
      <w:r w:rsidRPr="001370B5">
        <w:rPr>
          <w:rFonts w:eastAsia="Calibri" w:cs="Times New Roman"/>
          <w:bCs/>
          <w:szCs w:val="24"/>
        </w:rPr>
        <w:t>1%. През 2021 г. структурният бюджетен баланс се о</w:t>
      </w:r>
      <w:r>
        <w:rPr>
          <w:rFonts w:eastAsia="Calibri" w:cs="Times New Roman"/>
          <w:bCs/>
          <w:szCs w:val="24"/>
        </w:rPr>
        <w:t>чертава да бъде на излишък от 0,</w:t>
      </w:r>
      <w:r w:rsidRPr="001370B5">
        <w:rPr>
          <w:rFonts w:eastAsia="Calibri" w:cs="Times New Roman"/>
          <w:bCs/>
          <w:szCs w:val="24"/>
        </w:rPr>
        <w:t xml:space="preserve">2%, а през 2022 г. – на дефицит </w:t>
      </w:r>
      <w:r>
        <w:rPr>
          <w:rFonts w:eastAsia="Calibri" w:cs="Times New Roman"/>
          <w:bCs/>
          <w:szCs w:val="24"/>
        </w:rPr>
        <w:t>от 0,</w:t>
      </w:r>
      <w:r w:rsidRPr="001370B5">
        <w:rPr>
          <w:rFonts w:eastAsia="Calibri" w:cs="Times New Roman"/>
          <w:bCs/>
          <w:szCs w:val="24"/>
        </w:rPr>
        <w:t>3%, който е доста над средносрочн</w:t>
      </w:r>
      <w:r w:rsidR="00964569">
        <w:rPr>
          <w:rFonts w:eastAsia="Calibri" w:cs="Times New Roman"/>
          <w:bCs/>
          <w:szCs w:val="24"/>
        </w:rPr>
        <w:t>ата бюджетна цел от -1% от БВП.</w:t>
      </w:r>
    </w:p>
    <w:p w:rsidR="00EC5E71" w:rsidRDefault="00EF2F5C" w:rsidP="00964569">
      <w:pPr>
        <w:pStyle w:val="Caption"/>
        <w:ind w:left="0" w:firstLine="0"/>
      </w:pPr>
      <w:r w:rsidRPr="00AE3F21">
        <w:t xml:space="preserve">Граф. </w:t>
      </w:r>
      <w:fldSimple w:instr=" STYLEREF 1 \s ">
        <w:r w:rsidR="0034195B">
          <w:rPr>
            <w:noProof/>
          </w:rPr>
          <w:t>VII</w:t>
        </w:r>
      </w:fldSimple>
      <w:r w:rsidRPr="00DF3BE5">
        <w:noBreakHyphen/>
      </w:r>
      <w:fldSimple w:instr=" SEQ Граф. \* ARABIC \s 1 ">
        <w:r w:rsidR="0034195B">
          <w:rPr>
            <w:noProof/>
          </w:rPr>
          <w:t>1</w:t>
        </w:r>
      </w:fldSimple>
      <w:r w:rsidRPr="00AE3F21">
        <w:t xml:space="preserve">: </w:t>
      </w:r>
      <w:r>
        <w:t xml:space="preserve"> Фискална позиция</w:t>
      </w:r>
    </w:p>
    <w:p w:rsidR="001370B5" w:rsidRPr="00964569" w:rsidRDefault="00964569" w:rsidP="00964569">
      <w:pPr>
        <w:spacing w:line="276" w:lineRule="auto"/>
        <w:jc w:val="center"/>
        <w:rPr>
          <w:noProof/>
        </w:rPr>
      </w:pPr>
      <w:r>
        <w:rPr>
          <w:noProof/>
        </w:rPr>
        <w:drawing>
          <wp:inline distT="0" distB="0" distL="0" distR="0" wp14:anchorId="762571B7" wp14:editId="15886E4C">
            <wp:extent cx="4490113" cy="2385060"/>
            <wp:effectExtent l="0" t="0" r="5715" b="1524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EF2F5C" w:rsidRPr="00423C1E" w:rsidRDefault="00EF2F5C" w:rsidP="00EF2F5C">
      <w:pPr>
        <w:spacing w:line="276" w:lineRule="auto"/>
        <w:jc w:val="right"/>
        <w:rPr>
          <w:rFonts w:eastAsia="Calibri" w:cs="Times New Roman"/>
          <w:sz w:val="16"/>
          <w:szCs w:val="16"/>
          <w:lang w:eastAsia="en-US"/>
        </w:rPr>
      </w:pPr>
      <w:r w:rsidRPr="00423C1E">
        <w:rPr>
          <w:rFonts w:eastAsia="Calibri" w:cs="Times New Roman"/>
          <w:sz w:val="16"/>
          <w:szCs w:val="16"/>
          <w:lang w:eastAsia="en-US"/>
        </w:rPr>
        <w:t>Източник: МФ</w:t>
      </w:r>
      <w:r w:rsidR="005D0369">
        <w:rPr>
          <w:rFonts w:eastAsia="Calibri" w:cs="Times New Roman"/>
          <w:sz w:val="16"/>
          <w:szCs w:val="16"/>
          <w:lang w:eastAsia="en-US"/>
        </w:rPr>
        <w:t>, собствени изчисления</w:t>
      </w:r>
    </w:p>
    <w:p w:rsidR="00F61E0A" w:rsidRPr="0088526B" w:rsidRDefault="00F61E0A" w:rsidP="008A5616">
      <w:pPr>
        <w:pStyle w:val="Heading4"/>
        <w:rPr>
          <w:rFonts w:eastAsia="Batang"/>
        </w:rPr>
      </w:pPr>
      <w:r w:rsidRPr="00F61E0A">
        <w:rPr>
          <w:rFonts w:eastAsia="Batang"/>
        </w:rPr>
        <w:t>Разходно правило</w:t>
      </w:r>
    </w:p>
    <w:p w:rsidR="00931EB2" w:rsidRPr="007F2963" w:rsidRDefault="0011278D" w:rsidP="00931EB2">
      <w:pPr>
        <w:spacing w:after="120"/>
        <w:rPr>
          <w:rFonts w:eastAsia="Times New Roman" w:cs="Times New Roman"/>
          <w:szCs w:val="24"/>
        </w:rPr>
      </w:pPr>
      <w:bookmarkStart w:id="726" w:name="_Toc464224820"/>
      <w:bookmarkStart w:id="727" w:name="_Toc464225470"/>
      <w:bookmarkStart w:id="728" w:name="_Toc464459017"/>
      <w:bookmarkStart w:id="729" w:name="_Toc464459765"/>
      <w:bookmarkStart w:id="730" w:name="_Toc464460718"/>
      <w:bookmarkStart w:id="731" w:name="_Toc464463117"/>
      <w:bookmarkStart w:id="732" w:name="_Toc464464946"/>
      <w:bookmarkStart w:id="733" w:name="_Toc464465453"/>
      <w:bookmarkStart w:id="734" w:name="_Toc464465641"/>
      <w:bookmarkStart w:id="735" w:name="_Toc464466464"/>
      <w:bookmarkStart w:id="736" w:name="_Toc464466708"/>
      <w:bookmarkStart w:id="737" w:name="_Toc464645029"/>
      <w:bookmarkStart w:id="738" w:name="_Toc465205577"/>
      <w:r w:rsidRPr="0011278D">
        <w:rPr>
          <w:rFonts w:eastAsia="Times New Roman" w:cs="Times New Roman"/>
          <w:szCs w:val="24"/>
        </w:rPr>
        <w:t>Оценката на съответствието с изискванията по ПСР и ЗПФ по отношение на растежа на бюджетните разходи се базира на общата методология за т.нар. бенчмарк на разходите, при отчитането на разделението между финансираните с национални средства и със средства от ЕС публични инвестиции. През 2019 г., както и в прогнозния период 2020-2022 г., се очаква България да преизпълнява средносрочната си бюджетна цел, поради което според правилата за фискално управление в ЕС е допустимо временно надхвърляне на референтното нарастване на разходите над потенциалния растеж на БВП. Според изчисленията на ЕК това рефере</w:t>
      </w:r>
      <w:r w:rsidR="009212CB">
        <w:rPr>
          <w:rFonts w:eastAsia="Times New Roman" w:cs="Times New Roman"/>
          <w:szCs w:val="24"/>
        </w:rPr>
        <w:t>нтно нарастване е в размер на 2,</w:t>
      </w:r>
      <w:r w:rsidRPr="0011278D">
        <w:rPr>
          <w:rFonts w:eastAsia="Times New Roman" w:cs="Times New Roman"/>
          <w:szCs w:val="24"/>
        </w:rPr>
        <w:t xml:space="preserve">7% за 2019 г. </w:t>
      </w:r>
      <w:r w:rsidR="00931EB2" w:rsidRPr="007F2963">
        <w:rPr>
          <w:rFonts w:eastAsia="Times New Roman" w:cs="Times New Roman"/>
          <w:szCs w:val="24"/>
        </w:rPr>
        <w:t xml:space="preserve">Въпреки това, през </w:t>
      </w:r>
      <w:r w:rsidR="00931EB2">
        <w:rPr>
          <w:rFonts w:eastAsia="Times New Roman" w:cs="Times New Roman"/>
          <w:szCs w:val="24"/>
        </w:rPr>
        <w:t>целия разглеждан период до 2022 г.</w:t>
      </w:r>
      <w:r w:rsidR="00931EB2" w:rsidRPr="007F2963">
        <w:rPr>
          <w:rFonts w:eastAsia="Times New Roman" w:cs="Times New Roman"/>
          <w:szCs w:val="24"/>
        </w:rPr>
        <w:t xml:space="preserve"> се планира растежът на коригираните бюджетни разходи, нетно от ефекта на приходните дискреционни мерки, да се запази на нива под 2,</w:t>
      </w:r>
      <w:r w:rsidR="00931EB2">
        <w:rPr>
          <w:rFonts w:eastAsia="Times New Roman" w:cs="Times New Roman"/>
          <w:szCs w:val="24"/>
        </w:rPr>
        <w:t>7</w:t>
      </w:r>
      <w:r w:rsidR="00931EB2" w:rsidRPr="007F2963">
        <w:rPr>
          <w:rFonts w:eastAsia="Times New Roman" w:cs="Times New Roman"/>
          <w:szCs w:val="24"/>
        </w:rPr>
        <w:t>% и по този начин да бъде в съответствие с правилото.</w:t>
      </w:r>
    </w:p>
    <w:p w:rsidR="004520EC" w:rsidRPr="005F297C" w:rsidRDefault="0011278D" w:rsidP="005F297C">
      <w:pPr>
        <w:spacing w:after="120"/>
        <w:rPr>
          <w:rFonts w:eastAsia="Times New Roman" w:cs="Times New Roman"/>
          <w:szCs w:val="24"/>
        </w:rPr>
      </w:pPr>
      <w:r w:rsidRPr="0011278D">
        <w:rPr>
          <w:rFonts w:eastAsia="Times New Roman" w:cs="Times New Roman"/>
          <w:szCs w:val="24"/>
        </w:rPr>
        <w:t xml:space="preserve">Изменението в реално изражение на разходния индикатор, използван за целите на фискалното управление в ЕС, се оценява съответно на </w:t>
      </w:r>
      <w:r w:rsidR="00931EB2" w:rsidRPr="007D6981">
        <w:rPr>
          <w:rFonts w:eastAsia="Times New Roman" w:cs="Times New Roman"/>
          <w:szCs w:val="24"/>
          <w:lang w:val="ru-RU"/>
        </w:rPr>
        <w:t>-2</w:t>
      </w:r>
      <w:r w:rsidR="009212CB">
        <w:rPr>
          <w:rFonts w:eastAsia="Times New Roman" w:cs="Times New Roman"/>
          <w:szCs w:val="24"/>
        </w:rPr>
        <w:t>,0% за 2019 г., 0,7% за 2020 г., 1,</w:t>
      </w:r>
      <w:r w:rsidR="00924EB2">
        <w:rPr>
          <w:rFonts w:eastAsia="Times New Roman" w:cs="Times New Roman"/>
          <w:szCs w:val="24"/>
        </w:rPr>
        <w:t>4</w:t>
      </w:r>
      <w:r w:rsidR="009212CB">
        <w:rPr>
          <w:rFonts w:eastAsia="Times New Roman" w:cs="Times New Roman"/>
          <w:szCs w:val="24"/>
        </w:rPr>
        <w:t>% за 2021 г. и 1,</w:t>
      </w:r>
      <w:r w:rsidRPr="007D6981">
        <w:rPr>
          <w:rFonts w:eastAsia="Times New Roman" w:cs="Times New Roman"/>
          <w:szCs w:val="24"/>
          <w:lang w:val="ru-RU"/>
        </w:rPr>
        <w:t>3</w:t>
      </w:r>
      <w:r w:rsidRPr="0011278D">
        <w:rPr>
          <w:rFonts w:eastAsia="Times New Roman" w:cs="Times New Roman"/>
          <w:szCs w:val="24"/>
        </w:rPr>
        <w:t xml:space="preserve">% за 2022 г. Цитираните стойности се основават на актуализираните прогнози за бюджетните параметри, представени по методологията ЕСС 2010, както и на дефлатора на БВП за съответната година от последната макроикономическа прогноза на МФ. </w:t>
      </w:r>
    </w:p>
    <w:p w:rsidR="00627C63" w:rsidRPr="00BC7843" w:rsidRDefault="00E36533" w:rsidP="00DE2BDB">
      <w:pPr>
        <w:pStyle w:val="Heading2"/>
      </w:pPr>
      <w:bookmarkStart w:id="739" w:name="_Toc23337493"/>
      <w:r w:rsidRPr="00BC7843">
        <w:t>ФИСКАЛНИ РИСКОВЕ</w:t>
      </w:r>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p>
    <w:p w:rsidR="00DF1DB9" w:rsidRPr="00DF1DB9" w:rsidRDefault="00DF1DB9" w:rsidP="00DF1DB9">
      <w:pPr>
        <w:rPr>
          <w:rFonts w:eastAsia="Batang"/>
        </w:rPr>
      </w:pPr>
      <w:r w:rsidRPr="00DF1DB9">
        <w:rPr>
          <w:rFonts w:eastAsia="Batang"/>
        </w:rPr>
        <w:t xml:space="preserve">В условията на влошаваща се външна среда, ограничаването на приходите може да затрудни провеждането на планираните политики, чрез липса на достатъчен ресурс, което може да се отрази в негативна посока както на </w:t>
      </w:r>
      <w:r w:rsidRPr="007027DF">
        <w:rPr>
          <w:rFonts w:eastAsia="Batang"/>
        </w:rPr>
        <w:t>бюджетния баланс, така и на</w:t>
      </w:r>
      <w:r w:rsidRPr="00DF1DB9">
        <w:rPr>
          <w:rFonts w:eastAsia="Batang"/>
        </w:rPr>
        <w:t xml:space="preserve"> държавния дълг. </w:t>
      </w:r>
    </w:p>
    <w:p w:rsidR="00587FBE" w:rsidRDefault="00DF1DB9" w:rsidP="00643F0B">
      <w:pPr>
        <w:rPr>
          <w:rFonts w:eastAsia="Batang"/>
        </w:rPr>
      </w:pPr>
      <w:r w:rsidRPr="00DF1DB9">
        <w:rPr>
          <w:rFonts w:eastAsia="Batang"/>
        </w:rPr>
        <w:t xml:space="preserve">В България </w:t>
      </w:r>
      <w:r w:rsidRPr="00E74D13">
        <w:rPr>
          <w:rFonts w:eastAsia="Batang"/>
          <w:i/>
        </w:rPr>
        <w:t>нивото на държавния дълг</w:t>
      </w:r>
      <w:r w:rsidRPr="00DF1DB9">
        <w:rPr>
          <w:rFonts w:eastAsia="Batang"/>
        </w:rPr>
        <w:t xml:space="preserve"> е много по-ниско в сравнение със средното равнище на дълга в страните от ЕС и далеч под референтната стойност по Маастрих</w:t>
      </w:r>
      <w:r w:rsidR="00E268F8">
        <w:rPr>
          <w:rFonts w:eastAsia="Batang"/>
        </w:rPr>
        <w:t>т</w:t>
      </w:r>
      <w:r w:rsidRPr="00DF1DB9">
        <w:rPr>
          <w:rFonts w:eastAsia="Batang"/>
        </w:rPr>
        <w:t>ските критерии от 60% от БВП. През последните три години, използвайки т.нар. „добри времена“, с по-висок от средния за ЕС икономически растеж, бяха реализирани фискални излишъци, което позволи значително намаление на държавния дълг. Рисковете пред дългосрочната устойчивост на публичните финанси се оце</w:t>
      </w:r>
      <w:r>
        <w:rPr>
          <w:rFonts w:eastAsia="Batang"/>
        </w:rPr>
        <w:t>няват от МФ и от ЕК като ниски</w:t>
      </w:r>
      <w:r w:rsidRPr="00DF1DB9">
        <w:rPr>
          <w:rFonts w:eastAsia="Batang"/>
        </w:rPr>
        <w:t xml:space="preserve"> поради ниската държавна задлъжнялост. Това осигурява достатъчна стабилност и пространство за реакция при евентуални икономически сътресения. </w:t>
      </w:r>
    </w:p>
    <w:p w:rsidR="00643F0B" w:rsidRPr="00643F0B" w:rsidRDefault="00DF1DB9" w:rsidP="00643F0B">
      <w:pPr>
        <w:rPr>
          <w:rFonts w:eastAsia="Batang"/>
        </w:rPr>
      </w:pPr>
      <w:r w:rsidRPr="00DF1DB9">
        <w:rPr>
          <w:rFonts w:eastAsia="Batang"/>
        </w:rPr>
        <w:t xml:space="preserve">През следващите три години се очаква </w:t>
      </w:r>
      <w:r w:rsidRPr="00E74D13">
        <w:rPr>
          <w:rFonts w:eastAsia="Batang"/>
          <w:i/>
        </w:rPr>
        <w:t>бюджетното салдо</w:t>
      </w:r>
      <w:r w:rsidRPr="00DF1DB9">
        <w:rPr>
          <w:rFonts w:eastAsia="Batang"/>
        </w:rPr>
        <w:t xml:space="preserve"> да бъде близко и около балансирано, което съответства на заложените фискални правила в Закона за публичните финанси. Целта за балансирано бюджетно салдо в прогнозния период отговаря на средносрочната бюджетна цел и е съобразено с очакв</w:t>
      </w:r>
      <w:r w:rsidR="00643F0B">
        <w:rPr>
          <w:rFonts w:eastAsia="Batang"/>
        </w:rPr>
        <w:t xml:space="preserve">аното развитие на икономиката – </w:t>
      </w:r>
      <w:r w:rsidRPr="00DF1DB9">
        <w:rPr>
          <w:rFonts w:eastAsia="Batang"/>
        </w:rPr>
        <w:t>малко над потенциала. При краткосрочно забавяне на икономическото развитие на страната има достатъчен марж за осъществяване на планираните разходни политики.</w:t>
      </w:r>
      <w:r w:rsidR="00643F0B">
        <w:rPr>
          <w:rFonts w:eastAsia="Batang"/>
        </w:rPr>
        <w:t xml:space="preserve"> </w:t>
      </w:r>
      <w:r w:rsidR="00643F0B" w:rsidRPr="00643F0B">
        <w:rPr>
          <w:rFonts w:eastAsia="Batang"/>
        </w:rPr>
        <w:t xml:space="preserve">Предвижданото бюджетно салдо и наличните ликвидни буфери дават фискално пространство за поемане на </w:t>
      </w:r>
      <w:r w:rsidR="00C11319">
        <w:rPr>
          <w:rFonts w:eastAsia="Batang"/>
        </w:rPr>
        <w:t>„</w:t>
      </w:r>
      <w:r w:rsidR="00643F0B" w:rsidRPr="00643F0B">
        <w:rPr>
          <w:rFonts w:eastAsia="Batang"/>
        </w:rPr>
        <w:t>шокове</w:t>
      </w:r>
      <w:r w:rsidR="00C11319">
        <w:rPr>
          <w:rFonts w:eastAsia="Batang"/>
        </w:rPr>
        <w:t>“</w:t>
      </w:r>
      <w:r w:rsidR="00643F0B" w:rsidRPr="00643F0B">
        <w:rPr>
          <w:rFonts w:eastAsia="Batang"/>
        </w:rPr>
        <w:t>, свързани с влошаване на външната среда</w:t>
      </w:r>
      <w:r w:rsidR="00643F0B">
        <w:rPr>
          <w:rFonts w:eastAsia="Batang"/>
        </w:rPr>
        <w:t>,</w:t>
      </w:r>
      <w:r w:rsidR="00643F0B" w:rsidRPr="00643F0B">
        <w:rPr>
          <w:rFonts w:eastAsia="Batang"/>
        </w:rPr>
        <w:t xml:space="preserve"> без да се поставят на риск критериите по Пакта за стабилност и растеж.</w:t>
      </w:r>
    </w:p>
    <w:p w:rsidR="00DF1DB9" w:rsidRDefault="00DF1DB9" w:rsidP="005D0369">
      <w:pPr>
        <w:rPr>
          <w:rFonts w:eastAsia="Batang"/>
          <w:highlight w:val="yellow"/>
        </w:rPr>
      </w:pPr>
    </w:p>
    <w:p w:rsidR="00CE4781" w:rsidRDefault="002A7C29" w:rsidP="00CE4781">
      <w:pPr>
        <w:pStyle w:val="Heading2"/>
      </w:pPr>
      <w:bookmarkStart w:id="740" w:name="_Toc23337494"/>
      <w:r>
        <w:t>А</w:t>
      </w:r>
      <w:r w:rsidR="00E46B2B">
        <w:t>нализ на чувствителността</w:t>
      </w:r>
      <w:bookmarkEnd w:id="740"/>
    </w:p>
    <w:p w:rsidR="00CE4781" w:rsidRPr="007027DF" w:rsidRDefault="00CE4781" w:rsidP="007027DF">
      <w:pPr>
        <w:spacing w:after="120"/>
        <w:rPr>
          <w:rFonts w:eastAsia="Times New Roman" w:cs="Calibri"/>
          <w:b/>
          <w:color w:val="852010" w:themeColor="accent3" w:themeShade="BF"/>
        </w:rPr>
      </w:pPr>
      <w:r w:rsidRPr="007027DF">
        <w:rPr>
          <w:rFonts w:eastAsia="Times New Roman" w:cs="Calibri"/>
          <w:b/>
          <w:color w:val="852010" w:themeColor="accent3" w:themeShade="BF"/>
        </w:rPr>
        <w:t>Макроикономически симулационен модел</w:t>
      </w:r>
    </w:p>
    <w:p w:rsidR="00CE4781" w:rsidRPr="00CE4781" w:rsidRDefault="00CE4781" w:rsidP="007027DF">
      <w:pPr>
        <w:spacing w:after="120"/>
        <w:rPr>
          <w:rFonts w:eastAsia="Times New Roman" w:cs="Times New Roman"/>
        </w:rPr>
      </w:pPr>
      <w:r w:rsidRPr="00AF4DB2">
        <w:rPr>
          <w:rFonts w:eastAsia="Times New Roman" w:cs="Calibri"/>
        </w:rPr>
        <w:t>Според чл. 75, ал. 3 от Закона за публичните финанси</w:t>
      </w:r>
      <w:r w:rsidRPr="00AF4DB2">
        <w:rPr>
          <w:rFonts w:eastAsia="Times New Roman" w:cs="Times New Roman"/>
        </w:rPr>
        <w:t xml:space="preserve"> разработването на средносрочната бюджетна прогноза и на проекта на държавния бюджет се съпровожд</w:t>
      </w:r>
      <w:r w:rsidR="00B50EB3">
        <w:rPr>
          <w:rFonts w:eastAsia="Times New Roman" w:cs="Times New Roman"/>
        </w:rPr>
        <w:t>а с изготвянето на алтернативни</w:t>
      </w:r>
      <w:r w:rsidRPr="00AF4DB2">
        <w:rPr>
          <w:rFonts w:eastAsia="Times New Roman" w:cs="Times New Roman"/>
        </w:rPr>
        <w:t xml:space="preserve"> сценарии, свързани със </w:t>
      </w:r>
      <w:r w:rsidR="00897EAD" w:rsidRPr="00AF4DB2">
        <w:rPr>
          <w:rFonts w:eastAsia="Times New Roman" w:cs="Times New Roman"/>
        </w:rPr>
        <w:t>съответни</w:t>
      </w:r>
      <w:r w:rsidRPr="00AF4DB2">
        <w:rPr>
          <w:rFonts w:eastAsia="Times New Roman" w:cs="Times New Roman"/>
        </w:rPr>
        <w:t xml:space="preserve"> рискове, при различни допускания. За тази цел в МФ бе разработен макроикономически</w:t>
      </w:r>
      <w:r w:rsidRPr="00CE4781">
        <w:rPr>
          <w:rFonts w:eastAsia="Times New Roman" w:cs="Times New Roman"/>
        </w:rPr>
        <w:t xml:space="preserve"> модел за оценка на ефекти</w:t>
      </w:r>
      <w:r w:rsidR="00C74747">
        <w:rPr>
          <w:rFonts w:eastAsia="Times New Roman" w:cs="Times New Roman"/>
        </w:rPr>
        <w:t>те</w:t>
      </w:r>
      <w:r w:rsidRPr="00CE4781">
        <w:rPr>
          <w:rFonts w:eastAsia="Times New Roman" w:cs="Times New Roman"/>
        </w:rPr>
        <w:t xml:space="preserve"> върху основни макроикономически и бюджетни показатели от промени в глобалната и/или вътрешната икономическа среда. </w:t>
      </w:r>
    </w:p>
    <w:p w:rsidR="00CE4781" w:rsidRPr="00FB0048" w:rsidRDefault="00CE4781" w:rsidP="00FB0048">
      <w:pPr>
        <w:spacing w:after="120"/>
        <w:rPr>
          <w:rFonts w:eastAsia="Times New Roman" w:cs="Calibri"/>
        </w:rPr>
      </w:pPr>
      <w:r w:rsidRPr="00CE4781">
        <w:rPr>
          <w:rFonts w:eastAsia="Times New Roman" w:cs="Times New Roman"/>
        </w:rPr>
        <w:t xml:space="preserve">Разработеният симулационен модел е макроиконометричен по своята същност. Той представлява система от уравнения, калибрирани с подходящ инструментариум, която реалистично описва структурата на българската икономика и взаимовръзките между дефинираните сектори в икономиката. Състои се от поведенчески уравнения и тъждества, като ендогенните променливи са резултат от решаването на модела, а екзогенните са външно зададени и върху тях могат да се дефинират промени – „шокове“. В резултат на тези „шокове“ се представят различни варианти за развитие на икономиката, като моделът позволява формулиране на </w:t>
      </w:r>
      <w:r>
        <w:rPr>
          <w:rFonts w:eastAsia="Times New Roman" w:cs="Times New Roman"/>
        </w:rPr>
        <w:t>„</w:t>
      </w:r>
      <w:r w:rsidRPr="00CE4781">
        <w:rPr>
          <w:rFonts w:eastAsia="Times New Roman" w:cs="Times New Roman"/>
        </w:rPr>
        <w:t>шокове</w:t>
      </w:r>
      <w:r w:rsidR="00931EB2">
        <w:rPr>
          <w:rFonts w:eastAsia="Times New Roman" w:cs="Times New Roman"/>
        </w:rPr>
        <w:t>“</w:t>
      </w:r>
      <w:r w:rsidRPr="00CE4781">
        <w:rPr>
          <w:rFonts w:eastAsia="Times New Roman" w:cs="Times New Roman"/>
        </w:rPr>
        <w:t xml:space="preserve"> върху набор от променливи от външната и вътрешната икономическа среда.</w:t>
      </w:r>
    </w:p>
    <w:p w:rsidR="00E46B2B" w:rsidRPr="00A23D73" w:rsidRDefault="00E46B2B" w:rsidP="0014351D">
      <w:pPr>
        <w:pStyle w:val="Heading3"/>
        <w:ind w:left="709" w:hanging="567"/>
      </w:pPr>
      <w:r w:rsidRPr="00A23D73">
        <w:t>Алтернативен сценарий на избрани макроикономически показатели, включително сравнение между базисните и алтернативните макроикономически допускания и ефекти върху основните макроикономически показатели</w:t>
      </w:r>
    </w:p>
    <w:p w:rsidR="00CE4781" w:rsidRDefault="00CE4781" w:rsidP="00CE4781">
      <w:r>
        <w:t>Алтернативният сценарий разглежда реализиране на нараснали рискове от рецесия и забавяне на растежа на ключови икономики в еврозоната през 2020 г. По-ниският растеж на еврозоната би се реализирал под влияние на политическа и икономическа несигурност, както и при излизане на Обединеното кралство от Европейския съюз без сделка. Симулиран е по-нисък, спрямо очаквания в базовия сценарий, икономически растеж на</w:t>
      </w:r>
      <w:r w:rsidR="00FB0048">
        <w:t xml:space="preserve"> EС с 1 пр.п. Това ще се отрази</w:t>
      </w:r>
      <w:r>
        <w:t xml:space="preserve"> и в забавяне на икономическата активност на някои основни търговски партньори на България, които са извън ЕС, по линия на търговските отношения и обвързаност на структуроопределящи отрасли. В резултат на по-ниския растеж в страните с единната европейска валута може да се очаква обезценяване на еврото.</w:t>
      </w:r>
    </w:p>
    <w:p w:rsidR="00CE4781" w:rsidRDefault="00CE4781" w:rsidP="00C0742F">
      <w:pPr>
        <w:rPr>
          <w:highlight w:val="yellow"/>
        </w:rPr>
      </w:pPr>
      <w:r>
        <w:t>В резултат, при алтернативния сценарий икономическият растеж на България през 2020 г. ще бъде с 0,6 пр.п. по-нисък спрямо базовия. Сценарият ще има от</w:t>
      </w:r>
      <w:r w:rsidR="00FA5C2D">
        <w:t>ражение върху БВП и други важни</w:t>
      </w:r>
      <w:r>
        <w:t xml:space="preserve"> макроикономически и бюджетни показатели и в следващите години от прогнозния период.  </w:t>
      </w:r>
    </w:p>
    <w:p w:rsidR="001850C1" w:rsidRPr="001850C1" w:rsidRDefault="0005447B" w:rsidP="0005447B">
      <w:pPr>
        <w:pStyle w:val="Caption"/>
      </w:pPr>
      <w:bookmarkStart w:id="741" w:name="_Toc23337535"/>
      <w:r>
        <w:t xml:space="preserve">Табл. </w:t>
      </w:r>
      <w:fldSimple w:instr=" STYLEREF 1 \s ">
        <w:r w:rsidR="0034195B">
          <w:rPr>
            <w:noProof/>
          </w:rPr>
          <w:t>VII</w:t>
        </w:r>
      </w:fldSimple>
      <w:r w:rsidR="00927CD5">
        <w:noBreakHyphen/>
      </w:r>
      <w:fldSimple w:instr=" SEQ Табл. \* ARABIC \s 1 ">
        <w:r w:rsidR="0034195B">
          <w:rPr>
            <w:noProof/>
          </w:rPr>
          <w:t>2</w:t>
        </w:r>
      </w:fldSimple>
      <w:r w:rsidR="00DC60C3">
        <w:t>:</w:t>
      </w:r>
      <w:r w:rsidR="001977D8">
        <w:rPr>
          <w:lang w:val="ru-RU"/>
        </w:rPr>
        <w:tab/>
      </w:r>
      <w:r w:rsidR="002346B9" w:rsidRPr="002346B9">
        <w:t>Промяна на основни макроикономически и бюджетни индикатори между алтернативния и основния сценарий, в пр.п.</w:t>
      </w:r>
      <w:bookmarkEnd w:id="741"/>
      <w:r w:rsidR="002346B9" w:rsidRPr="002346B9">
        <w:t xml:space="preserve">  </w:t>
      </w:r>
    </w:p>
    <w:tbl>
      <w:tblPr>
        <w:tblW w:w="9072" w:type="dxa"/>
        <w:jc w:val="center"/>
        <w:tblCellMar>
          <w:left w:w="70" w:type="dxa"/>
          <w:right w:w="70" w:type="dxa"/>
        </w:tblCellMar>
        <w:tblLook w:val="04A0" w:firstRow="1" w:lastRow="0" w:firstColumn="1" w:lastColumn="0" w:noHBand="0" w:noVBand="1"/>
      </w:tblPr>
      <w:tblGrid>
        <w:gridCol w:w="5751"/>
        <w:gridCol w:w="961"/>
        <w:gridCol w:w="1180"/>
        <w:gridCol w:w="1180"/>
      </w:tblGrid>
      <w:tr w:rsidR="002346B9" w:rsidRPr="00FB0048" w:rsidTr="007027DF">
        <w:trPr>
          <w:trHeight w:val="302"/>
          <w:jc w:val="center"/>
        </w:trPr>
        <w:tc>
          <w:tcPr>
            <w:tcW w:w="5751"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2346B9">
            <w:pPr>
              <w:spacing w:after="0"/>
              <w:rPr>
                <w:rFonts w:eastAsia="Times New Roman" w:cs="Times New Roman"/>
                <w:b/>
                <w:bCs/>
                <w:color w:val="000000"/>
                <w:sz w:val="22"/>
              </w:rPr>
            </w:pPr>
            <w:r w:rsidRPr="00FB0048">
              <w:rPr>
                <w:rFonts w:eastAsia="Times New Roman" w:cs="Times New Roman"/>
                <w:b/>
                <w:bCs/>
                <w:color w:val="000000"/>
                <w:sz w:val="22"/>
              </w:rPr>
              <w:t>Международна среда</w:t>
            </w:r>
          </w:p>
        </w:tc>
        <w:tc>
          <w:tcPr>
            <w:tcW w:w="961" w:type="dxa"/>
            <w:tcBorders>
              <w:top w:val="single" w:sz="4" w:space="0" w:color="auto"/>
              <w:left w:val="nil"/>
              <w:bottom w:val="single" w:sz="4" w:space="0" w:color="auto"/>
              <w:right w:val="nil"/>
            </w:tcBorders>
            <w:shd w:val="clear" w:color="auto" w:fill="F2F2F2" w:themeFill="background1" w:themeFillShade="F2"/>
            <w:noWrap/>
            <w:vAlign w:val="bottom"/>
            <w:hideMark/>
          </w:tcPr>
          <w:p w:rsidR="002346B9" w:rsidRPr="00FB0048" w:rsidRDefault="002346B9" w:rsidP="007027DF">
            <w:pPr>
              <w:spacing w:after="0"/>
              <w:jc w:val="center"/>
              <w:rPr>
                <w:rFonts w:eastAsia="Times New Roman" w:cs="Times New Roman"/>
                <w:b/>
                <w:bCs/>
                <w:color w:val="000000"/>
                <w:sz w:val="22"/>
              </w:rPr>
            </w:pPr>
            <w:r w:rsidRPr="00FB0048">
              <w:rPr>
                <w:rFonts w:eastAsia="Times New Roman" w:cs="Times New Roman"/>
                <w:b/>
                <w:bCs/>
                <w:color w:val="000000"/>
                <w:sz w:val="22"/>
              </w:rPr>
              <w:t>2020</w:t>
            </w: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7027DF">
            <w:pPr>
              <w:spacing w:after="0"/>
              <w:jc w:val="center"/>
              <w:rPr>
                <w:rFonts w:eastAsia="Times New Roman" w:cs="Times New Roman"/>
                <w:b/>
                <w:bCs/>
                <w:color w:val="000000"/>
                <w:sz w:val="22"/>
              </w:rPr>
            </w:pPr>
            <w:r w:rsidRPr="00FB0048">
              <w:rPr>
                <w:rFonts w:eastAsia="Times New Roman" w:cs="Times New Roman"/>
                <w:b/>
                <w:bCs/>
                <w:color w:val="000000"/>
                <w:sz w:val="22"/>
              </w:rPr>
              <w:t>2021</w:t>
            </w: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7027DF">
            <w:pPr>
              <w:spacing w:after="0"/>
              <w:jc w:val="center"/>
              <w:rPr>
                <w:rFonts w:eastAsia="Times New Roman" w:cs="Times New Roman"/>
                <w:b/>
                <w:bCs/>
                <w:color w:val="000000"/>
                <w:sz w:val="22"/>
              </w:rPr>
            </w:pPr>
            <w:r w:rsidRPr="00FB0048">
              <w:rPr>
                <w:rFonts w:eastAsia="Times New Roman" w:cs="Times New Roman"/>
                <w:b/>
                <w:bCs/>
                <w:color w:val="000000"/>
                <w:sz w:val="22"/>
              </w:rPr>
              <w:t>2022</w:t>
            </w:r>
          </w:p>
        </w:tc>
      </w:tr>
      <w:tr w:rsidR="002346B9" w:rsidRPr="00FB0048" w:rsidTr="007027DF">
        <w:trPr>
          <w:trHeight w:val="302"/>
          <w:jc w:val="center"/>
        </w:trPr>
        <w:tc>
          <w:tcPr>
            <w:tcW w:w="5751" w:type="dxa"/>
            <w:tcBorders>
              <w:top w:val="single" w:sz="4" w:space="0" w:color="auto"/>
              <w:left w:val="nil"/>
              <w:bottom w:val="nil"/>
              <w:right w:val="nil"/>
            </w:tcBorders>
            <w:shd w:val="clear" w:color="auto" w:fill="auto"/>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Световна икономика (реален растеж, %)</w:t>
            </w:r>
          </w:p>
        </w:tc>
        <w:tc>
          <w:tcPr>
            <w:tcW w:w="961" w:type="dxa"/>
            <w:tcBorders>
              <w:top w:val="single" w:sz="4" w:space="0" w:color="auto"/>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single" w:sz="4" w:space="0" w:color="auto"/>
              <w:left w:val="nil"/>
              <w:bottom w:val="nil"/>
              <w:right w:val="nil"/>
            </w:tcBorders>
            <w:shd w:val="clear" w:color="auto" w:fill="auto"/>
            <w:noWrap/>
            <w:vAlign w:val="bottom"/>
          </w:tcPr>
          <w:p w:rsidR="002346B9" w:rsidRPr="00FB0048" w:rsidRDefault="002346B9" w:rsidP="00FB0048">
            <w:pPr>
              <w:spacing w:after="0"/>
              <w:jc w:val="right"/>
              <w:rPr>
                <w:rFonts w:eastAsia="Times New Roman" w:cs="Times New Roman"/>
                <w:color w:val="000000"/>
                <w:sz w:val="22"/>
              </w:rPr>
            </w:pPr>
          </w:p>
        </w:tc>
        <w:tc>
          <w:tcPr>
            <w:tcW w:w="1180" w:type="dxa"/>
            <w:tcBorders>
              <w:top w:val="single" w:sz="4" w:space="0" w:color="auto"/>
              <w:left w:val="nil"/>
              <w:bottom w:val="nil"/>
              <w:right w:val="nil"/>
            </w:tcBorders>
            <w:shd w:val="clear" w:color="auto" w:fill="auto"/>
            <w:noWrap/>
            <w:vAlign w:val="bottom"/>
          </w:tcPr>
          <w:p w:rsidR="002346B9" w:rsidRPr="00FB0048" w:rsidRDefault="002346B9" w:rsidP="00FB0048">
            <w:pPr>
              <w:spacing w:after="0"/>
              <w:jc w:val="right"/>
              <w:rPr>
                <w:rFonts w:eastAsia="Times New Roman" w:cs="Times New Roman"/>
                <w:color w:val="000000"/>
                <w:sz w:val="22"/>
              </w:rPr>
            </w:pPr>
          </w:p>
        </w:tc>
      </w:tr>
      <w:tr w:rsidR="002346B9" w:rsidRPr="00FB0048" w:rsidTr="007027DF">
        <w:trPr>
          <w:trHeight w:val="302"/>
          <w:jc w:val="center"/>
        </w:trPr>
        <w:tc>
          <w:tcPr>
            <w:tcW w:w="5751" w:type="dxa"/>
            <w:tcBorders>
              <w:top w:val="nil"/>
              <w:left w:val="nil"/>
              <w:bottom w:val="nil"/>
              <w:right w:val="nil"/>
            </w:tcBorders>
            <w:shd w:val="clear" w:color="auto" w:fill="auto"/>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Европейска икономика - ЕС 28 (%)</w:t>
            </w:r>
          </w:p>
        </w:tc>
        <w:tc>
          <w:tcPr>
            <w:tcW w:w="961" w:type="dxa"/>
            <w:tcBorders>
              <w:top w:val="nil"/>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-1,0</w:t>
            </w:r>
          </w:p>
        </w:tc>
        <w:tc>
          <w:tcPr>
            <w:tcW w:w="1180" w:type="dxa"/>
            <w:tcBorders>
              <w:top w:val="nil"/>
              <w:left w:val="nil"/>
              <w:bottom w:val="nil"/>
              <w:right w:val="nil"/>
            </w:tcBorders>
            <w:shd w:val="clear" w:color="auto" w:fill="auto"/>
            <w:noWrap/>
            <w:vAlign w:val="bottom"/>
          </w:tcPr>
          <w:p w:rsidR="002346B9" w:rsidRPr="00FB0048" w:rsidRDefault="002346B9" w:rsidP="00FB0048">
            <w:pPr>
              <w:spacing w:after="0"/>
              <w:jc w:val="right"/>
              <w:rPr>
                <w:rFonts w:eastAsia="Times New Roman" w:cs="Times New Roman"/>
                <w:color w:val="000000"/>
                <w:sz w:val="22"/>
              </w:rPr>
            </w:pPr>
          </w:p>
        </w:tc>
        <w:tc>
          <w:tcPr>
            <w:tcW w:w="1180" w:type="dxa"/>
            <w:tcBorders>
              <w:top w:val="nil"/>
              <w:left w:val="nil"/>
              <w:bottom w:val="nil"/>
              <w:right w:val="nil"/>
            </w:tcBorders>
            <w:shd w:val="clear" w:color="auto" w:fill="auto"/>
            <w:noWrap/>
            <w:vAlign w:val="bottom"/>
          </w:tcPr>
          <w:p w:rsidR="002346B9" w:rsidRPr="00FB0048" w:rsidRDefault="002346B9" w:rsidP="00FB0048">
            <w:pPr>
              <w:spacing w:after="0"/>
              <w:jc w:val="right"/>
              <w:rPr>
                <w:rFonts w:eastAsia="Times New Roman" w:cs="Times New Roman"/>
                <w:color w:val="000000"/>
                <w:sz w:val="22"/>
              </w:rPr>
            </w:pPr>
          </w:p>
        </w:tc>
      </w:tr>
      <w:tr w:rsidR="002346B9" w:rsidRPr="00FB0048" w:rsidTr="007027DF">
        <w:trPr>
          <w:trHeight w:val="302"/>
          <w:jc w:val="center"/>
        </w:trPr>
        <w:tc>
          <w:tcPr>
            <w:tcW w:w="5751" w:type="dxa"/>
            <w:tcBorders>
              <w:top w:val="nil"/>
              <w:left w:val="nil"/>
              <w:bottom w:val="single" w:sz="4" w:space="0" w:color="auto"/>
              <w:right w:val="nil"/>
            </w:tcBorders>
            <w:shd w:val="clear" w:color="auto" w:fill="auto"/>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 xml:space="preserve">Валутен курс щ.д./евро </w:t>
            </w:r>
          </w:p>
        </w:tc>
        <w:tc>
          <w:tcPr>
            <w:tcW w:w="961" w:type="dxa"/>
            <w:tcBorders>
              <w:top w:val="nil"/>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-3,0</w:t>
            </w:r>
          </w:p>
        </w:tc>
        <w:tc>
          <w:tcPr>
            <w:tcW w:w="1180" w:type="dxa"/>
            <w:tcBorders>
              <w:top w:val="nil"/>
              <w:left w:val="nil"/>
              <w:bottom w:val="single" w:sz="4" w:space="0" w:color="auto"/>
              <w:right w:val="nil"/>
            </w:tcBorders>
            <w:shd w:val="clear" w:color="auto" w:fill="auto"/>
            <w:noWrap/>
            <w:vAlign w:val="bottom"/>
          </w:tcPr>
          <w:p w:rsidR="002346B9" w:rsidRPr="00FB0048" w:rsidRDefault="002346B9" w:rsidP="00FB0048">
            <w:pPr>
              <w:spacing w:after="0"/>
              <w:jc w:val="right"/>
              <w:rPr>
                <w:rFonts w:eastAsia="Times New Roman" w:cs="Times New Roman"/>
                <w:color w:val="000000"/>
                <w:sz w:val="22"/>
              </w:rPr>
            </w:pPr>
          </w:p>
        </w:tc>
        <w:tc>
          <w:tcPr>
            <w:tcW w:w="1180" w:type="dxa"/>
            <w:tcBorders>
              <w:top w:val="nil"/>
              <w:left w:val="nil"/>
              <w:bottom w:val="single" w:sz="4" w:space="0" w:color="auto"/>
              <w:right w:val="nil"/>
            </w:tcBorders>
            <w:shd w:val="clear" w:color="auto" w:fill="auto"/>
            <w:noWrap/>
            <w:vAlign w:val="bottom"/>
          </w:tcPr>
          <w:p w:rsidR="002346B9" w:rsidRPr="00FB0048" w:rsidRDefault="002346B9" w:rsidP="00FB0048">
            <w:pPr>
              <w:spacing w:after="0"/>
              <w:jc w:val="right"/>
              <w:rPr>
                <w:rFonts w:eastAsia="Times New Roman" w:cs="Times New Roman"/>
                <w:color w:val="000000"/>
                <w:sz w:val="22"/>
              </w:rPr>
            </w:pPr>
          </w:p>
        </w:tc>
      </w:tr>
      <w:tr w:rsidR="002346B9" w:rsidRPr="00FB0048" w:rsidTr="007027DF">
        <w:trPr>
          <w:trHeight w:val="302"/>
          <w:jc w:val="center"/>
        </w:trPr>
        <w:tc>
          <w:tcPr>
            <w:tcW w:w="5751" w:type="dxa"/>
            <w:tcBorders>
              <w:top w:val="single" w:sz="4" w:space="0" w:color="auto"/>
              <w:left w:val="nil"/>
              <w:bottom w:val="single" w:sz="4" w:space="0" w:color="auto"/>
              <w:right w:val="nil"/>
            </w:tcBorders>
            <w:shd w:val="clear" w:color="auto" w:fill="auto"/>
            <w:vAlign w:val="bottom"/>
            <w:hideMark/>
          </w:tcPr>
          <w:p w:rsidR="002346B9" w:rsidRPr="00FB0048" w:rsidRDefault="002346B9" w:rsidP="002346B9">
            <w:pPr>
              <w:spacing w:after="0"/>
              <w:rPr>
                <w:rFonts w:eastAsia="Times New Roman" w:cs="Times New Roman"/>
                <w:color w:val="000000"/>
                <w:sz w:val="22"/>
              </w:rPr>
            </w:pPr>
            <w:r w:rsidRPr="00FB0048">
              <w:rPr>
                <w:rFonts w:eastAsia="Times New Roman" w:cs="Times New Roman"/>
                <w:b/>
                <w:bCs/>
                <w:color w:val="000000"/>
                <w:sz w:val="22"/>
              </w:rPr>
              <w:t>Брутен вътрешен продукт</w:t>
            </w:r>
          </w:p>
        </w:tc>
        <w:tc>
          <w:tcPr>
            <w:tcW w:w="961" w:type="dxa"/>
            <w:tcBorders>
              <w:top w:val="single" w:sz="4" w:space="0" w:color="auto"/>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p>
        </w:tc>
      </w:tr>
      <w:tr w:rsidR="002346B9" w:rsidRPr="00FB0048" w:rsidTr="007027DF">
        <w:trPr>
          <w:trHeight w:val="302"/>
          <w:jc w:val="center"/>
        </w:trPr>
        <w:tc>
          <w:tcPr>
            <w:tcW w:w="5751" w:type="dxa"/>
            <w:tcBorders>
              <w:top w:val="single" w:sz="4" w:space="0" w:color="auto"/>
              <w:left w:val="nil"/>
              <w:bottom w:val="nil"/>
              <w:right w:val="nil"/>
            </w:tcBorders>
            <w:shd w:val="clear" w:color="auto" w:fill="auto"/>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БВП (реален растеж %)</w:t>
            </w:r>
          </w:p>
        </w:tc>
        <w:tc>
          <w:tcPr>
            <w:tcW w:w="961" w:type="dxa"/>
            <w:tcBorders>
              <w:top w:val="single" w:sz="4" w:space="0" w:color="auto"/>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-0,6</w:t>
            </w:r>
          </w:p>
        </w:tc>
        <w:tc>
          <w:tcPr>
            <w:tcW w:w="1180" w:type="dxa"/>
            <w:tcBorders>
              <w:top w:val="single" w:sz="4" w:space="0" w:color="auto"/>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-0,4</w:t>
            </w:r>
          </w:p>
        </w:tc>
        <w:tc>
          <w:tcPr>
            <w:tcW w:w="1180" w:type="dxa"/>
            <w:tcBorders>
              <w:top w:val="single" w:sz="4" w:space="0" w:color="auto"/>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-0,1</w:t>
            </w:r>
          </w:p>
        </w:tc>
      </w:tr>
      <w:tr w:rsidR="002346B9" w:rsidRPr="00FB0048" w:rsidTr="007027DF">
        <w:trPr>
          <w:trHeight w:val="302"/>
          <w:jc w:val="center"/>
        </w:trPr>
        <w:tc>
          <w:tcPr>
            <w:tcW w:w="5751" w:type="dxa"/>
            <w:tcBorders>
              <w:top w:val="nil"/>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 xml:space="preserve">    Потребление</w:t>
            </w:r>
          </w:p>
        </w:tc>
        <w:tc>
          <w:tcPr>
            <w:tcW w:w="961" w:type="dxa"/>
            <w:tcBorders>
              <w:top w:val="nil"/>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-0,5</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-0,5</w:t>
            </w:r>
          </w:p>
        </w:tc>
      </w:tr>
      <w:tr w:rsidR="002346B9" w:rsidRPr="00FB0048" w:rsidTr="007027DF">
        <w:trPr>
          <w:trHeight w:val="302"/>
          <w:jc w:val="center"/>
        </w:trPr>
        <w:tc>
          <w:tcPr>
            <w:tcW w:w="5751" w:type="dxa"/>
            <w:tcBorders>
              <w:top w:val="nil"/>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 xml:space="preserve">    Брутообразуване на основен капитал</w:t>
            </w:r>
          </w:p>
        </w:tc>
        <w:tc>
          <w:tcPr>
            <w:tcW w:w="961" w:type="dxa"/>
            <w:tcBorders>
              <w:top w:val="nil"/>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0,5</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-1,6</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-1,0</w:t>
            </w:r>
          </w:p>
        </w:tc>
      </w:tr>
      <w:tr w:rsidR="002346B9" w:rsidRPr="00FB0048" w:rsidTr="007027DF">
        <w:trPr>
          <w:trHeight w:val="302"/>
          <w:jc w:val="center"/>
        </w:trPr>
        <w:tc>
          <w:tcPr>
            <w:tcW w:w="5751" w:type="dxa"/>
            <w:tcBorders>
              <w:top w:val="nil"/>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 xml:space="preserve">    Износ на стоки и услуги</w:t>
            </w:r>
          </w:p>
        </w:tc>
        <w:tc>
          <w:tcPr>
            <w:tcW w:w="961" w:type="dxa"/>
            <w:tcBorders>
              <w:top w:val="nil"/>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-1,1</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-0,1</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0,1</w:t>
            </w:r>
          </w:p>
        </w:tc>
      </w:tr>
      <w:tr w:rsidR="002346B9" w:rsidRPr="00FB0048" w:rsidTr="007027DF">
        <w:trPr>
          <w:trHeight w:val="302"/>
          <w:jc w:val="center"/>
        </w:trPr>
        <w:tc>
          <w:tcPr>
            <w:tcW w:w="5751" w:type="dxa"/>
            <w:tcBorders>
              <w:top w:val="nil"/>
              <w:left w:val="nil"/>
              <w:bottom w:val="single" w:sz="4" w:space="0" w:color="auto"/>
              <w:right w:val="nil"/>
            </w:tcBorders>
            <w:shd w:val="clear" w:color="auto" w:fill="auto"/>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 xml:space="preserve">    Внос на стоки и услуги</w:t>
            </w:r>
          </w:p>
        </w:tc>
        <w:tc>
          <w:tcPr>
            <w:tcW w:w="961" w:type="dxa"/>
            <w:tcBorders>
              <w:top w:val="nil"/>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-0,3</w:t>
            </w:r>
          </w:p>
        </w:tc>
        <w:tc>
          <w:tcPr>
            <w:tcW w:w="1180" w:type="dxa"/>
            <w:tcBorders>
              <w:top w:val="nil"/>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-0,6</w:t>
            </w:r>
          </w:p>
        </w:tc>
        <w:tc>
          <w:tcPr>
            <w:tcW w:w="1180" w:type="dxa"/>
            <w:tcBorders>
              <w:top w:val="nil"/>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-0,7</w:t>
            </w:r>
          </w:p>
        </w:tc>
      </w:tr>
      <w:tr w:rsidR="002346B9" w:rsidRPr="00FB0048" w:rsidTr="007027DF">
        <w:trPr>
          <w:trHeight w:val="302"/>
          <w:jc w:val="center"/>
        </w:trPr>
        <w:tc>
          <w:tcPr>
            <w:tcW w:w="5751"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2346B9">
            <w:pPr>
              <w:spacing w:after="0"/>
              <w:rPr>
                <w:rFonts w:eastAsia="Times New Roman" w:cs="Times New Roman"/>
                <w:color w:val="000000"/>
                <w:sz w:val="22"/>
              </w:rPr>
            </w:pPr>
            <w:r w:rsidRPr="00FB0048">
              <w:rPr>
                <w:rFonts w:eastAsia="Times New Roman" w:cs="Times New Roman"/>
                <w:b/>
                <w:bCs/>
                <w:color w:val="000000"/>
                <w:sz w:val="22"/>
              </w:rPr>
              <w:t>Пазар на труда и цени</w:t>
            </w:r>
          </w:p>
        </w:tc>
        <w:tc>
          <w:tcPr>
            <w:tcW w:w="961" w:type="dxa"/>
            <w:tcBorders>
              <w:top w:val="single" w:sz="4" w:space="0" w:color="auto"/>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p>
        </w:tc>
      </w:tr>
      <w:tr w:rsidR="002346B9" w:rsidRPr="00FB0048" w:rsidTr="007027DF">
        <w:trPr>
          <w:trHeight w:val="302"/>
          <w:jc w:val="center"/>
        </w:trPr>
        <w:tc>
          <w:tcPr>
            <w:tcW w:w="5751" w:type="dxa"/>
            <w:tcBorders>
              <w:top w:val="single" w:sz="4" w:space="0" w:color="auto"/>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Заетост (ЕСС 2010) (%)</w:t>
            </w:r>
          </w:p>
        </w:tc>
        <w:tc>
          <w:tcPr>
            <w:tcW w:w="961" w:type="dxa"/>
            <w:tcBorders>
              <w:top w:val="single" w:sz="4" w:space="0" w:color="auto"/>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-0,4</w:t>
            </w:r>
          </w:p>
        </w:tc>
        <w:tc>
          <w:tcPr>
            <w:tcW w:w="1180" w:type="dxa"/>
            <w:tcBorders>
              <w:top w:val="single" w:sz="4" w:space="0" w:color="auto"/>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-0,3</w:t>
            </w:r>
          </w:p>
        </w:tc>
        <w:tc>
          <w:tcPr>
            <w:tcW w:w="1180" w:type="dxa"/>
            <w:tcBorders>
              <w:top w:val="single" w:sz="4" w:space="0" w:color="auto"/>
              <w:left w:val="nil"/>
              <w:bottom w:val="nil"/>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1</w:t>
            </w:r>
          </w:p>
        </w:tc>
      </w:tr>
      <w:tr w:rsidR="002346B9" w:rsidRPr="00FB0048" w:rsidTr="007027DF">
        <w:trPr>
          <w:trHeight w:val="302"/>
          <w:jc w:val="center"/>
        </w:trPr>
        <w:tc>
          <w:tcPr>
            <w:tcW w:w="5751" w:type="dxa"/>
            <w:tcBorders>
              <w:top w:val="nil"/>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Коефициент на безработица (НРС) (%)</w:t>
            </w:r>
          </w:p>
        </w:tc>
        <w:tc>
          <w:tcPr>
            <w:tcW w:w="961" w:type="dxa"/>
            <w:tcBorders>
              <w:top w:val="nil"/>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0,3</w:t>
            </w:r>
          </w:p>
        </w:tc>
        <w:tc>
          <w:tcPr>
            <w:tcW w:w="1180" w:type="dxa"/>
            <w:tcBorders>
              <w:top w:val="nil"/>
              <w:left w:val="nil"/>
              <w:bottom w:val="nil"/>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3</w:t>
            </w:r>
          </w:p>
        </w:tc>
      </w:tr>
      <w:tr w:rsidR="002346B9" w:rsidRPr="00FB0048" w:rsidTr="007027DF">
        <w:trPr>
          <w:trHeight w:val="302"/>
          <w:jc w:val="center"/>
        </w:trPr>
        <w:tc>
          <w:tcPr>
            <w:tcW w:w="5751" w:type="dxa"/>
            <w:tcBorders>
              <w:top w:val="nil"/>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Компенсации на един нает (%)</w:t>
            </w:r>
          </w:p>
        </w:tc>
        <w:tc>
          <w:tcPr>
            <w:tcW w:w="961" w:type="dxa"/>
            <w:tcBorders>
              <w:top w:val="nil"/>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0,0</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0,1</w:t>
            </w:r>
          </w:p>
        </w:tc>
        <w:tc>
          <w:tcPr>
            <w:tcW w:w="1180" w:type="dxa"/>
            <w:tcBorders>
              <w:top w:val="nil"/>
              <w:left w:val="nil"/>
              <w:bottom w:val="nil"/>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0</w:t>
            </w:r>
          </w:p>
        </w:tc>
      </w:tr>
      <w:tr w:rsidR="002346B9" w:rsidRPr="00FB0048" w:rsidTr="007027DF">
        <w:trPr>
          <w:trHeight w:val="302"/>
          <w:jc w:val="center"/>
        </w:trPr>
        <w:tc>
          <w:tcPr>
            <w:tcW w:w="5751" w:type="dxa"/>
            <w:tcBorders>
              <w:top w:val="nil"/>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Дефлатор на БВП (%)</w:t>
            </w:r>
          </w:p>
        </w:tc>
        <w:tc>
          <w:tcPr>
            <w:tcW w:w="961" w:type="dxa"/>
            <w:tcBorders>
              <w:top w:val="nil"/>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-0,1</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nil"/>
              <w:left w:val="nil"/>
              <w:bottom w:val="nil"/>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1</w:t>
            </w:r>
          </w:p>
        </w:tc>
      </w:tr>
      <w:tr w:rsidR="002346B9" w:rsidRPr="00FB0048" w:rsidTr="007027DF">
        <w:trPr>
          <w:trHeight w:val="302"/>
          <w:jc w:val="center"/>
        </w:trPr>
        <w:tc>
          <w:tcPr>
            <w:tcW w:w="5751" w:type="dxa"/>
            <w:tcBorders>
              <w:top w:val="nil"/>
              <w:left w:val="nil"/>
              <w:bottom w:val="single" w:sz="4" w:space="0" w:color="auto"/>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Средногодишна инфлация (ХИПЦ) (%)</w:t>
            </w:r>
          </w:p>
        </w:tc>
        <w:tc>
          <w:tcPr>
            <w:tcW w:w="961" w:type="dxa"/>
            <w:tcBorders>
              <w:top w:val="nil"/>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0,4</w:t>
            </w:r>
          </w:p>
        </w:tc>
        <w:tc>
          <w:tcPr>
            <w:tcW w:w="1180" w:type="dxa"/>
            <w:tcBorders>
              <w:top w:val="nil"/>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0,3</w:t>
            </w:r>
          </w:p>
        </w:tc>
        <w:tc>
          <w:tcPr>
            <w:tcW w:w="1180" w:type="dxa"/>
            <w:tcBorders>
              <w:top w:val="nil"/>
              <w:left w:val="nil"/>
              <w:bottom w:val="single" w:sz="4" w:space="0" w:color="auto"/>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2</w:t>
            </w:r>
          </w:p>
        </w:tc>
      </w:tr>
      <w:tr w:rsidR="002346B9" w:rsidRPr="00FB0048" w:rsidTr="007027DF">
        <w:trPr>
          <w:trHeight w:val="302"/>
          <w:jc w:val="center"/>
        </w:trPr>
        <w:tc>
          <w:tcPr>
            <w:tcW w:w="5751"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2346B9">
            <w:pPr>
              <w:spacing w:after="0"/>
              <w:rPr>
                <w:rFonts w:eastAsia="Times New Roman" w:cs="Times New Roman"/>
                <w:color w:val="000000"/>
                <w:sz w:val="22"/>
              </w:rPr>
            </w:pPr>
            <w:r w:rsidRPr="00FB0048">
              <w:rPr>
                <w:rFonts w:eastAsia="Times New Roman" w:cs="Times New Roman"/>
                <w:b/>
                <w:bCs/>
                <w:color w:val="000000"/>
                <w:sz w:val="22"/>
              </w:rPr>
              <w:t>Платежен баланс</w:t>
            </w:r>
          </w:p>
        </w:tc>
        <w:tc>
          <w:tcPr>
            <w:tcW w:w="961" w:type="dxa"/>
            <w:tcBorders>
              <w:top w:val="single" w:sz="4" w:space="0" w:color="auto"/>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p>
        </w:tc>
      </w:tr>
      <w:tr w:rsidR="002346B9" w:rsidRPr="00FB0048" w:rsidTr="007027DF">
        <w:trPr>
          <w:trHeight w:val="302"/>
          <w:jc w:val="center"/>
        </w:trPr>
        <w:tc>
          <w:tcPr>
            <w:tcW w:w="5751" w:type="dxa"/>
            <w:tcBorders>
              <w:top w:val="single" w:sz="4" w:space="0" w:color="auto"/>
              <w:left w:val="nil"/>
              <w:bottom w:val="single" w:sz="4" w:space="0" w:color="auto"/>
              <w:right w:val="nil"/>
            </w:tcBorders>
            <w:shd w:val="clear" w:color="auto" w:fill="auto"/>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Текуща сметка (% от БВП)</w:t>
            </w:r>
          </w:p>
        </w:tc>
        <w:tc>
          <w:tcPr>
            <w:tcW w:w="961" w:type="dxa"/>
            <w:tcBorders>
              <w:top w:val="single" w:sz="4" w:space="0" w:color="auto"/>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-0,8</w:t>
            </w: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-0,5</w:t>
            </w: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1</w:t>
            </w:r>
          </w:p>
        </w:tc>
      </w:tr>
      <w:tr w:rsidR="002346B9" w:rsidRPr="00FB0048" w:rsidTr="007027DF">
        <w:trPr>
          <w:trHeight w:val="302"/>
          <w:jc w:val="center"/>
        </w:trPr>
        <w:tc>
          <w:tcPr>
            <w:tcW w:w="5751"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2346B9">
            <w:pPr>
              <w:spacing w:after="0"/>
              <w:rPr>
                <w:rFonts w:eastAsia="Times New Roman" w:cs="Times New Roman"/>
                <w:b/>
                <w:bCs/>
                <w:color w:val="000000"/>
                <w:sz w:val="22"/>
              </w:rPr>
            </w:pPr>
            <w:r w:rsidRPr="00FB0048">
              <w:rPr>
                <w:rFonts w:eastAsia="Times New Roman" w:cs="Times New Roman"/>
                <w:b/>
                <w:bCs/>
                <w:color w:val="000000"/>
                <w:sz w:val="22"/>
              </w:rPr>
              <w:t>Бюджетен сектор</w:t>
            </w:r>
          </w:p>
        </w:tc>
        <w:tc>
          <w:tcPr>
            <w:tcW w:w="961" w:type="dxa"/>
            <w:tcBorders>
              <w:top w:val="single" w:sz="4" w:space="0" w:color="auto"/>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b/>
                <w:bCs/>
                <w:color w:val="000000"/>
                <w:sz w:val="22"/>
              </w:rPr>
            </w:pP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sz w:val="22"/>
              </w:rPr>
            </w:pPr>
          </w:p>
        </w:tc>
        <w:tc>
          <w:tcPr>
            <w:tcW w:w="1180" w:type="dxa"/>
            <w:tcBorders>
              <w:top w:val="single" w:sz="4" w:space="0" w:color="auto"/>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sz w:val="22"/>
              </w:rPr>
            </w:pPr>
          </w:p>
        </w:tc>
      </w:tr>
      <w:tr w:rsidR="002346B9" w:rsidRPr="00FB0048" w:rsidTr="007027DF">
        <w:trPr>
          <w:trHeight w:val="302"/>
          <w:jc w:val="center"/>
        </w:trPr>
        <w:tc>
          <w:tcPr>
            <w:tcW w:w="5751" w:type="dxa"/>
            <w:tcBorders>
              <w:top w:val="single" w:sz="4" w:space="0" w:color="auto"/>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Бюджетни приходи (%)</w:t>
            </w:r>
          </w:p>
        </w:tc>
        <w:tc>
          <w:tcPr>
            <w:tcW w:w="961" w:type="dxa"/>
            <w:tcBorders>
              <w:top w:val="single" w:sz="4" w:space="0" w:color="auto"/>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single" w:sz="4" w:space="0" w:color="auto"/>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-0,3</w:t>
            </w:r>
          </w:p>
        </w:tc>
        <w:tc>
          <w:tcPr>
            <w:tcW w:w="1180" w:type="dxa"/>
            <w:tcBorders>
              <w:top w:val="single" w:sz="4" w:space="0" w:color="auto"/>
              <w:left w:val="nil"/>
              <w:bottom w:val="nil"/>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5</w:t>
            </w:r>
          </w:p>
        </w:tc>
      </w:tr>
      <w:tr w:rsidR="002346B9" w:rsidRPr="00FB0048" w:rsidTr="007027DF">
        <w:trPr>
          <w:trHeight w:val="302"/>
          <w:jc w:val="center"/>
        </w:trPr>
        <w:tc>
          <w:tcPr>
            <w:tcW w:w="5751" w:type="dxa"/>
            <w:tcBorders>
              <w:top w:val="nil"/>
              <w:left w:val="nil"/>
              <w:bottom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Бюджетни разходи (%)</w:t>
            </w:r>
          </w:p>
        </w:tc>
        <w:tc>
          <w:tcPr>
            <w:tcW w:w="961" w:type="dxa"/>
            <w:tcBorders>
              <w:top w:val="nil"/>
              <w:left w:val="nil"/>
              <w:bottom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nil"/>
              <w:left w:val="nil"/>
              <w:bottom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nil"/>
              <w:left w:val="nil"/>
              <w:bottom w:val="nil"/>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3</w:t>
            </w:r>
          </w:p>
        </w:tc>
      </w:tr>
      <w:tr w:rsidR="002346B9" w:rsidRPr="00FB0048" w:rsidTr="007027DF">
        <w:trPr>
          <w:trHeight w:val="302"/>
          <w:jc w:val="center"/>
        </w:trPr>
        <w:tc>
          <w:tcPr>
            <w:tcW w:w="5751" w:type="dxa"/>
            <w:tcBorders>
              <w:top w:val="nil"/>
              <w:left w:val="nil"/>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Бюджетен баланс (% от БВП)</w:t>
            </w:r>
          </w:p>
        </w:tc>
        <w:tc>
          <w:tcPr>
            <w:tcW w:w="961" w:type="dxa"/>
            <w:tcBorders>
              <w:top w:val="nil"/>
              <w:left w:val="nil"/>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0,0</w:t>
            </w:r>
          </w:p>
        </w:tc>
        <w:tc>
          <w:tcPr>
            <w:tcW w:w="1180" w:type="dxa"/>
            <w:tcBorders>
              <w:top w:val="nil"/>
              <w:left w:val="nil"/>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0,0</w:t>
            </w:r>
          </w:p>
        </w:tc>
        <w:tc>
          <w:tcPr>
            <w:tcW w:w="1180" w:type="dxa"/>
            <w:tcBorders>
              <w:top w:val="nil"/>
              <w:left w:val="nil"/>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1</w:t>
            </w:r>
          </w:p>
        </w:tc>
      </w:tr>
      <w:tr w:rsidR="002346B9" w:rsidRPr="00FB0048" w:rsidTr="007027DF">
        <w:trPr>
          <w:trHeight w:val="302"/>
          <w:jc w:val="center"/>
        </w:trPr>
        <w:tc>
          <w:tcPr>
            <w:tcW w:w="5751" w:type="dxa"/>
            <w:tcBorders>
              <w:top w:val="nil"/>
              <w:left w:val="nil"/>
              <w:bottom w:val="single" w:sz="4" w:space="0" w:color="auto"/>
              <w:right w:val="nil"/>
            </w:tcBorders>
            <w:shd w:val="clear" w:color="auto" w:fill="auto"/>
            <w:noWrap/>
            <w:vAlign w:val="bottom"/>
            <w:hideMark/>
          </w:tcPr>
          <w:p w:rsidR="002346B9" w:rsidRPr="00FB0048" w:rsidRDefault="002346B9" w:rsidP="002346B9">
            <w:pPr>
              <w:spacing w:after="0"/>
              <w:ind w:firstLineChars="100" w:firstLine="220"/>
              <w:rPr>
                <w:rFonts w:eastAsia="Times New Roman" w:cs="Times New Roman"/>
                <w:color w:val="000000"/>
                <w:sz w:val="22"/>
              </w:rPr>
            </w:pPr>
            <w:r w:rsidRPr="00FB0048">
              <w:rPr>
                <w:rFonts w:eastAsia="Times New Roman" w:cs="Times New Roman"/>
                <w:color w:val="000000"/>
                <w:sz w:val="22"/>
              </w:rPr>
              <w:t>Държавен дълг (% от БВП)</w:t>
            </w:r>
          </w:p>
        </w:tc>
        <w:tc>
          <w:tcPr>
            <w:tcW w:w="961" w:type="dxa"/>
            <w:tcBorders>
              <w:top w:val="nil"/>
              <w:left w:val="nil"/>
              <w:bottom w:val="single" w:sz="4" w:space="0" w:color="auto"/>
              <w:right w:val="nil"/>
            </w:tcBorders>
            <w:shd w:val="clear" w:color="auto" w:fill="F2F2F2" w:themeFill="background1" w:themeFillShade="F2"/>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nil"/>
              <w:left w:val="nil"/>
              <w:bottom w:val="single" w:sz="4" w:space="0" w:color="auto"/>
              <w:right w:val="nil"/>
            </w:tcBorders>
            <w:shd w:val="clear" w:color="auto" w:fill="auto"/>
            <w:noWrap/>
            <w:vAlign w:val="bottom"/>
            <w:hideMark/>
          </w:tcPr>
          <w:p w:rsidR="002346B9" w:rsidRPr="00FB0048" w:rsidRDefault="002346B9" w:rsidP="00FB0048">
            <w:pPr>
              <w:spacing w:after="0"/>
              <w:jc w:val="right"/>
              <w:rPr>
                <w:rFonts w:eastAsia="Times New Roman" w:cs="Times New Roman"/>
                <w:color w:val="000000"/>
                <w:sz w:val="22"/>
              </w:rPr>
            </w:pPr>
            <w:r w:rsidRPr="00FB0048">
              <w:rPr>
                <w:rFonts w:eastAsia="Times New Roman" w:cs="Times New Roman"/>
                <w:color w:val="000000"/>
                <w:sz w:val="22"/>
              </w:rPr>
              <w:t>0,2</w:t>
            </w:r>
          </w:p>
        </w:tc>
        <w:tc>
          <w:tcPr>
            <w:tcW w:w="1180" w:type="dxa"/>
            <w:tcBorders>
              <w:top w:val="nil"/>
              <w:left w:val="nil"/>
              <w:bottom w:val="single" w:sz="4" w:space="0" w:color="auto"/>
              <w:right w:val="nil"/>
            </w:tcBorders>
            <w:shd w:val="clear" w:color="auto" w:fill="auto"/>
            <w:noWrap/>
            <w:vAlign w:val="bottom"/>
            <w:hideMark/>
          </w:tcPr>
          <w:p w:rsidR="002346B9" w:rsidRPr="00FB0048" w:rsidRDefault="00EE09BF" w:rsidP="00FB0048">
            <w:pPr>
              <w:spacing w:after="0"/>
              <w:jc w:val="right"/>
              <w:rPr>
                <w:rFonts w:eastAsia="Times New Roman" w:cs="Times New Roman"/>
                <w:color w:val="000000"/>
                <w:sz w:val="22"/>
              </w:rPr>
            </w:pPr>
            <w:r w:rsidRPr="00FB0048">
              <w:rPr>
                <w:rFonts w:eastAsia="Times New Roman" w:cs="Times New Roman"/>
                <w:color w:val="000000"/>
                <w:sz w:val="22"/>
              </w:rPr>
              <w:t>0,</w:t>
            </w:r>
            <w:r w:rsidR="002346B9" w:rsidRPr="00FB0048">
              <w:rPr>
                <w:rFonts w:eastAsia="Times New Roman" w:cs="Times New Roman"/>
                <w:color w:val="000000"/>
                <w:sz w:val="22"/>
              </w:rPr>
              <w:t>2</w:t>
            </w:r>
          </w:p>
        </w:tc>
      </w:tr>
    </w:tbl>
    <w:p w:rsidR="00EE09BF" w:rsidRDefault="00EE09BF" w:rsidP="00BB543F">
      <w:pPr>
        <w:rPr>
          <w:highlight w:val="yellow"/>
        </w:rPr>
      </w:pPr>
    </w:p>
    <w:p w:rsidR="00EE09BF" w:rsidRDefault="00EE09BF" w:rsidP="00EE09BF">
      <w:r>
        <w:t>По-слабото нарастване на приходите на фирмите от износ ще ограничат растежа на потреблението на домакинствата и ще доведат до забавяне на икономическата активност в страната през 2020 г. Икономическият растеж, от своя страна, е основен двигател на частните инвестиции, които ще се забавят с лаг във времето и ще бъдат по-ниски през следващите две години. Негативният ефект върху вътрешното търсене ще остане значителен през 2021-2022 г. Това, от своя страна ще доведе и до понижение на вноса спрямо базовия сценарий през целия прогнозен хоризонт. Негативният ефект върху БВП по линия на нетния износ, спрямо базовия сценарий, постепенно ще започне да намалява в края на прогнозния период.</w:t>
      </w:r>
    </w:p>
    <w:p w:rsidR="00EE09BF" w:rsidRDefault="00EE09BF" w:rsidP="00EE09BF">
      <w:r>
        <w:t>В резултат от по-ниския темп на нарастване на икономическата активност в страната, динамиката на заетостта също се очаква да бъде по-слаба в сравнение с базовия сценарий през целия симулационен прогнозен хоризонт. Разликата е най-съществена през 2020 г., когато се променя и профилът на очакваното развитие към годишно намаление на заетите, в сравнение с очакваното им повишение в основния сценарий. През следващите две години по</w:t>
      </w:r>
      <w:r w:rsidR="00C80322" w:rsidRPr="00C80322">
        <w:t>-негативната динамика</w:t>
      </w:r>
      <w:r>
        <w:t xml:space="preserve"> на заетостта в алтернативния сценарий постепенно се ограничава, в синхрон с отслабването на ефектите върху растежа на БВП. Успоредно с по-ниската очаквана заетост, нивото на безработица остава с между 0,2 и 0,3 пр.п. по-високо в сравнение с базовия сценарий. Динамиката на компенсацията на един нает не се различава съществено от очакванията в основния сценарий, тъй като по-ниският темп на нарастване на компенсациите, който възлиза на -0,3, -0,1 и 0,0 пр.п. през трите симулационни години се обуславя почти изцяло от по-</w:t>
      </w:r>
      <w:r w:rsidR="00C80322" w:rsidRPr="00C80322">
        <w:t>негативната динамика</w:t>
      </w:r>
      <w:r w:rsidR="00C80322">
        <w:t xml:space="preserve"> </w:t>
      </w:r>
      <w:r>
        <w:t xml:space="preserve">на наетите в алтернативния сценарий. С други думи, ефектите от </w:t>
      </w:r>
      <w:r w:rsidR="00C74747">
        <w:t>„</w:t>
      </w:r>
      <w:r>
        <w:t>шока</w:t>
      </w:r>
      <w:r w:rsidR="00C74747">
        <w:t>“</w:t>
      </w:r>
      <w:r>
        <w:t xml:space="preserve"> върху компенсациите преминават основно през редукция на наетите.</w:t>
      </w:r>
    </w:p>
    <w:p w:rsidR="00EE09BF" w:rsidRDefault="00EE09BF" w:rsidP="00EE09BF">
      <w:pPr>
        <w:rPr>
          <w:highlight w:val="yellow"/>
        </w:rPr>
      </w:pPr>
      <w:r>
        <w:t>Обезценяването на еврото (респ. лева) спрямо долара ще се отрази в по-високи ценови дефлатори, най-вече при вноса на стоки, което ще се отрази и в покачване на потребителските цени. През 2020 г. разликата между номиналния растеж на вноса и износа ще нарасне, което ще увеличи търговския дефицит. Резултат</w:t>
      </w:r>
      <w:r w:rsidR="00547C8E">
        <w:t>ът</w:t>
      </w:r>
      <w:r>
        <w:t xml:space="preserve"> ще бъде намаление на излишъка по текущата сметка. През 2021-2022 г., под влияние на по-слабото вътрешно търсене, реалният и номиналният внос на стоки ще нарастват с темпове по-ниски спрямо базисния сценарий. Това ще ограничи негативните ефекти върху баланса по текущата сметка през 2022 г.</w:t>
      </w:r>
    </w:p>
    <w:p w:rsidR="00E46B2B" w:rsidRPr="002204A0" w:rsidRDefault="001A0295" w:rsidP="00A23D73">
      <w:pPr>
        <w:pStyle w:val="Heading3"/>
        <w:ind w:left="709" w:hanging="567"/>
        <w:jc w:val="both"/>
      </w:pPr>
      <w:r>
        <w:t>Ч</w:t>
      </w:r>
      <w:r w:rsidR="00E46B2B" w:rsidRPr="002204A0">
        <w:t>увствителност на прогнозите към алтернативния сценарий</w:t>
      </w:r>
    </w:p>
    <w:p w:rsidR="00F75108" w:rsidRPr="00F75108" w:rsidRDefault="00F75108" w:rsidP="00F75108">
      <w:pPr>
        <w:rPr>
          <w:rFonts w:eastAsia="Batang"/>
        </w:rPr>
      </w:pPr>
      <w:r w:rsidRPr="00F75108">
        <w:rPr>
          <w:rFonts w:eastAsia="Batang"/>
        </w:rPr>
        <w:t xml:space="preserve">Анализът на чувствителността представя промяната върху основни бюджетни параметри, която би настъпила при реализиране на алтернативния макроикономически сценарий с по-слаб икономически растеж на ЕС и на други държави, основни търговски партньори на България, които </w:t>
      </w:r>
      <w:r w:rsidR="00547C8E">
        <w:rPr>
          <w:rFonts w:eastAsia="Batang"/>
        </w:rPr>
        <w:t>с</w:t>
      </w:r>
      <w:r w:rsidRPr="00F75108">
        <w:rPr>
          <w:rFonts w:eastAsia="Batang"/>
        </w:rPr>
        <w:t>а важни за динамиката на износа.</w:t>
      </w:r>
    </w:p>
    <w:p w:rsidR="00620502" w:rsidRPr="00183E02" w:rsidRDefault="00F75108" w:rsidP="00AA7B68">
      <w:pPr>
        <w:rPr>
          <w:rFonts w:eastAsia="Batang"/>
          <w:highlight w:val="yellow"/>
        </w:rPr>
      </w:pPr>
      <w:r w:rsidRPr="00F75108">
        <w:rPr>
          <w:rFonts w:eastAsia="Batang"/>
        </w:rPr>
        <w:t xml:space="preserve">При </w:t>
      </w:r>
      <w:r w:rsidR="00E420F8">
        <w:rPr>
          <w:rFonts w:eastAsia="Batang"/>
        </w:rPr>
        <w:t xml:space="preserve">алтернативния </w:t>
      </w:r>
      <w:r w:rsidRPr="00F75108">
        <w:rPr>
          <w:rFonts w:eastAsia="Batang"/>
        </w:rPr>
        <w:t>сценари</w:t>
      </w:r>
      <w:r w:rsidR="00E420F8">
        <w:rPr>
          <w:rFonts w:eastAsia="Batang"/>
        </w:rPr>
        <w:t>й</w:t>
      </w:r>
      <w:r>
        <w:rPr>
          <w:rFonts w:eastAsia="Batang"/>
        </w:rPr>
        <w:t>, БВП е по-нисък номинално с 0,</w:t>
      </w:r>
      <w:r w:rsidRPr="00F75108">
        <w:rPr>
          <w:rFonts w:eastAsia="Batang"/>
        </w:rPr>
        <w:t>7% през 2020 г., а общите</w:t>
      </w:r>
      <w:r>
        <w:rPr>
          <w:rFonts w:eastAsia="Batang"/>
        </w:rPr>
        <w:t xml:space="preserve"> бюджетни приходи намаляват с 0,</w:t>
      </w:r>
      <w:r w:rsidRPr="00F75108">
        <w:rPr>
          <w:rFonts w:eastAsia="Batang"/>
        </w:rPr>
        <w:t>2%, поради по-ниски данъчни постъпления. Публичното потребление и инвестиции също са по-ниски в текущата година (</w:t>
      </w:r>
      <w:r>
        <w:rPr>
          <w:rFonts w:eastAsia="Batang"/>
        </w:rPr>
        <w:t>съответно с 0,4% и 0,</w:t>
      </w:r>
      <w:r w:rsidRPr="00F75108">
        <w:rPr>
          <w:rFonts w:eastAsia="Batang"/>
        </w:rPr>
        <w:t xml:space="preserve">2% в номинално изражение). </w:t>
      </w:r>
      <w:r>
        <w:rPr>
          <w:rFonts w:eastAsia="Batang"/>
        </w:rPr>
        <w:t>Общо разходите ще намаляват с 0,</w:t>
      </w:r>
      <w:r w:rsidRPr="00F75108">
        <w:rPr>
          <w:rFonts w:eastAsia="Batang"/>
        </w:rPr>
        <w:t>2%, поради обвързаността с реалния сектор и някои показатели от пазара на труда. При запазване на разходната политика на правителството от базовия сценарий, реализирането на алтернативния не води до влошаване на бюджетното салдо. През 2021 и 2022 г. симулациите предполагат по-нисък спрямо базови</w:t>
      </w:r>
      <w:r>
        <w:rPr>
          <w:rFonts w:eastAsia="Batang"/>
        </w:rPr>
        <w:t>я сценарий номинален БВП с по 0,</w:t>
      </w:r>
      <w:r w:rsidRPr="00F75108">
        <w:rPr>
          <w:rFonts w:eastAsia="Batang"/>
        </w:rPr>
        <w:t>9% на година, което се отразява в по-ниски бюджетни постъ</w:t>
      </w:r>
      <w:r>
        <w:rPr>
          <w:rFonts w:eastAsia="Batang"/>
        </w:rPr>
        <w:t>пления, съответно в размер на 0,3 и 0,</w:t>
      </w:r>
      <w:r w:rsidRPr="00F75108">
        <w:rPr>
          <w:rFonts w:eastAsia="Batang"/>
        </w:rPr>
        <w:t>5% в алтернативния спрямо базовия сценарий. Потреблението и инвестициите на правителството ще бъдат по-ниски спрямо</w:t>
      </w:r>
      <w:r>
        <w:rPr>
          <w:rFonts w:eastAsia="Batang"/>
        </w:rPr>
        <w:t xml:space="preserve"> основния сценарий с по около 0,</w:t>
      </w:r>
      <w:r w:rsidRPr="00F75108">
        <w:rPr>
          <w:rFonts w:eastAsia="Batang"/>
        </w:rPr>
        <w:t>4% на година. Ефектите върху бюджетното салдо са незначителни и в последните две години от прогнозния период, но държа</w:t>
      </w:r>
      <w:r>
        <w:rPr>
          <w:rFonts w:eastAsia="Batang"/>
        </w:rPr>
        <w:t>вният дълг се увеличава с по 0,</w:t>
      </w:r>
      <w:r w:rsidRPr="00F75108">
        <w:rPr>
          <w:rFonts w:eastAsia="Batang"/>
        </w:rPr>
        <w:t>2 пр.п. от БВП за всяка от годините, поради намалението на номиналн</w:t>
      </w:r>
      <w:r w:rsidR="00E34F4D">
        <w:rPr>
          <w:rFonts w:eastAsia="Batang"/>
        </w:rPr>
        <w:t>ия</w:t>
      </w:r>
      <w:r w:rsidRPr="00F75108">
        <w:rPr>
          <w:rFonts w:eastAsia="Batang"/>
        </w:rPr>
        <w:t xml:space="preserve"> БВП.  </w:t>
      </w:r>
    </w:p>
    <w:p w:rsidR="00836311" w:rsidRPr="00BC7843" w:rsidRDefault="00E36533" w:rsidP="00DE2BDB">
      <w:pPr>
        <w:pStyle w:val="Heading2"/>
      </w:pPr>
      <w:bookmarkStart w:id="742" w:name="_Toc464224821"/>
      <w:bookmarkStart w:id="743" w:name="_Toc464225471"/>
      <w:bookmarkStart w:id="744" w:name="_Toc464459018"/>
      <w:bookmarkStart w:id="745" w:name="_Toc464459766"/>
      <w:bookmarkStart w:id="746" w:name="_Toc464460719"/>
      <w:bookmarkStart w:id="747" w:name="_Toc464463118"/>
      <w:bookmarkStart w:id="748" w:name="_Toc464464947"/>
      <w:bookmarkStart w:id="749" w:name="_Toc464465454"/>
      <w:bookmarkStart w:id="750" w:name="_Toc464465642"/>
      <w:bookmarkStart w:id="751" w:name="_Toc464466465"/>
      <w:bookmarkStart w:id="752" w:name="_Toc464466709"/>
      <w:bookmarkStart w:id="753" w:name="_Toc464645030"/>
      <w:bookmarkStart w:id="754" w:name="_Toc465205578"/>
      <w:bookmarkStart w:id="755" w:name="_Toc23337495"/>
      <w:r w:rsidRPr="00BC7843">
        <w:t>ПРОЦЕДУРИ И КАЧЕСТВО НА ПУБЛИЧНИТЕ ФИНАНСИ</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p>
    <w:p w:rsidR="00724B97" w:rsidRPr="00A23D73" w:rsidRDefault="00F71641" w:rsidP="00A23D73">
      <w:pPr>
        <w:pStyle w:val="Heading3"/>
        <w:ind w:left="709" w:hanging="567"/>
        <w:jc w:val="both"/>
      </w:pPr>
      <w:bookmarkStart w:id="756" w:name="_Toc465070529"/>
      <w:bookmarkStart w:id="757" w:name="_Toc465205579"/>
      <w:r>
        <w:t>Бюджетна процедура за 2020</w:t>
      </w:r>
      <w:r w:rsidR="00AA3035" w:rsidRPr="00A23D73">
        <w:t> г.</w:t>
      </w:r>
      <w:bookmarkEnd w:id="756"/>
      <w:bookmarkEnd w:id="757"/>
    </w:p>
    <w:p w:rsidR="006737FC" w:rsidRDefault="006737FC" w:rsidP="006737FC">
      <w:pPr>
        <w:rPr>
          <w:rFonts w:eastAsia="Batang"/>
        </w:rPr>
      </w:pPr>
      <w:r w:rsidRPr="0022293F">
        <w:rPr>
          <w:rFonts w:eastAsia="Batang"/>
        </w:rPr>
        <w:t xml:space="preserve">Бюджетната процедура за 2020 г. беше изготвена съгласно правилата и изискванията на ЗПФ, като при нейната подготовка бяха отразени заложените изисквания за структурата и съдържанието на ключовите бюджетни документи и сроковете за тяхното приемане. Процедурата е </w:t>
      </w:r>
      <w:r w:rsidR="00CB524D">
        <w:rPr>
          <w:rFonts w:eastAsia="Batang"/>
        </w:rPr>
        <w:t>приета</w:t>
      </w:r>
      <w:r w:rsidRPr="0022293F">
        <w:rPr>
          <w:rFonts w:eastAsia="Batang"/>
        </w:rPr>
        <w:t xml:space="preserve"> с Решение № 52 на Министерския съвет от 31 януари 2019 г.</w:t>
      </w:r>
    </w:p>
    <w:p w:rsidR="006737FC" w:rsidRPr="0022293F" w:rsidRDefault="006737FC" w:rsidP="006737FC">
      <w:pPr>
        <w:rPr>
          <w:rFonts w:eastAsia="Batang"/>
        </w:rPr>
      </w:pPr>
      <w:r w:rsidRPr="008D6FAB">
        <w:rPr>
          <w:rFonts w:eastAsia="Batang"/>
        </w:rPr>
        <w:t>Планираните срокове за подготовката на бюджетните документи бяха синхронизирани с Европейския семестър за 2019 г. с цел постигане на необходимата координация на икономическите и фискалните политики в Европейския съюз и създаване на условия за по-добро хармонизиране на целите на националните политики по отношение на бюджета, растежа и заетостта, спрямо тези, които са определени на ниво ЕС, както и за отразяване в рамките на бюджетния процес на препоръките и мнението на Европейската комисия/Съвета.</w:t>
      </w:r>
      <w:r w:rsidR="00E420F8">
        <w:rPr>
          <w:rFonts w:eastAsia="Batang"/>
        </w:rPr>
        <w:t xml:space="preserve"> </w:t>
      </w:r>
      <w:r w:rsidRPr="0022293F">
        <w:rPr>
          <w:rFonts w:eastAsia="Batang"/>
        </w:rPr>
        <w:t>От гледна точка на обхват и участници в бюджетния процес в процедурата са определени отговорностите на всички институции (бюджетни организации), чиито бюджети са част от консолидираната фискална програма, но също и на други юридически лица, които попадат в обхвата на сектор „Държавно управление“.</w:t>
      </w:r>
    </w:p>
    <w:p w:rsidR="006737FC" w:rsidRPr="0022293F" w:rsidRDefault="006737FC" w:rsidP="006737FC">
      <w:pPr>
        <w:rPr>
          <w:rFonts w:eastAsia="Batang"/>
        </w:rPr>
      </w:pPr>
      <w:r w:rsidRPr="0022293F">
        <w:rPr>
          <w:rFonts w:eastAsia="Batang"/>
        </w:rPr>
        <w:t>Нов момент в бюджетната процедура за 2020 г. е разширяването на обхвата на бюджетните организации, които прилагат програмен формат на бюджет. В съответствие с правомощието по чл. 67, ал. 4 от ЗПФ, с решението за бюджетната процедура за 2020 г. Министерският съвет определи, освен министерствата и държавните агенции, и останалите ПРБ, чиито бюджети са част от държавния бюджет (с изключение на бюджетите на съдебната власт и на Сметната палата), да прилагат програмен формат на бюджет за 2020 г. Новоопределените да прилагат програмен формат на бюджет ПРБ формулира</w:t>
      </w:r>
      <w:r>
        <w:rPr>
          <w:rFonts w:eastAsia="Batang"/>
        </w:rPr>
        <w:t>ха</w:t>
      </w:r>
      <w:r w:rsidRPr="0022293F">
        <w:rPr>
          <w:rFonts w:eastAsia="Batang"/>
        </w:rPr>
        <w:t xml:space="preserve"> функционални области и бюджетни програми, както и показатели за измерване на изпълнението по предоставените по бюджетните програми продукти/услуги в обхвата на тяхната компетентност и отговорност</w:t>
      </w:r>
      <w:r>
        <w:rPr>
          <w:rFonts w:eastAsia="Batang"/>
        </w:rPr>
        <w:t>, които бяха база за разширяване на програмната класификация</w:t>
      </w:r>
      <w:r w:rsidRPr="0022293F">
        <w:rPr>
          <w:rFonts w:eastAsia="Batang"/>
        </w:rPr>
        <w:t>. Очакванията са този процес да повиши достъпността и прозрачността на информацията относно изпълнението на функциите на бюджетните организации и приноса им към ползите за обществото</w:t>
      </w:r>
      <w:r w:rsidR="00524048">
        <w:rPr>
          <w:rFonts w:eastAsia="Batang"/>
        </w:rPr>
        <w:t>.</w:t>
      </w:r>
    </w:p>
    <w:p w:rsidR="006737FC" w:rsidRPr="0022293F" w:rsidRDefault="006737FC" w:rsidP="006737FC">
      <w:pPr>
        <w:rPr>
          <w:rFonts w:eastAsia="Batang"/>
        </w:rPr>
      </w:pPr>
      <w:r w:rsidRPr="0022293F">
        <w:rPr>
          <w:rFonts w:eastAsia="Batang"/>
        </w:rPr>
        <w:t xml:space="preserve">Процедурата за 2020 г. е разделена на два основни етапа. </w:t>
      </w:r>
    </w:p>
    <w:p w:rsidR="009664E7" w:rsidRPr="0022293F" w:rsidRDefault="006737FC" w:rsidP="009664E7">
      <w:pPr>
        <w:rPr>
          <w:rFonts w:eastAsia="Batang"/>
        </w:rPr>
      </w:pPr>
      <w:r w:rsidRPr="0022293F">
        <w:rPr>
          <w:rFonts w:eastAsia="Batang"/>
          <w:b/>
          <w:i/>
        </w:rPr>
        <w:t>В</w:t>
      </w:r>
      <w:r w:rsidR="00787673" w:rsidRPr="00787673">
        <w:rPr>
          <w:rFonts w:eastAsia="Batang"/>
          <w:b/>
          <w:i/>
        </w:rPr>
        <w:t xml:space="preserve"> </w:t>
      </w:r>
      <w:r w:rsidR="00787673">
        <w:rPr>
          <w:rFonts w:eastAsia="Batang"/>
          <w:b/>
          <w:i/>
        </w:rPr>
        <w:t>рамките на</w:t>
      </w:r>
      <w:r w:rsidRPr="0022293F">
        <w:rPr>
          <w:rFonts w:eastAsia="Batang"/>
          <w:b/>
          <w:i/>
        </w:rPr>
        <w:t xml:space="preserve"> първия етап на процедурата</w:t>
      </w:r>
      <w:r w:rsidRPr="0022293F">
        <w:rPr>
          <w:rFonts w:eastAsia="Batang"/>
        </w:rPr>
        <w:t xml:space="preserve"> </w:t>
      </w:r>
      <w:r w:rsidR="00F91BDB" w:rsidRPr="006D511E">
        <w:rPr>
          <w:rFonts w:eastAsia="Batang"/>
        </w:rPr>
        <w:t xml:space="preserve">с Решение № 195 от 11 април 2019 г. </w:t>
      </w:r>
      <w:r w:rsidRPr="0022293F">
        <w:rPr>
          <w:rFonts w:eastAsia="Batang"/>
        </w:rPr>
        <w:t>Министерският съвет одобр</w:t>
      </w:r>
      <w:r w:rsidR="00524048">
        <w:rPr>
          <w:rFonts w:eastAsia="Batang"/>
        </w:rPr>
        <w:t>и</w:t>
      </w:r>
      <w:r w:rsidRPr="0022293F">
        <w:rPr>
          <w:rFonts w:eastAsia="Batang"/>
        </w:rPr>
        <w:t xml:space="preserve"> средносрочната бюджетна прогноза за периода 2020-2022 г. </w:t>
      </w:r>
      <w:r w:rsidR="00F91BDB" w:rsidRPr="006D511E">
        <w:rPr>
          <w:rFonts w:eastAsia="Batang"/>
        </w:rPr>
        <w:t>С прогнозата беше дефинирана фискалната политика за следващия тригодишен период и перспективите за развитието на публичните финанси, а също така бяха одобрени разходните тавани по бюджетите на първостепенните разпоредители с бюджет, които са база за разработване на проектобюджетите за 2020 г. и актуализираните бюджетни прогнози за 2021 и 2022 г.</w:t>
      </w:r>
      <w:r w:rsidR="00F91BDB">
        <w:rPr>
          <w:rFonts w:eastAsia="Batang"/>
        </w:rPr>
        <w:t xml:space="preserve"> </w:t>
      </w:r>
      <w:r w:rsidR="009664E7">
        <w:rPr>
          <w:rFonts w:eastAsia="Batang"/>
        </w:rPr>
        <w:t>Бюджетната рамка за периода 2020-202</w:t>
      </w:r>
      <w:r w:rsidR="009664E7" w:rsidRPr="006D511E">
        <w:rPr>
          <w:rFonts w:eastAsia="Batang"/>
        </w:rPr>
        <w:t>2 г. беше разработена при спазване на правилата и изискванията, заложени в Закона за публичните финанси и при осигурено съответствие с други важни документи, като Конвергентната програма и Националната програма за реформи по отношение на сроковете и тяхната подготовка и приемане и при еднакви макроикономически и фискални прогнози и допускания.</w:t>
      </w:r>
    </w:p>
    <w:p w:rsidR="00F91BDB" w:rsidRDefault="00F91BDB" w:rsidP="006737FC">
      <w:pPr>
        <w:rPr>
          <w:rFonts w:eastAsia="Batang"/>
        </w:rPr>
      </w:pPr>
      <w:r>
        <w:rPr>
          <w:rFonts w:eastAsia="Batang"/>
        </w:rPr>
        <w:t>С</w:t>
      </w:r>
      <w:r w:rsidRPr="006D511E">
        <w:rPr>
          <w:rFonts w:eastAsia="Batang"/>
        </w:rPr>
        <w:t xml:space="preserve"> Решение № </w:t>
      </w:r>
      <w:r w:rsidR="00AD0C86">
        <w:rPr>
          <w:rFonts w:eastAsia="Batang"/>
        </w:rPr>
        <w:t>208 от 16</w:t>
      </w:r>
      <w:r w:rsidRPr="006D511E">
        <w:rPr>
          <w:rFonts w:eastAsia="Batang"/>
        </w:rPr>
        <w:t xml:space="preserve"> април 2019 г. </w:t>
      </w:r>
      <w:r>
        <w:rPr>
          <w:rFonts w:eastAsia="Batang"/>
        </w:rPr>
        <w:t>Министерският съвет</w:t>
      </w:r>
      <w:r w:rsidRPr="0022293F">
        <w:rPr>
          <w:rFonts w:eastAsia="Batang"/>
        </w:rPr>
        <w:t xml:space="preserve"> прие стандартите за делегираните от държавата дейности с натурални и стойностни показатели през 2020 г</w:t>
      </w:r>
      <w:r>
        <w:rPr>
          <w:rFonts w:eastAsia="Batang"/>
        </w:rPr>
        <w:t>.</w:t>
      </w:r>
    </w:p>
    <w:p w:rsidR="009837EE" w:rsidRDefault="00F91BDB" w:rsidP="006737FC">
      <w:pPr>
        <w:rPr>
          <w:rFonts w:eastAsia="Batang"/>
        </w:rPr>
      </w:pPr>
      <w:r>
        <w:rPr>
          <w:rFonts w:eastAsia="Batang"/>
        </w:rPr>
        <w:t>С</w:t>
      </w:r>
      <w:r w:rsidRPr="006D511E">
        <w:rPr>
          <w:rFonts w:eastAsia="Batang"/>
        </w:rPr>
        <w:t xml:space="preserve"> Решение № </w:t>
      </w:r>
      <w:r>
        <w:rPr>
          <w:rFonts w:eastAsia="Batang"/>
        </w:rPr>
        <w:t xml:space="preserve">298 </w:t>
      </w:r>
      <w:r w:rsidRPr="006D511E">
        <w:rPr>
          <w:rFonts w:eastAsia="Batang"/>
        </w:rPr>
        <w:t xml:space="preserve">от </w:t>
      </w:r>
      <w:r w:rsidR="00A13703" w:rsidRPr="00A13703">
        <w:rPr>
          <w:rFonts w:eastAsia="Batang"/>
        </w:rPr>
        <w:t>22 май</w:t>
      </w:r>
      <w:r w:rsidRPr="00A13703">
        <w:rPr>
          <w:rFonts w:eastAsia="Batang"/>
        </w:rPr>
        <w:t xml:space="preserve"> </w:t>
      </w:r>
      <w:r w:rsidRPr="006D511E">
        <w:rPr>
          <w:rFonts w:eastAsia="Batang"/>
        </w:rPr>
        <w:t xml:space="preserve">2019 г. </w:t>
      </w:r>
      <w:r>
        <w:rPr>
          <w:rFonts w:eastAsia="Batang"/>
        </w:rPr>
        <w:t xml:space="preserve">Министерският съвет </w:t>
      </w:r>
      <w:r w:rsidR="006737FC" w:rsidRPr="0022293F">
        <w:rPr>
          <w:rFonts w:eastAsia="Batang"/>
        </w:rPr>
        <w:t>одобр</w:t>
      </w:r>
      <w:r w:rsidR="00524048">
        <w:rPr>
          <w:rFonts w:eastAsia="Batang"/>
        </w:rPr>
        <w:t>и</w:t>
      </w:r>
      <w:r w:rsidR="006737FC" w:rsidRPr="0022293F">
        <w:rPr>
          <w:rFonts w:eastAsia="Batang"/>
        </w:rPr>
        <w:t xml:space="preserve"> максималния размер на новите държавни гаранции, които могат да бъдат издадени през 2020 г. по Закона за кредитиране на студенти и докторанти</w:t>
      </w:r>
      <w:r w:rsidR="00065AE4">
        <w:rPr>
          <w:rFonts w:eastAsia="Batang"/>
        </w:rPr>
        <w:t>.</w:t>
      </w:r>
      <w:r w:rsidR="006737FC" w:rsidRPr="0022293F">
        <w:rPr>
          <w:rFonts w:eastAsia="Batang"/>
        </w:rPr>
        <w:t xml:space="preserve"> </w:t>
      </w:r>
    </w:p>
    <w:p w:rsidR="009837EE" w:rsidRDefault="009837EE" w:rsidP="006737FC">
      <w:pPr>
        <w:rPr>
          <w:rFonts w:eastAsia="Batang"/>
        </w:rPr>
      </w:pPr>
      <w:r>
        <w:rPr>
          <w:rFonts w:eastAsia="Batang"/>
        </w:rPr>
        <w:t>С</w:t>
      </w:r>
      <w:r w:rsidRPr="006D511E">
        <w:rPr>
          <w:rFonts w:eastAsia="Batang"/>
        </w:rPr>
        <w:t xml:space="preserve"> Решение № </w:t>
      </w:r>
      <w:r>
        <w:rPr>
          <w:rFonts w:eastAsia="Batang"/>
        </w:rPr>
        <w:t xml:space="preserve">347 </w:t>
      </w:r>
      <w:r w:rsidRPr="006D511E">
        <w:rPr>
          <w:rFonts w:eastAsia="Batang"/>
        </w:rPr>
        <w:t xml:space="preserve">от </w:t>
      </w:r>
      <w:r>
        <w:rPr>
          <w:rFonts w:eastAsia="Batang"/>
        </w:rPr>
        <w:t>14 юни</w:t>
      </w:r>
      <w:r w:rsidRPr="006D511E">
        <w:rPr>
          <w:rFonts w:eastAsia="Batang"/>
        </w:rPr>
        <w:t xml:space="preserve"> 2019 г. </w:t>
      </w:r>
      <w:r>
        <w:rPr>
          <w:rFonts w:eastAsia="Batang"/>
        </w:rPr>
        <w:t xml:space="preserve">Министерският съвет </w:t>
      </w:r>
      <w:r w:rsidRPr="0022293F">
        <w:rPr>
          <w:rFonts w:eastAsia="Batang"/>
        </w:rPr>
        <w:t>одобр</w:t>
      </w:r>
      <w:r>
        <w:rPr>
          <w:rFonts w:eastAsia="Batang"/>
        </w:rPr>
        <w:t>и</w:t>
      </w:r>
      <w:r w:rsidRPr="0022293F">
        <w:rPr>
          <w:rFonts w:eastAsia="Batang"/>
        </w:rPr>
        <w:t xml:space="preserve"> </w:t>
      </w:r>
      <w:r>
        <w:rPr>
          <w:rFonts w:eastAsia="Batang"/>
        </w:rPr>
        <w:t>издаването на държавна гаранция по споразумение между МБВР и ФГВБ за осигуряване достъп на фонда до инструмент за условно финансиране в размер до 350 млн.</w:t>
      </w:r>
      <w:r w:rsidR="00696102">
        <w:rPr>
          <w:rFonts w:eastAsia="Batang"/>
        </w:rPr>
        <w:t xml:space="preserve"> </w:t>
      </w:r>
      <w:r>
        <w:rPr>
          <w:rFonts w:eastAsia="Batang"/>
        </w:rPr>
        <w:t>евро през 2020 г.</w:t>
      </w:r>
    </w:p>
    <w:p w:rsidR="006737FC" w:rsidRDefault="006737FC" w:rsidP="006737FC">
      <w:pPr>
        <w:rPr>
          <w:rFonts w:eastAsia="Batang"/>
        </w:rPr>
      </w:pPr>
      <w:r w:rsidRPr="0022293F">
        <w:rPr>
          <w:rFonts w:eastAsia="Batang"/>
        </w:rPr>
        <w:t>Етапът завърш</w:t>
      </w:r>
      <w:r w:rsidR="00065AE4">
        <w:rPr>
          <w:rFonts w:eastAsia="Batang"/>
        </w:rPr>
        <w:t>и</w:t>
      </w:r>
      <w:r w:rsidRPr="0022293F">
        <w:rPr>
          <w:rFonts w:eastAsia="Batang"/>
        </w:rPr>
        <w:t xml:space="preserve"> през месец юли с привеждането в съответствие от ПРБ на бюджетните им прогнози за периода 2020-2022 г. с приетите от Министерския съвет решения.</w:t>
      </w:r>
    </w:p>
    <w:p w:rsidR="006737FC" w:rsidRDefault="006737FC" w:rsidP="006737FC">
      <w:pPr>
        <w:rPr>
          <w:rFonts w:eastAsia="Batang"/>
        </w:rPr>
      </w:pPr>
      <w:r>
        <w:rPr>
          <w:rFonts w:eastAsia="Batang"/>
        </w:rPr>
        <w:t>П</w:t>
      </w:r>
      <w:r w:rsidRPr="0022293F">
        <w:rPr>
          <w:rFonts w:eastAsia="Batang"/>
        </w:rPr>
        <w:t>ривежда</w:t>
      </w:r>
      <w:r>
        <w:rPr>
          <w:rFonts w:eastAsia="Batang"/>
        </w:rPr>
        <w:t xml:space="preserve">йки </w:t>
      </w:r>
      <w:r w:rsidRPr="0022293F">
        <w:rPr>
          <w:rFonts w:eastAsia="Batang"/>
        </w:rPr>
        <w:t xml:space="preserve">в съответствие бюджетните </w:t>
      </w:r>
      <w:r>
        <w:rPr>
          <w:rFonts w:eastAsia="Batang"/>
        </w:rPr>
        <w:t>си</w:t>
      </w:r>
      <w:r w:rsidRPr="0022293F">
        <w:rPr>
          <w:rFonts w:eastAsia="Batang"/>
        </w:rPr>
        <w:t xml:space="preserve"> прогнози за периода 2020-2022 г.</w:t>
      </w:r>
      <w:r>
        <w:rPr>
          <w:rFonts w:eastAsia="Batang"/>
        </w:rPr>
        <w:t xml:space="preserve">, определените да прилагат програмен формат на бюджет ПРБ направиха преглед и изготвиха предложения за промени в програмната класификация. </w:t>
      </w:r>
      <w:r w:rsidRPr="006F729F">
        <w:rPr>
          <w:rFonts w:eastAsia="Batang"/>
        </w:rPr>
        <w:t>Министерският съвет прие с Решение № 520 от 29 август 2019 г. изменение на РМС 502 от 2017 г. за утвърждаване на класификация на областите на политики/функционалните области и бюджетните програми от компетентността и отговорността на съответния първостепенен разпоредител с бюджет по бюджетите на Министерския съвет, на министерствата, на държавните агенции и на Държавен фонд „Земеделие“ за периода 2018-2021 г., изм. с РМС № 733 от 2018 г., на основата на което новоопределените да прилагат програмен формат на бюджет ще разпределят разходите си по функционални области и бюджетни програми.</w:t>
      </w:r>
      <w:r>
        <w:rPr>
          <w:rFonts w:eastAsia="Batang"/>
        </w:rPr>
        <w:t xml:space="preserve"> </w:t>
      </w:r>
    </w:p>
    <w:p w:rsidR="006737FC" w:rsidRPr="0022293F" w:rsidRDefault="006737FC" w:rsidP="006737FC">
      <w:pPr>
        <w:rPr>
          <w:rFonts w:eastAsia="Batang"/>
        </w:rPr>
      </w:pPr>
      <w:r w:rsidRPr="0022293F">
        <w:rPr>
          <w:rFonts w:eastAsia="Batang"/>
          <w:b/>
          <w:i/>
        </w:rPr>
        <w:t>Във</w:t>
      </w:r>
      <w:r w:rsidRPr="0022293F">
        <w:rPr>
          <w:rFonts w:eastAsia="Batang"/>
        </w:rPr>
        <w:t xml:space="preserve"> </w:t>
      </w:r>
      <w:r w:rsidRPr="0022293F">
        <w:rPr>
          <w:rFonts w:eastAsia="Batang"/>
          <w:b/>
          <w:i/>
        </w:rPr>
        <w:t>втория етап на процедурата</w:t>
      </w:r>
      <w:r w:rsidRPr="0022293F">
        <w:rPr>
          <w:rFonts w:eastAsia="Batang"/>
        </w:rPr>
        <w:t xml:space="preserve"> Министерството на финансите изготв</w:t>
      </w:r>
      <w:r w:rsidR="009664E7">
        <w:rPr>
          <w:rFonts w:eastAsia="Batang"/>
        </w:rPr>
        <w:t>и</w:t>
      </w:r>
      <w:r w:rsidRPr="0022293F">
        <w:rPr>
          <w:rFonts w:eastAsia="Batang"/>
        </w:rPr>
        <w:t xml:space="preserve"> </w:t>
      </w:r>
      <w:r w:rsidR="009664E7" w:rsidRPr="0022293F">
        <w:rPr>
          <w:rFonts w:eastAsia="Batang"/>
        </w:rPr>
        <w:t>законопроектите за изменение и</w:t>
      </w:r>
      <w:r w:rsidR="009664E7">
        <w:rPr>
          <w:rFonts w:eastAsia="Batang"/>
        </w:rPr>
        <w:t xml:space="preserve"> допълнение на данъчните закони, както и </w:t>
      </w:r>
      <w:r w:rsidRPr="0022293F">
        <w:rPr>
          <w:rFonts w:eastAsia="Batang"/>
        </w:rPr>
        <w:t>законопроект</w:t>
      </w:r>
      <w:r w:rsidR="009664E7">
        <w:rPr>
          <w:rFonts w:eastAsia="Batang"/>
        </w:rPr>
        <w:t>а</w:t>
      </w:r>
      <w:r w:rsidRPr="0022293F">
        <w:rPr>
          <w:rFonts w:eastAsia="Batang"/>
        </w:rPr>
        <w:t xml:space="preserve"> </w:t>
      </w:r>
      <w:r w:rsidR="009664E7">
        <w:rPr>
          <w:rFonts w:eastAsia="Batang"/>
        </w:rPr>
        <w:t>з</w:t>
      </w:r>
      <w:r w:rsidRPr="0022293F">
        <w:rPr>
          <w:rFonts w:eastAsia="Batang"/>
        </w:rPr>
        <w:t xml:space="preserve">а държавния бюджет на Република България за 2020 г. </w:t>
      </w:r>
      <w:r w:rsidR="009664E7">
        <w:rPr>
          <w:rFonts w:eastAsia="Batang"/>
        </w:rPr>
        <w:t>и</w:t>
      </w:r>
      <w:r w:rsidR="009664E7" w:rsidRPr="009664E7">
        <w:rPr>
          <w:rFonts w:eastAsia="Batang"/>
        </w:rPr>
        <w:t xml:space="preserve"> </w:t>
      </w:r>
      <w:r w:rsidR="009664E7" w:rsidRPr="0022293F">
        <w:rPr>
          <w:rFonts w:eastAsia="Batang"/>
        </w:rPr>
        <w:t>актуализирана</w:t>
      </w:r>
      <w:r w:rsidR="009664E7">
        <w:rPr>
          <w:rFonts w:eastAsia="Batang"/>
        </w:rPr>
        <w:t>та</w:t>
      </w:r>
      <w:r w:rsidR="009664E7" w:rsidRPr="0022293F">
        <w:rPr>
          <w:rFonts w:eastAsia="Batang"/>
        </w:rPr>
        <w:t xml:space="preserve"> средносрочна бюджетна прогноза за периода 2020-2022 г., която представлява мотиви към</w:t>
      </w:r>
      <w:r w:rsidR="00FC33F0">
        <w:rPr>
          <w:rFonts w:eastAsia="Batang"/>
        </w:rPr>
        <w:t xml:space="preserve"> него.</w:t>
      </w:r>
      <w:r w:rsidR="009664E7">
        <w:rPr>
          <w:rFonts w:eastAsia="Batang"/>
        </w:rPr>
        <w:t xml:space="preserve"> </w:t>
      </w:r>
      <w:r w:rsidR="00FC33F0">
        <w:rPr>
          <w:rFonts w:eastAsia="Batang"/>
        </w:rPr>
        <w:t>Министърът</w:t>
      </w:r>
      <w:r w:rsidR="00FC33F0" w:rsidRPr="0022293F">
        <w:rPr>
          <w:rFonts w:eastAsia="Batang"/>
        </w:rPr>
        <w:t xml:space="preserve"> на здравеопазването </w:t>
      </w:r>
      <w:r w:rsidRPr="0022293F">
        <w:rPr>
          <w:rFonts w:eastAsia="Batang"/>
        </w:rPr>
        <w:t xml:space="preserve"> </w:t>
      </w:r>
      <w:r w:rsidR="00FC33F0">
        <w:rPr>
          <w:rFonts w:eastAsia="Batang"/>
        </w:rPr>
        <w:t xml:space="preserve">внесе в </w:t>
      </w:r>
      <w:r w:rsidRPr="0022293F">
        <w:rPr>
          <w:rFonts w:eastAsia="Batang"/>
        </w:rPr>
        <w:t>Министерския съвет подготвени</w:t>
      </w:r>
      <w:r w:rsidR="00FC33F0">
        <w:rPr>
          <w:rFonts w:eastAsia="Batang"/>
        </w:rPr>
        <w:t>я</w:t>
      </w:r>
      <w:r w:rsidRPr="0022293F">
        <w:rPr>
          <w:rFonts w:eastAsia="Batang"/>
        </w:rPr>
        <w:t xml:space="preserve"> от управителя на Националната здравноосигурителна каса проект на Закон за бюджета на Националната здравноосигурителна каса за 2020 г., </w:t>
      </w:r>
      <w:r w:rsidR="00FC33F0">
        <w:rPr>
          <w:rFonts w:eastAsia="Batang"/>
        </w:rPr>
        <w:t>а министърът</w:t>
      </w:r>
      <w:r w:rsidR="00FC33F0" w:rsidRPr="0022293F">
        <w:rPr>
          <w:rFonts w:eastAsia="Batang"/>
        </w:rPr>
        <w:t xml:space="preserve"> на труда и социалната политика </w:t>
      </w:r>
      <w:r w:rsidR="00FC33F0">
        <w:rPr>
          <w:rFonts w:eastAsia="Batang"/>
        </w:rPr>
        <w:t>внесе подготвения от</w:t>
      </w:r>
      <w:r w:rsidRPr="0022293F">
        <w:rPr>
          <w:rFonts w:eastAsia="Batang"/>
        </w:rPr>
        <w:t xml:space="preserve"> управителя на Националния осигурителен институт проект на Закон за бюджета на държавното обществено осигуряване за 2020 г</w:t>
      </w:r>
      <w:r w:rsidR="00E37699">
        <w:rPr>
          <w:rFonts w:eastAsia="Batang"/>
        </w:rPr>
        <w:t>.</w:t>
      </w:r>
    </w:p>
    <w:p w:rsidR="006737FC" w:rsidRPr="0022293F" w:rsidRDefault="006737FC" w:rsidP="006737FC">
      <w:pPr>
        <w:rPr>
          <w:rFonts w:eastAsia="Batang"/>
        </w:rPr>
      </w:pPr>
      <w:r w:rsidRPr="0022293F">
        <w:rPr>
          <w:rFonts w:eastAsia="Batang"/>
        </w:rPr>
        <w:t>Провеждането на консултации с Националното сдружение на общините в Република България по законопроекта за държавния бюджет на Република България за 2020 г. в частта му за общините, в това число и за уточняване на общия размер на основните бюджетни взаимоотношенията на общинските бюджети с централния бюджет също е част от втория етап</w:t>
      </w:r>
      <w:r w:rsidR="00643F0B" w:rsidRPr="00643F0B">
        <w:rPr>
          <w:rFonts w:eastAsia="Batang"/>
        </w:rPr>
        <w:t xml:space="preserve"> на бюджетната процедура за 2020 г</w:t>
      </w:r>
      <w:r w:rsidRPr="0022293F">
        <w:rPr>
          <w:rFonts w:eastAsia="Batang"/>
        </w:rPr>
        <w:t xml:space="preserve">. При необходимост Министерският съвет одобрява изменение и допълнение на решението за приемане на стандарти за делегираните от държавата дейности с натурални и стойностни показатели през 2020 г. </w:t>
      </w:r>
    </w:p>
    <w:p w:rsidR="006737FC" w:rsidRPr="0022293F" w:rsidRDefault="006737FC" w:rsidP="006737FC">
      <w:pPr>
        <w:rPr>
          <w:rFonts w:eastAsia="Batang"/>
        </w:rPr>
      </w:pPr>
      <w:r w:rsidRPr="0022293F">
        <w:rPr>
          <w:rFonts w:eastAsia="Batang"/>
        </w:rPr>
        <w:t>В едномесечен срок от обнародването в „Държавен вестник“ на Закона за държавния бюджет на Република България за 2020 г. Министерският съвет приема по предложение на министъра на финансите Постановление за изпълнението на държавния бюджет на Република България за 2020 г.</w:t>
      </w:r>
    </w:p>
    <w:p w:rsidR="006737FC" w:rsidRPr="0022293F" w:rsidRDefault="006737FC" w:rsidP="006737FC">
      <w:pPr>
        <w:rPr>
          <w:rFonts w:eastAsia="Batang"/>
        </w:rPr>
      </w:pPr>
      <w:r w:rsidRPr="0022293F">
        <w:rPr>
          <w:rFonts w:eastAsia="Batang"/>
        </w:rPr>
        <w:t>При необходимост</w:t>
      </w:r>
      <w:r w:rsidR="00E420F8">
        <w:rPr>
          <w:rFonts w:eastAsia="Batang"/>
        </w:rPr>
        <w:t>,</w:t>
      </w:r>
      <w:r w:rsidRPr="0022293F">
        <w:rPr>
          <w:rFonts w:eastAsia="Batang"/>
        </w:rPr>
        <w:t xml:space="preserve"> в едномесечен срок от обнародването на Закона за държавния бюджет на Република България за 2020 г., Закона за бюджета на държавното обществено осигуряване за 2020 г., Закона за бюджета на Националната здравноосигурителна каса за 2020 г. и на данъчните закони</w:t>
      </w:r>
      <w:r w:rsidR="00E420F8">
        <w:rPr>
          <w:rFonts w:eastAsia="Batang"/>
        </w:rPr>
        <w:t>,</w:t>
      </w:r>
      <w:r w:rsidRPr="0022293F">
        <w:rPr>
          <w:rFonts w:eastAsia="Batang"/>
        </w:rPr>
        <w:t xml:space="preserve"> Министерският съвет провежда заседание, на което разглежда и одобрява промени в актуализираната средносрочна бюджетна прогноза за периода 2020-2022 г. в съответствие с параметрите на приетите закони.</w:t>
      </w:r>
    </w:p>
    <w:p w:rsidR="006737FC" w:rsidRPr="0022293F" w:rsidRDefault="006737FC" w:rsidP="006737FC">
      <w:pPr>
        <w:rPr>
          <w:rFonts w:eastAsia="Batang"/>
        </w:rPr>
      </w:pPr>
      <w:r w:rsidRPr="0022293F">
        <w:rPr>
          <w:rFonts w:eastAsia="Batang"/>
        </w:rPr>
        <w:t>При необходимост</w:t>
      </w:r>
      <w:r w:rsidR="00E420F8">
        <w:rPr>
          <w:rFonts w:eastAsia="Batang"/>
        </w:rPr>
        <w:t>,</w:t>
      </w:r>
      <w:r w:rsidRPr="0022293F">
        <w:rPr>
          <w:rFonts w:eastAsia="Batang"/>
        </w:rPr>
        <w:t xml:space="preserve"> в едноседмичен срок от одобряването на промените в актуализираната средносрочна бюджетна прогноза за периода 2020-2022 г. първостепенните разпоредители с бюджет по бюджетите на бюджетните организации, които са определени да прилагат програмен формат на бюджет актуализират програмните формати на бюджетите си, изпращат ги до Министерството на финансите, Сметната палата и Народното събрание и ги публикуват на интернет страниците си при спазване изискванията на Закона за защита на класифицираната информация, с което бюджетната процедура за 2020 г. приключва.</w:t>
      </w:r>
    </w:p>
    <w:p w:rsidR="00724B97" w:rsidRPr="00A23D73" w:rsidRDefault="00724B97" w:rsidP="00A23D73">
      <w:pPr>
        <w:pStyle w:val="Heading3"/>
        <w:ind w:left="709" w:hanging="567"/>
        <w:jc w:val="both"/>
      </w:pPr>
      <w:bookmarkStart w:id="758" w:name="_Toc465070530"/>
      <w:bookmarkStart w:id="759" w:name="_Toc465205580"/>
      <w:r w:rsidRPr="00A23D73">
        <w:t>Фискални правила и ограничения</w:t>
      </w:r>
      <w:bookmarkEnd w:id="758"/>
      <w:bookmarkEnd w:id="759"/>
    </w:p>
    <w:p w:rsidR="006737FC" w:rsidRDefault="006737FC" w:rsidP="006737FC">
      <w:pPr>
        <w:rPr>
          <w:rFonts w:eastAsia="Batang"/>
        </w:rPr>
      </w:pPr>
      <w:r w:rsidRPr="00C72903">
        <w:rPr>
          <w:rFonts w:eastAsia="Batang"/>
        </w:rPr>
        <w:t>Наличието на законова рамка, определяща бюджетните правила, ограниченията и процедурите за действие при наличие на отклонения от заложените цели за даден показател, е предпоставка за повишаване на предсказуемостта на провежданата фискална политика, за спазването на бюджетната и финансова дисциплина и за гарантиране устойчивостта на публичните финанси.</w:t>
      </w:r>
      <w:r>
        <w:rPr>
          <w:rFonts w:eastAsia="Batang"/>
        </w:rPr>
        <w:t xml:space="preserve"> Фискалните правила следва да имат постоянен характер, да се отнася</w:t>
      </w:r>
      <w:r w:rsidR="00E420F8">
        <w:rPr>
          <w:rFonts w:eastAsia="Batang"/>
        </w:rPr>
        <w:t>т</w:t>
      </w:r>
      <w:r>
        <w:rPr>
          <w:rFonts w:eastAsia="Batang"/>
        </w:rPr>
        <w:t xml:space="preserve"> за значим индикатор (в най-общия случай за бюджетния баланс, дълга, разходите и приходите) и да поставят числови ограничения или цел.</w:t>
      </w:r>
      <w:r w:rsidRPr="008878FC">
        <w:rPr>
          <w:rFonts w:eastAsia="Batang"/>
        </w:rPr>
        <w:t xml:space="preserve"> </w:t>
      </w:r>
      <w:r w:rsidR="00B04B3C">
        <w:rPr>
          <w:rFonts w:eastAsia="Batang"/>
        </w:rPr>
        <w:t>Изисква се също наличието на</w:t>
      </w:r>
      <w:r w:rsidR="00B04B3C" w:rsidRPr="004D060B">
        <w:rPr>
          <w:rFonts w:eastAsia="Batang"/>
        </w:rPr>
        <w:t xml:space="preserve"> законови изисквания и процедури за корективни механизми и мерки за връщане към целта или към определеното с правилото ограничение и случаите на отклонение от целта/ограничението.</w:t>
      </w:r>
    </w:p>
    <w:p w:rsidR="006737FC" w:rsidRPr="00116333" w:rsidRDefault="006737FC" w:rsidP="006737FC">
      <w:pPr>
        <w:rPr>
          <w:rFonts w:eastAsia="Batang"/>
        </w:rPr>
      </w:pPr>
      <w:r w:rsidRPr="004D060B">
        <w:rPr>
          <w:rFonts w:eastAsia="Batang"/>
        </w:rPr>
        <w:t>По отношение на обхвата разграничаваме правила за показатели както по националната методология – за бюджетното салдо и разходите по консолидираната фискална програма (на касова основа) и за държавния дълг, така и показатели съг</w:t>
      </w:r>
      <w:r>
        <w:rPr>
          <w:rFonts w:eastAsia="Batang"/>
        </w:rPr>
        <w:t xml:space="preserve">ласно европейската методология </w:t>
      </w:r>
      <w:r w:rsidRPr="005122EE">
        <w:rPr>
          <w:rFonts w:eastAsia="Batang"/>
        </w:rPr>
        <w:t>–</w:t>
      </w:r>
      <w:r w:rsidRPr="004D060B">
        <w:rPr>
          <w:rFonts w:eastAsia="Batang"/>
        </w:rPr>
        <w:t xml:space="preserve"> за сектор „Държавно управление“ (за някои правила – и за съответните му подсектори) – за средносрочната бюджетна цел за структурния дефицит, за бюджетното салдо и за консолидирания дълг за сектор „Държавно управление“. </w:t>
      </w:r>
    </w:p>
    <w:p w:rsidR="006737FC" w:rsidRPr="004D060B" w:rsidRDefault="006737FC" w:rsidP="006737FC">
      <w:pPr>
        <w:rPr>
          <w:rFonts w:eastAsia="Batang"/>
        </w:rPr>
      </w:pPr>
      <w:r w:rsidRPr="004D060B">
        <w:rPr>
          <w:rFonts w:eastAsia="Batang"/>
        </w:rPr>
        <w:t>С приемането на Закона за публичните финанси и Закона за Фискален съвет и автоматични корективни механизми и на последващите им изменения и допълнения, свързани с постигане на пълно съответствие с европейското законодателство, България покри изцяло изискванията за засилване и укрепване на икономическото управление в ЕС. Правилата отговарят на международно приетите дефиниции и критерии и на изискванията за съгласуване на националното фискално планиране с превантивната и корективната част на Пакта за стабилност и растеж на ЕС.</w:t>
      </w:r>
    </w:p>
    <w:p w:rsidR="006737FC" w:rsidRPr="00E21F1F" w:rsidRDefault="006737FC" w:rsidP="006737FC">
      <w:pPr>
        <w:rPr>
          <w:rFonts w:eastAsia="Batang"/>
        </w:rPr>
      </w:pPr>
      <w:r w:rsidRPr="0048017B">
        <w:rPr>
          <w:rFonts w:eastAsia="Batang"/>
        </w:rPr>
        <w:t xml:space="preserve">Концентрирането на фискалните правила и тяхната трайна уредба в рамките на ЗПФ оказва положително влияние не само за </w:t>
      </w:r>
      <w:r>
        <w:rPr>
          <w:rFonts w:eastAsia="Batang"/>
        </w:rPr>
        <w:t xml:space="preserve">подобряване на координацията при изпълнението на различни </w:t>
      </w:r>
      <w:r w:rsidRPr="005A45A5">
        <w:rPr>
          <w:rFonts w:eastAsia="Batang"/>
        </w:rPr>
        <w:t>политики, а и за по</w:t>
      </w:r>
      <w:r>
        <w:rPr>
          <w:rFonts w:eastAsia="Batang"/>
        </w:rPr>
        <w:t>-доброто планиране, разработване и провеждане на фискалната политика</w:t>
      </w:r>
      <w:r w:rsidRPr="0048017B">
        <w:rPr>
          <w:rFonts w:eastAsia="Batang"/>
        </w:rPr>
        <w:t>.</w:t>
      </w:r>
      <w:r>
        <w:rPr>
          <w:rFonts w:eastAsia="Batang"/>
        </w:rPr>
        <w:t xml:space="preserve"> Важно условие за доброто функциониране на фискалните правила са органите, които осъществяват контрол за спазването им, както и наличието на корективни механизми в случай на отклонение от поставените цели.</w:t>
      </w:r>
    </w:p>
    <w:p w:rsidR="006737FC" w:rsidRPr="004D060B" w:rsidRDefault="006737FC" w:rsidP="006737FC">
      <w:pPr>
        <w:rPr>
          <w:rFonts w:eastAsia="Batang"/>
        </w:rPr>
      </w:pPr>
      <w:r w:rsidRPr="004D060B">
        <w:rPr>
          <w:rFonts w:eastAsia="Batang"/>
        </w:rPr>
        <w:t>Трайната законова уредба на правилата оказва положително влияние като гарантира тяхната дългосрочна устойчивост и като се поставят универсални критерии за оценка на фискалната политика.</w:t>
      </w:r>
    </w:p>
    <w:p w:rsidR="006737FC" w:rsidRPr="004D060B" w:rsidRDefault="006737FC" w:rsidP="006737FC">
      <w:pPr>
        <w:rPr>
          <w:rFonts w:eastAsia="Batang"/>
        </w:rPr>
      </w:pPr>
      <w:r w:rsidRPr="004D060B">
        <w:rPr>
          <w:rFonts w:eastAsia="Batang"/>
        </w:rPr>
        <w:t xml:space="preserve">Фискалните правила като цяло налагат ограничения върху фискалната политика на национално ниво, но някои от тях налагат числови ограничения и върху бюджетни показатели на индивидуални бюджети, като тези на общините. </w:t>
      </w:r>
    </w:p>
    <w:p w:rsidR="006737FC" w:rsidRPr="004D060B" w:rsidRDefault="006737FC" w:rsidP="006737FC">
      <w:pPr>
        <w:rPr>
          <w:rFonts w:eastAsia="Batang"/>
        </w:rPr>
      </w:pPr>
      <w:r w:rsidRPr="004D060B">
        <w:rPr>
          <w:rFonts w:eastAsia="Batang"/>
        </w:rPr>
        <w:t>Правната рамка, уреждаща фискалните правила и ограничения, но също и резултатите от тяхното прилагане</w:t>
      </w:r>
      <w:r w:rsidR="00E420F8">
        <w:rPr>
          <w:rFonts w:eastAsia="Batang"/>
        </w:rPr>
        <w:t>,</w:t>
      </w:r>
      <w:r w:rsidRPr="004D060B">
        <w:rPr>
          <w:rFonts w:eastAsia="Batang"/>
        </w:rPr>
        <w:t xml:space="preserve"> са обект на периодичен преглед както от страна на правителството, така и от органите на Европейския съюз и международни финансови институции. При установяване на несъответствия на нормите, уреждащи бюджетната рамка спрямо международно установени норми и практики в тази област, както и при неуредени обществени отношения при управлението на публичните финанси, които пораждат рискове за бюджета и за спазването на фискалните правила, правителството предприема съответните мерки за урегулиране. От приемането на ЗПФ през 2013 г. до настоящия момент са приети две съществени изменения и допълнения на ЗПФ, които са били свързани с прецизиране и доразвиване на уредбата с цел подобряване на процесите по управлението на публичните финанси и постигане на пълно съответствие с изискванията на Директива 2011/85/ЕС на Съвета от 8 ноември 2011 година относно изискванията з</w:t>
      </w:r>
      <w:r w:rsidR="00865AF3">
        <w:rPr>
          <w:rFonts w:eastAsia="Batang"/>
        </w:rPr>
        <w:t xml:space="preserve">а бюджетните рамки на държавите </w:t>
      </w:r>
      <w:r w:rsidRPr="004D060B">
        <w:rPr>
          <w:rFonts w:eastAsia="Batang"/>
        </w:rPr>
        <w:t xml:space="preserve">членки, както и създаването на условия за изпълнението на относимите регламенти, приети в края на 2011 г. </w:t>
      </w:r>
    </w:p>
    <w:p w:rsidR="006737FC" w:rsidRDefault="006737FC" w:rsidP="006737FC">
      <w:pPr>
        <w:pStyle w:val="ListParagraph"/>
        <w:numPr>
          <w:ilvl w:val="0"/>
          <w:numId w:val="0"/>
        </w:numPr>
        <w:rPr>
          <w:rFonts w:eastAsia="Batang"/>
        </w:rPr>
      </w:pPr>
      <w:r w:rsidRPr="006737FC">
        <w:rPr>
          <w:rFonts w:eastAsia="Batang"/>
        </w:rPr>
        <w:t xml:space="preserve">Спазването на фискалните правила и бюджетна дисциплина са отговорности на различни власти. </w:t>
      </w:r>
      <w:r w:rsidRPr="00B831E6">
        <w:rPr>
          <w:rFonts w:eastAsia="Batang"/>
        </w:rPr>
        <w:t xml:space="preserve">Правителството отговаря за спазването на </w:t>
      </w:r>
      <w:r>
        <w:rPr>
          <w:rFonts w:eastAsia="Batang"/>
        </w:rPr>
        <w:t xml:space="preserve">фискалните </w:t>
      </w:r>
      <w:r w:rsidRPr="00B831E6">
        <w:rPr>
          <w:rFonts w:eastAsia="Batang"/>
        </w:rPr>
        <w:t>правила на национално ниво (за КФП и за сектор „Държавно управление“) при ограничени възможности за въздействие върху подсекторите (местни власти, социалноосигурителни фондове и автономни бюджети), като при налични отклонения може да компенсира само в обхвата на централното правителство.</w:t>
      </w:r>
      <w:r w:rsidRPr="007D6981">
        <w:rPr>
          <w:rFonts w:eastAsia="Batang"/>
          <w:lang w:val="ru-RU"/>
        </w:rPr>
        <w:t xml:space="preserve"> </w:t>
      </w:r>
      <w:r>
        <w:rPr>
          <w:rFonts w:eastAsia="Batang"/>
        </w:rPr>
        <w:t>Възможни са отклонения от заложените ограничения, когато са в резултат на възникнали наложителни мерки с еднократен характер и същите не водят до трайни негативни тенденции за развитие на фискалната политика в средносрочен план.</w:t>
      </w:r>
    </w:p>
    <w:p w:rsidR="006737FC" w:rsidRPr="00B831E6" w:rsidRDefault="006737FC" w:rsidP="006737FC">
      <w:pPr>
        <w:rPr>
          <w:rFonts w:eastAsia="Batang"/>
        </w:rPr>
      </w:pPr>
      <w:r>
        <w:rPr>
          <w:rFonts w:eastAsia="Batang"/>
        </w:rPr>
        <w:t>На ниво отделни бюджети законовите ангажименти на първостепенните разпоредители с бюджет изискват в рамките на управленската отговорност да се спазва бюджетна дисциплина, в т.ч. и приложимите за тях правила. Това важи и за самостоятелните бюджети, които не са част от държавния бюджет, тъй като те влияят върху параметрите на бюджетната рамка на национално ниво.</w:t>
      </w:r>
    </w:p>
    <w:p w:rsidR="006737FC" w:rsidRDefault="006737FC" w:rsidP="006737FC">
      <w:pPr>
        <w:rPr>
          <w:rFonts w:eastAsia="Batang"/>
        </w:rPr>
      </w:pPr>
      <w:r w:rsidRPr="00B831E6">
        <w:rPr>
          <w:rFonts w:eastAsia="Batang"/>
        </w:rPr>
        <w:t xml:space="preserve">Освен основните принципи, правила и процедури, относими за всички разпоредители с бюджет, натрупаните бюджетни дисбаланси на местните власти и невъзможността да се спазват правилата за общините са причина за законово уреждане на процедури за идентифициране на общини с финансови затруднения и създаване на механизми за финансово оздравяване. </w:t>
      </w:r>
    </w:p>
    <w:p w:rsidR="006737FC" w:rsidRPr="004D060B" w:rsidRDefault="006737FC" w:rsidP="006737FC">
      <w:pPr>
        <w:rPr>
          <w:rFonts w:eastAsia="Batang"/>
        </w:rPr>
      </w:pPr>
      <w:r w:rsidRPr="004D060B">
        <w:rPr>
          <w:rFonts w:eastAsia="Batang"/>
        </w:rPr>
        <w:t>Още с приемането през 2016 г. на Закона за изменение и допълнение на Закона за публичните финанси бяха решени редица проблеми, свързани с необходимостта от предприемане на действия бюджетната позиция на общините да бъде приведена в рамките на изискванията на националните фискални правила, приложими за общините съгласно ЗПФ, като бяха уредени въпроси по идентифициране на общини с финансови затруднения, въвеждането на процедури за тяхното оздравяване и реализирането на план за финансово оздравяване.</w:t>
      </w:r>
    </w:p>
    <w:p w:rsidR="006737FC" w:rsidRPr="007523CD" w:rsidRDefault="006737FC" w:rsidP="006737FC">
      <w:pPr>
        <w:rPr>
          <w:rFonts w:eastAsia="Batang"/>
        </w:rPr>
      </w:pPr>
      <w:r w:rsidRPr="007523CD">
        <w:rPr>
          <w:rFonts w:eastAsia="Batang"/>
        </w:rPr>
        <w:t xml:space="preserve">Плановете за финансово оздравяване включват мерки в годишен и средносрочен план за приоритизиране и оптимизация на разходите, за повишаване на събираемостта на приходите, за намаление и ликвидиране на просрочени задължения, за намаление на дефицита по общинския бюджет, както и управленски и организационни действия за осъществяването на плана с цел постигане на финансова устойчивост и стабилност на общинските финанси. </w:t>
      </w:r>
    </w:p>
    <w:p w:rsidR="006737FC" w:rsidRPr="004F65CF" w:rsidRDefault="006737FC" w:rsidP="006737FC">
      <w:pPr>
        <w:rPr>
          <w:rFonts w:eastAsia="Batang"/>
        </w:rPr>
      </w:pPr>
      <w:r w:rsidRPr="004F65CF">
        <w:rPr>
          <w:rFonts w:eastAsia="Batang"/>
        </w:rPr>
        <w:t>За относително краткия период на прилагане на промените в ЗПФ по отношение на създадения механизъм за финансово оздравяване на общини броят на общините, дефинирани като общини с финансови затруднения, намалява.</w:t>
      </w:r>
    </w:p>
    <w:p w:rsidR="005C3EC4" w:rsidRPr="005C3EC4" w:rsidRDefault="005C3EC4" w:rsidP="007523CD">
      <w:pPr>
        <w:rPr>
          <w:bCs/>
        </w:rPr>
      </w:pPr>
      <w:r w:rsidRPr="005C3EC4">
        <w:rPr>
          <w:bCs/>
        </w:rPr>
        <w:t xml:space="preserve">Предвид необходимостта от наблюдение на общините, при които срокът на процедурата за финансово оздравяване изтича през 2019 г., както и с цел изпълнение на ангажиментите им за възстановяване на безлихвените заеми, отпуснати по реда на чл. 130ж, ал. 1 от Закона за публичните финанси, за 2020 г. е предвидено съгласуване от министъра на финансите на проектобюджетите им. За част от тези общини съществува риск за бъдат определени като общини с финансови затруднения и през 2020 г. В тази връзка са указани и допълнителни условия за изготвяне на плановете им за финансово оздравяване. </w:t>
      </w:r>
    </w:p>
    <w:p w:rsidR="007523CD" w:rsidRDefault="007523CD" w:rsidP="007523CD">
      <w:pPr>
        <w:rPr>
          <w:rFonts w:eastAsia="Batang"/>
        </w:rPr>
      </w:pPr>
      <w:r>
        <w:rPr>
          <w:rFonts w:eastAsia="Batang"/>
        </w:rPr>
        <w:t xml:space="preserve">В допълнение е предвиден и ред за идентифициране на общини </w:t>
      </w:r>
      <w:r w:rsidRPr="004D060B">
        <w:rPr>
          <w:rFonts w:eastAsia="Batang"/>
        </w:rPr>
        <w:t>с финансови затруднения</w:t>
      </w:r>
      <w:r>
        <w:rPr>
          <w:rFonts w:eastAsia="Batang"/>
        </w:rPr>
        <w:t xml:space="preserve"> при изпълнение на проекти, финансирани със средства от Европейския съюз. И за тези общини е предвидено </w:t>
      </w:r>
      <w:r w:rsidRPr="004D060B">
        <w:rPr>
          <w:rFonts w:eastAsia="Batang"/>
        </w:rPr>
        <w:t>въвеждането на процедур</w:t>
      </w:r>
      <w:r>
        <w:rPr>
          <w:rFonts w:eastAsia="Batang"/>
        </w:rPr>
        <w:t>а</w:t>
      </w:r>
      <w:r w:rsidRPr="004D060B">
        <w:rPr>
          <w:rFonts w:eastAsia="Batang"/>
        </w:rPr>
        <w:t xml:space="preserve"> </w:t>
      </w:r>
      <w:r w:rsidR="00E34F4D">
        <w:rPr>
          <w:rFonts w:eastAsia="Batang"/>
        </w:rPr>
        <w:t xml:space="preserve">за </w:t>
      </w:r>
      <w:r w:rsidRPr="004D060B">
        <w:rPr>
          <w:rFonts w:eastAsia="Batang"/>
        </w:rPr>
        <w:t>оздравяване и реализирането на план за финансово оздравяване.</w:t>
      </w:r>
    </w:p>
    <w:p w:rsidR="006737FC" w:rsidRPr="00577C47" w:rsidRDefault="006737FC" w:rsidP="006737FC">
      <w:pPr>
        <w:rPr>
          <w:rFonts w:eastAsia="Batang"/>
        </w:rPr>
      </w:pPr>
      <w:r>
        <w:rPr>
          <w:rFonts w:eastAsia="Batang"/>
        </w:rPr>
        <w:t xml:space="preserve">Европейската комисия поддържа база данни за налични фискални правила от 1990 г. Първото по-мащабно проучване е направено през 2006 г., като от 2008 г. се прави ежегодна актуализация на базата данни: </w:t>
      </w:r>
      <w:hyperlink r:id="rId44" w:history="1">
        <w:r>
          <w:rPr>
            <w:rStyle w:val="Hyperlink"/>
          </w:rPr>
          <w:t>https://ec.europa.eu/info/publications/fiscal-rules-database_en</w:t>
        </w:r>
      </w:hyperlink>
      <w:r>
        <w:t>.</w:t>
      </w:r>
    </w:p>
    <w:p w:rsidR="006737FC" w:rsidRPr="00116333" w:rsidRDefault="006737FC" w:rsidP="006737FC">
      <w:pPr>
        <w:rPr>
          <w:rFonts w:eastAsia="Batang"/>
        </w:rPr>
      </w:pPr>
      <w:r w:rsidRPr="00116333">
        <w:rPr>
          <w:rFonts w:eastAsia="Batang"/>
        </w:rPr>
        <w:t>Наличието на национални фискални правила и едновременното им спазване с правилата и ограниченията, наложени от европейското законодателство, може да бъде както предимство, така и предизвикателство.</w:t>
      </w:r>
    </w:p>
    <w:p w:rsidR="006737FC" w:rsidRDefault="006737FC" w:rsidP="006737FC">
      <w:pPr>
        <w:rPr>
          <w:rFonts w:eastAsia="Batang"/>
          <w:highlight w:val="yellow"/>
        </w:rPr>
      </w:pPr>
      <w:r>
        <w:rPr>
          <w:rFonts w:eastAsia="Batang"/>
        </w:rPr>
        <w:t>В предварителните оценки от извършвания от Организацията за икономическо сътрудничество и развитие бюджетен преглед на България, както и в прегледите на Европейската комисия се отчита, че в</w:t>
      </w:r>
      <w:r w:rsidRPr="009F101E">
        <w:rPr>
          <w:rFonts w:eastAsia="Batang"/>
        </w:rPr>
        <w:t>сички фискални правила имат добра теоретична обосновка</w:t>
      </w:r>
      <w:r>
        <w:rPr>
          <w:rFonts w:eastAsia="Batang"/>
        </w:rPr>
        <w:t>, н</w:t>
      </w:r>
      <w:r w:rsidR="00C373E6">
        <w:rPr>
          <w:rFonts w:eastAsia="Batang"/>
        </w:rPr>
        <w:t>о</w:t>
      </w:r>
      <w:r w:rsidRPr="009F101E">
        <w:rPr>
          <w:rFonts w:eastAsia="Batang"/>
        </w:rPr>
        <w:t xml:space="preserve"> </w:t>
      </w:r>
      <w:r>
        <w:rPr>
          <w:rFonts w:eastAsia="Batang"/>
        </w:rPr>
        <w:t>б</w:t>
      </w:r>
      <w:r w:rsidRPr="009F101E">
        <w:rPr>
          <w:rFonts w:eastAsia="Batang"/>
        </w:rPr>
        <w:t xml:space="preserve">ългарските фискални правила </w:t>
      </w:r>
      <w:r>
        <w:rPr>
          <w:rFonts w:eastAsia="Batang"/>
        </w:rPr>
        <w:t>изглеждат</w:t>
      </w:r>
      <w:r w:rsidRPr="009F101E">
        <w:rPr>
          <w:rFonts w:eastAsia="Batang"/>
        </w:rPr>
        <w:t xml:space="preserve"> прекалено сложни, което затруднява тяхното разбиране от политиците и прозрач</w:t>
      </w:r>
      <w:r w:rsidR="005A0F75">
        <w:rPr>
          <w:rFonts w:eastAsia="Batang"/>
        </w:rPr>
        <w:t>ността за широката общественост -</w:t>
      </w:r>
      <w:r w:rsidRPr="009F101E">
        <w:rPr>
          <w:rFonts w:eastAsia="Batang"/>
        </w:rPr>
        <w:t xml:space="preserve"> предизвикателство, което н</w:t>
      </w:r>
      <w:r>
        <w:rPr>
          <w:rFonts w:eastAsia="Batang"/>
        </w:rPr>
        <w:t xml:space="preserve">е е характерно само за България, и за други държави </w:t>
      </w:r>
      <w:r w:rsidRPr="009F101E">
        <w:rPr>
          <w:rFonts w:eastAsia="Batang"/>
        </w:rPr>
        <w:t xml:space="preserve">в рамките на Европейския съюз. </w:t>
      </w:r>
    </w:p>
    <w:p w:rsidR="00724B97" w:rsidRPr="00A23D73" w:rsidRDefault="00724B97" w:rsidP="00A23D73">
      <w:pPr>
        <w:pStyle w:val="Heading3"/>
        <w:ind w:left="709" w:hanging="567"/>
        <w:jc w:val="both"/>
      </w:pPr>
      <w:bookmarkStart w:id="760" w:name="_Toc465070531"/>
      <w:bookmarkStart w:id="761" w:name="_Toc465205581"/>
      <w:r w:rsidRPr="00A23D73">
        <w:t>Качество на публичните финанси</w:t>
      </w:r>
      <w:bookmarkEnd w:id="760"/>
      <w:bookmarkEnd w:id="761"/>
      <w:r w:rsidRPr="00A23D73">
        <w:t xml:space="preserve"> </w:t>
      </w:r>
    </w:p>
    <w:p w:rsidR="00660965" w:rsidRPr="001F17FC" w:rsidRDefault="00660965" w:rsidP="00660965">
      <w:pPr>
        <w:rPr>
          <w:rFonts w:eastAsia="Batang"/>
        </w:rPr>
      </w:pPr>
      <w:r w:rsidRPr="001F17FC">
        <w:rPr>
          <w:rFonts w:eastAsia="Batang"/>
        </w:rPr>
        <w:t>Стратегията на политиката в областта на качеството на публичните финанси следва последователните действия за институционални, нормативни и методологически промени в посока на подобряване управлението на публичните финанси.</w:t>
      </w:r>
    </w:p>
    <w:p w:rsidR="00660965" w:rsidRPr="001F17FC" w:rsidRDefault="00660965" w:rsidP="00660965">
      <w:pPr>
        <w:rPr>
          <w:rFonts w:eastAsia="Batang"/>
        </w:rPr>
      </w:pPr>
      <w:r w:rsidRPr="001F17FC">
        <w:rPr>
          <w:rFonts w:eastAsia="Batang"/>
        </w:rPr>
        <w:t>Независимо от установената трайна уредба на бюджетната рамка с приемането на Закона за публичните финанси през 2013 г., продължават усилията за усъвършенстване на нормативната база в областта на бюджета, които са съпроводени от наблюдение и анализ на прилагането на бюджетното законодателство и на бюджетните практики, както и на спазването на фискалните правила.</w:t>
      </w:r>
    </w:p>
    <w:p w:rsidR="00660965" w:rsidRPr="001F17FC" w:rsidRDefault="00660965" w:rsidP="00660965">
      <w:pPr>
        <w:rPr>
          <w:rFonts w:eastAsia="Batang"/>
        </w:rPr>
      </w:pPr>
      <w:r w:rsidRPr="001F17FC">
        <w:rPr>
          <w:rFonts w:eastAsia="Batang"/>
        </w:rPr>
        <w:t xml:space="preserve">Присъединяването на Република България към ОИСР е кауза с високо значение за страната, тъй като дейността на тази организация обхваща почти всички аспекти на социално-икономическия живот. Правителството на Република България е декларирало ясно намеренията си за засилено сътрудничество с ОИСР, като с Решение № 789 на Министерския съвет от 2017 г. е създаден постоянно действащ Междуведомствен координационен механизъм по кандидатурата на Република България за членство в организацията. </w:t>
      </w:r>
    </w:p>
    <w:p w:rsidR="00660965" w:rsidRPr="001F17FC" w:rsidRDefault="00660965" w:rsidP="00660965">
      <w:pPr>
        <w:rPr>
          <w:rFonts w:eastAsia="Batang"/>
        </w:rPr>
      </w:pPr>
      <w:r w:rsidRPr="001F17FC">
        <w:rPr>
          <w:rFonts w:eastAsia="Batang"/>
        </w:rPr>
        <w:t>Министерският съвет одобри проект на Споразумение между Министерството на финансите на Република България и Организацията за икономическо сътрудничество и развитие за извършване на бюджетен преглед на България, като след проведените преговори то беше подписано на 7 март 2019 г. в София от министъра на финансите и на 21 март 2019 г. в Париж от представители на ОИСР.</w:t>
      </w:r>
    </w:p>
    <w:p w:rsidR="00660965" w:rsidRPr="001F17FC" w:rsidRDefault="00660965" w:rsidP="00660965">
      <w:pPr>
        <w:rPr>
          <w:rFonts w:eastAsia="Batang"/>
        </w:rPr>
      </w:pPr>
      <w:r w:rsidRPr="001F17FC">
        <w:rPr>
          <w:rFonts w:eastAsia="Batang"/>
        </w:rPr>
        <w:t xml:space="preserve">Предприемайки стъпки за възлагането на бюджетния преглед от страна на ОИСР, България </w:t>
      </w:r>
      <w:r>
        <w:rPr>
          <w:rFonts w:eastAsia="Batang"/>
        </w:rPr>
        <w:t>е</w:t>
      </w:r>
      <w:r w:rsidRPr="001F17FC">
        <w:rPr>
          <w:rFonts w:eastAsia="Batang"/>
        </w:rPr>
        <w:t xml:space="preserve"> оценявана по степента на съответствие с насоките „OECD Council Recommendation on Budgetary Governance (2015)“</w:t>
      </w:r>
      <w:r w:rsidRPr="00116333">
        <w:rPr>
          <w:rFonts w:eastAsia="Batang"/>
        </w:rPr>
        <w:t>, което дава възможността на България да се сравнява с утвърдени международни стандарти и най-добри практики в процеса на бюджетиране и фискално управление</w:t>
      </w:r>
      <w:r w:rsidRPr="001F17FC">
        <w:rPr>
          <w:rFonts w:eastAsia="Batang"/>
        </w:rPr>
        <w:t xml:space="preserve">. </w:t>
      </w:r>
    </w:p>
    <w:p w:rsidR="00660965" w:rsidRPr="005E7490" w:rsidRDefault="00660965" w:rsidP="00660965">
      <w:pPr>
        <w:rPr>
          <w:rFonts w:eastAsia="Batang"/>
        </w:rPr>
      </w:pPr>
      <w:r w:rsidRPr="005E7490">
        <w:rPr>
          <w:rFonts w:eastAsia="Batang"/>
        </w:rPr>
        <w:t>Структурата на бюджетните прегледи на ОИСР следва аналогична рамка – стратегически план/фискална рамка, бюджетен процес на етапите на планиране, съставяне, изпълнение и отчитане на бюджета, правомощия и функции на законодателната власт в бюджетния процес, бюджетна прозрачност, счетоводство и одит със специален акцент върху участието на Сметната палата в процеса. Области с особен интерес от страна на ОИСР са хоризонт</w:t>
      </w:r>
      <w:r w:rsidR="00E34F4D">
        <w:rPr>
          <w:rFonts w:eastAsia="Batang"/>
        </w:rPr>
        <w:t>ът</w:t>
      </w:r>
      <w:r w:rsidRPr="005E7490">
        <w:rPr>
          <w:rFonts w:eastAsia="Batang"/>
        </w:rPr>
        <w:t xml:space="preserve"> на средносрочно фискално и бюджетно планиране, програмно бюджетиране, капиталово бюджетиране и бюджетиране към определени целеви групи.</w:t>
      </w:r>
    </w:p>
    <w:p w:rsidR="00660965" w:rsidRPr="005E7490" w:rsidRDefault="00660965" w:rsidP="00660965">
      <w:pPr>
        <w:rPr>
          <w:rFonts w:eastAsia="Batang"/>
        </w:rPr>
      </w:pPr>
      <w:r>
        <w:rPr>
          <w:rFonts w:eastAsia="Batang"/>
        </w:rPr>
        <w:t>Прегледът на ОИСР се разработва на базата на информация, извлечена от попълнен от българските власти</w:t>
      </w:r>
      <w:r w:rsidRPr="005E7490">
        <w:rPr>
          <w:rFonts w:eastAsia="Batang"/>
        </w:rPr>
        <w:t xml:space="preserve"> обширен въпросник, обхващащ различни аспекти от управлението на публичните финанси – институционална рамка (включваща правна рамка и финансови отношения между различните нива на правителството), яснота на фискалните цели, средносрочно стратегическо планиране, капиталово бюджетиране, прозрачност и достъпност на бюджетните документи, дебат върху бюджетните избори, съставяне на бюджета, извънбюджетни фондове и данъчни разходи, счетоводна основа, публични предприятия и приватизация, изпълнение на бюджета (административна организация, касово управление и финансова отчетност, бюджетна дисциплина, промени по бюджетите, предоставяне на услуги), програмно и ориентирано към резултатите бюджетиране, оценка и управление на дългосрочната устойчивост и на фискалните рискове, качество на бюджетните прогнози и на фискалните планове. Важно е да се отбележи, че </w:t>
      </w:r>
      <w:r>
        <w:rPr>
          <w:rFonts w:eastAsia="Batang"/>
        </w:rPr>
        <w:t>източници на информацията за п</w:t>
      </w:r>
      <w:r w:rsidR="005A0F75">
        <w:rPr>
          <w:rFonts w:eastAsia="Batang"/>
        </w:rPr>
        <w:t xml:space="preserve">регледа са различни институции </w:t>
      </w:r>
      <w:r w:rsidR="005A0F75" w:rsidRPr="005A0F75">
        <w:rPr>
          <w:rFonts w:eastAsia="Batang"/>
        </w:rPr>
        <w:t>–</w:t>
      </w:r>
      <w:r w:rsidRPr="005E7490">
        <w:rPr>
          <w:rFonts w:eastAsia="Batang"/>
        </w:rPr>
        <w:t xml:space="preserve"> Народното събрание, Фискалният съвет</w:t>
      </w:r>
      <w:r>
        <w:rPr>
          <w:rFonts w:eastAsia="Batang"/>
        </w:rPr>
        <w:t>,</w:t>
      </w:r>
      <w:r w:rsidRPr="005E7490">
        <w:rPr>
          <w:rFonts w:eastAsia="Batang"/>
        </w:rPr>
        <w:t xml:space="preserve"> Сметната палата</w:t>
      </w:r>
      <w:r>
        <w:rPr>
          <w:rFonts w:eastAsia="Batang"/>
        </w:rPr>
        <w:t>, административни звена от Администрацията на Министерския съвет, секторни министерства и</w:t>
      </w:r>
      <w:r w:rsidRPr="005E7490">
        <w:rPr>
          <w:rFonts w:eastAsia="Batang"/>
        </w:rPr>
        <w:t xml:space="preserve"> Министерството на финансите.</w:t>
      </w:r>
    </w:p>
    <w:p w:rsidR="00660965" w:rsidRPr="00116333" w:rsidRDefault="00660965" w:rsidP="00660965">
      <w:pPr>
        <w:rPr>
          <w:rFonts w:eastAsia="Batang"/>
        </w:rPr>
      </w:pPr>
      <w:r w:rsidRPr="005E7490">
        <w:rPr>
          <w:rFonts w:eastAsia="Batang"/>
        </w:rPr>
        <w:t xml:space="preserve">Предварителните резултати от прегледа бяха представени на </w:t>
      </w:r>
      <w:r>
        <w:rPr>
          <w:rFonts w:eastAsia="Batang"/>
        </w:rPr>
        <w:t xml:space="preserve">организираната от ОИСР 14-та </w:t>
      </w:r>
      <w:r w:rsidRPr="005E7490">
        <w:rPr>
          <w:rFonts w:eastAsia="Batang"/>
        </w:rPr>
        <w:t xml:space="preserve">годишна среща на висши бюджетни служители за Централна, Източна и Югоизточна Европа, провела се в гр. Минск, Беларус на 4-5 юли </w:t>
      </w:r>
      <w:r>
        <w:rPr>
          <w:rFonts w:eastAsia="Batang"/>
        </w:rPr>
        <w:t>2019 г</w:t>
      </w:r>
      <w:r w:rsidRPr="005E7490">
        <w:rPr>
          <w:rFonts w:eastAsia="Batang"/>
        </w:rPr>
        <w:t xml:space="preserve">. </w:t>
      </w:r>
      <w:r w:rsidRPr="00116333">
        <w:rPr>
          <w:rFonts w:eastAsia="Batang"/>
        </w:rPr>
        <w:t>Предварителните оц</w:t>
      </w:r>
      <w:r w:rsidR="005A0F75">
        <w:rPr>
          <w:rFonts w:eastAsia="Batang"/>
        </w:rPr>
        <w:t>енки на ОИСР изтъкват стабилния</w:t>
      </w:r>
      <w:r w:rsidRPr="00116333">
        <w:rPr>
          <w:rFonts w:eastAsia="Batang"/>
        </w:rPr>
        <w:t xml:space="preserve"> икономически растеж през последните години, както и доброто състояние на публичните финанси – нисък държавен дълг и бюджетен баланс. Като основни силни страни са подчертани средносрочната бюджетна рамка и бюджетното прогнозиране в съответствие с Европейската система от сметки, фискалните правила, доброто развитие на програмното бюджетиране, както и повишаването на бюджетната прозрачност и отчетност през последните години. По отношение на качеството на публичните финанси са отбелязани инициативите за приоритизиране на ключови индикатори, за провеждане на прегледи на разходите, както и изготвената методология за извършване на прегледи на разходите. Отбелязано е значението на независимата фискална институция – Фискалният съвет и на Сметната палата, която има важни функции по отношение на финансовата отчетност. За капиталовото бюджетиране е отбелязано, че е интегрирано в цялостната фискална политика на правителството, както и че Министерският съвет е приел рамка за одобряване на капиталови инвестиции.</w:t>
      </w:r>
    </w:p>
    <w:p w:rsidR="00660965" w:rsidRPr="00116333" w:rsidRDefault="00660965" w:rsidP="00660965">
      <w:pPr>
        <w:rPr>
          <w:rFonts w:eastAsia="Batang"/>
        </w:rPr>
      </w:pPr>
      <w:r w:rsidRPr="00116333">
        <w:rPr>
          <w:rFonts w:eastAsia="Batang"/>
        </w:rPr>
        <w:t>Очаква се окончателния</w:t>
      </w:r>
      <w:r w:rsidR="00005B6D">
        <w:rPr>
          <w:rFonts w:eastAsia="Batang"/>
        </w:rPr>
        <w:t>т</w:t>
      </w:r>
      <w:r w:rsidRPr="00116333">
        <w:rPr>
          <w:rFonts w:eastAsia="Batang"/>
        </w:rPr>
        <w:t xml:space="preserve"> доклад да бъде завършен в рамките на 2019 г. и да бъде публикуван в първото издание за 2020 г. на OECD Journal on Budgeting.</w:t>
      </w:r>
    </w:p>
    <w:p w:rsidR="00660965" w:rsidRPr="00116333" w:rsidRDefault="00660965" w:rsidP="00660965">
      <w:pPr>
        <w:rPr>
          <w:rFonts w:eastAsia="Batang"/>
        </w:rPr>
      </w:pPr>
      <w:r w:rsidRPr="00116333">
        <w:rPr>
          <w:rFonts w:eastAsia="Batang"/>
        </w:rPr>
        <w:t xml:space="preserve">През м. март България получи покана от Международното бюджетно партньорство отново да участва в Проучването за отворен бюджет (Open Budget Survey), като отговори на Въпросника за 2019 г. относно бюджетната прозрачност в България. След постигнатото подобрение в оценката си за бюджетна прозрачност в международния </w:t>
      </w:r>
      <w:hyperlink r:id="rId45" w:history="1">
        <w:r w:rsidRPr="00116333">
          <w:rPr>
            <w:rFonts w:eastAsia="Batang"/>
          </w:rPr>
          <w:t>показател „Отворен бюджет“ за 2017</w:t>
        </w:r>
      </w:hyperlink>
      <w:r w:rsidRPr="00116333">
        <w:rPr>
          <w:rFonts w:eastAsia="Batang"/>
        </w:rPr>
        <w:t xml:space="preserve"> до 66 пункта (от максимални 100), което означава, че страната ни предоставя „значителна информация“ за бюджета, съгласно представените предварителни резултати България бележи значителен напредък благодарение на усилията на МФ и други институции за повишаване на бюджетната прозрачност (очаквано значително увеличение на оценката за прозрачност</w:t>
      </w:r>
      <w:r w:rsidR="00B5350E">
        <w:rPr>
          <w:rFonts w:eastAsia="Batang"/>
        </w:rPr>
        <w:t xml:space="preserve"> спрямо 2017 г.</w:t>
      </w:r>
      <w:r w:rsidRPr="00116333">
        <w:rPr>
          <w:rFonts w:eastAsia="Batang"/>
        </w:rPr>
        <w:t>, съгласно предварителн</w:t>
      </w:r>
      <w:r w:rsidR="00C66D66">
        <w:rPr>
          <w:rFonts w:eastAsia="Batang"/>
        </w:rPr>
        <w:t>ите резултати от проучването за</w:t>
      </w:r>
      <w:r w:rsidR="000E715A">
        <w:rPr>
          <w:rFonts w:eastAsia="Batang"/>
        </w:rPr>
        <w:t xml:space="preserve"> </w:t>
      </w:r>
      <w:r w:rsidRPr="00116333">
        <w:rPr>
          <w:rFonts w:eastAsia="Batang"/>
        </w:rPr>
        <w:t>2019 г.).</w:t>
      </w:r>
    </w:p>
    <w:p w:rsidR="00660965" w:rsidRPr="00116333" w:rsidRDefault="00660965" w:rsidP="00660965">
      <w:pPr>
        <w:rPr>
          <w:rFonts w:eastAsia="Batang"/>
        </w:rPr>
      </w:pPr>
      <w:r w:rsidRPr="00116333">
        <w:rPr>
          <w:rFonts w:eastAsia="Batang"/>
        </w:rPr>
        <w:t xml:space="preserve">Основните направления на повишаването на резултата са свързани с представяне на допълнителна информация в проекта на </w:t>
      </w:r>
      <w:r w:rsidR="00005B6D">
        <w:rPr>
          <w:rFonts w:eastAsia="Batang"/>
        </w:rPr>
        <w:t>з</w:t>
      </w:r>
      <w:r w:rsidRPr="00116333">
        <w:rPr>
          <w:rFonts w:eastAsia="Batang"/>
        </w:rPr>
        <w:t>акон за държавния бюджет/актуализираната средносрочна бюджетна прогноза (многогодишни оценки за индивидуалните източници на приходите, информация за структурата на дълга на края на бюджетната година, информация за въздействието на различните макроикономически допускания върху бюджета, оценки на разходите за годината по всички три разходни класификации - административна, икономическа и функционална, алтернативно представяне на разходите по два начина с цел илюстриране на финансовото въздействие на политиките върху различни групи граждани за бюджетната година, информация за квазифискалните дейности за бюджетната година, информация за всички условни задължения за бюджетната година, информация за данъчните разходи за бюджетната година, оценки как предлаганият бюджет е обвързан с целите на правителствените политики за бюджетната година и за многогодишен период заедно с текстово описание).</w:t>
      </w:r>
    </w:p>
    <w:p w:rsidR="00660965" w:rsidRPr="00116333" w:rsidRDefault="00660965" w:rsidP="00660965">
      <w:pPr>
        <w:rPr>
          <w:rFonts w:eastAsia="Batang"/>
        </w:rPr>
      </w:pPr>
      <w:r w:rsidRPr="00116333">
        <w:rPr>
          <w:rFonts w:eastAsia="Batang"/>
        </w:rPr>
        <w:t>По отношение на отчет</w:t>
      </w:r>
      <w:r w:rsidR="004A6BC4">
        <w:rPr>
          <w:rFonts w:eastAsia="Batang"/>
        </w:rPr>
        <w:t>ността</w:t>
      </w:r>
      <w:r w:rsidRPr="00116333">
        <w:rPr>
          <w:rFonts w:eastAsia="Batang"/>
        </w:rPr>
        <w:t xml:space="preserve"> напредъкът е свързан с включването на актуализирана макроикономическа прогноза за текущата бюджетна година в отчета на консолидираната фискална програма на полугодието, както и представяне на разликите между действителните нива на разходите и тези по закон и на разликите между първоначалната макроикономическа прогноза за фискалната година и действителния резултат в годишния отчет за изпълнението на държавния бюджет.</w:t>
      </w:r>
    </w:p>
    <w:p w:rsidR="00660965" w:rsidRPr="00116333" w:rsidRDefault="00660965" w:rsidP="00660965">
      <w:pPr>
        <w:rPr>
          <w:rFonts w:eastAsia="Batang"/>
        </w:rPr>
      </w:pPr>
      <w:r w:rsidRPr="00116333">
        <w:rPr>
          <w:rFonts w:eastAsia="Batang"/>
        </w:rPr>
        <w:t>Заслуга от останалите институции имат и Сметната палата (извършен одит на всички разходи в рамките на мандата й), както и Комисията по бюджет и финанси в Народното събрание чрез извършена проверка на изпълнението на приетия бюджет в рамките на периода на бюджетното изпълнение.</w:t>
      </w:r>
    </w:p>
    <w:p w:rsidR="00C373E6" w:rsidRDefault="004A6BC4" w:rsidP="00C373E6">
      <w:pPr>
        <w:rPr>
          <w:rFonts w:eastAsia="Batang"/>
        </w:rPr>
      </w:pPr>
      <w:r>
        <w:rPr>
          <w:rFonts w:eastAsia="Batang"/>
        </w:rPr>
        <w:t>Във връзка с решението за разширяване на обхвата на програмното бюджетиране</w:t>
      </w:r>
      <w:r w:rsidRPr="003142E0">
        <w:rPr>
          <w:rFonts w:eastAsia="Batang"/>
        </w:rPr>
        <w:t xml:space="preserve"> </w:t>
      </w:r>
      <w:r w:rsidR="00660965" w:rsidRPr="003142E0">
        <w:rPr>
          <w:rFonts w:eastAsia="Batang"/>
        </w:rPr>
        <w:t>с Решение № 520 от 29 август 2019 г. беше изменено Решение № 502 на Министерския съвет от 2017 г. за утвърждаване на класификация на областите на политики/функционалните области и бюджетните програми от компетентността и отговорността на съответния първостепенен разпоредител с бюджет по бюджетите на Министерския съвет, на министерствата, на държавните агенции и на Държавен фонд „Земеделие“ за периода 2018-2021 г., с което бяха дефинирани функционални области и бюджетни програми на новоопределените да прилагат програмен формат на бюджет първостепенни разпоредители с бюджет.</w:t>
      </w:r>
      <w:r w:rsidR="00C373E6" w:rsidRPr="00C373E6">
        <w:rPr>
          <w:rFonts w:eastAsia="Batang"/>
        </w:rPr>
        <w:t xml:space="preserve"> </w:t>
      </w:r>
    </w:p>
    <w:p w:rsidR="00C373E6" w:rsidRPr="00E21F1F" w:rsidRDefault="00C373E6" w:rsidP="00C373E6">
      <w:pPr>
        <w:rPr>
          <w:rFonts w:eastAsia="Batang"/>
        </w:rPr>
      </w:pPr>
      <w:r>
        <w:rPr>
          <w:rFonts w:eastAsia="Batang"/>
        </w:rPr>
        <w:t>К</w:t>
      </w:r>
      <w:r w:rsidRPr="00114A17">
        <w:rPr>
          <w:rFonts w:eastAsia="Batang"/>
        </w:rPr>
        <w:t>ачеството на публичните финанси се град</w:t>
      </w:r>
      <w:r>
        <w:rPr>
          <w:rFonts w:eastAsia="Batang"/>
        </w:rPr>
        <w:t>и</w:t>
      </w:r>
      <w:r w:rsidRPr="00114A17">
        <w:rPr>
          <w:rFonts w:eastAsia="Batang"/>
        </w:rPr>
        <w:t xml:space="preserve"> на основата на разработваните макроикономически и бюджетни прогнози в подкрепа</w:t>
      </w:r>
      <w:r>
        <w:rPr>
          <w:rFonts w:eastAsia="Batang"/>
        </w:rPr>
        <w:t xml:space="preserve"> </w:t>
      </w:r>
      <w:r w:rsidRPr="00114A17">
        <w:rPr>
          <w:rFonts w:eastAsia="Batang"/>
        </w:rPr>
        <w:t xml:space="preserve">на провежданата от правителството благоразумна фискална политика, като </w:t>
      </w:r>
      <w:r>
        <w:rPr>
          <w:rFonts w:eastAsia="Batang"/>
        </w:rPr>
        <w:t xml:space="preserve">за целта </w:t>
      </w:r>
      <w:r w:rsidRPr="00114A17">
        <w:rPr>
          <w:rFonts w:eastAsia="Batang"/>
        </w:rPr>
        <w:t xml:space="preserve">е необходим коректив – независим орган, който със своите функции да насърчава </w:t>
      </w:r>
      <w:r>
        <w:rPr>
          <w:rFonts w:eastAsia="Batang"/>
        </w:rPr>
        <w:t>у</w:t>
      </w:r>
      <w:r w:rsidRPr="00114A17">
        <w:rPr>
          <w:rFonts w:eastAsia="Batang"/>
        </w:rPr>
        <w:t>стойчивостта</w:t>
      </w:r>
      <w:r>
        <w:rPr>
          <w:rFonts w:eastAsia="Batang"/>
        </w:rPr>
        <w:t xml:space="preserve"> на бюджетната рамка, в т.ч.</w:t>
      </w:r>
      <w:r w:rsidRPr="00114A17">
        <w:rPr>
          <w:rFonts w:eastAsia="Batang"/>
        </w:rPr>
        <w:t xml:space="preserve"> и </w:t>
      </w:r>
      <w:r>
        <w:rPr>
          <w:rFonts w:eastAsia="Batang"/>
        </w:rPr>
        <w:t>като следи за</w:t>
      </w:r>
      <w:r w:rsidRPr="00114A17">
        <w:rPr>
          <w:rFonts w:eastAsia="Batang"/>
        </w:rPr>
        <w:t xml:space="preserve"> спазване</w:t>
      </w:r>
      <w:r>
        <w:rPr>
          <w:rFonts w:eastAsia="Batang"/>
        </w:rPr>
        <w:t>то</w:t>
      </w:r>
      <w:r w:rsidRPr="00114A17">
        <w:rPr>
          <w:rFonts w:eastAsia="Batang"/>
        </w:rPr>
        <w:t xml:space="preserve"> на фискални</w:t>
      </w:r>
      <w:r w:rsidR="00E34F4D">
        <w:rPr>
          <w:rFonts w:eastAsia="Batang"/>
        </w:rPr>
        <w:t>те</w:t>
      </w:r>
      <w:r w:rsidRPr="00114A17">
        <w:rPr>
          <w:rFonts w:eastAsia="Batang"/>
        </w:rPr>
        <w:t xml:space="preserve"> правила</w:t>
      </w:r>
      <w:r>
        <w:rPr>
          <w:rFonts w:eastAsia="Batang"/>
        </w:rPr>
        <w:t>, както за наличието на корективни механизми в случаи на отклонения от поставените цели.</w:t>
      </w:r>
    </w:p>
    <w:p w:rsidR="00C373E6" w:rsidRPr="00114A17" w:rsidRDefault="00C373E6" w:rsidP="00C373E6">
      <w:pPr>
        <w:rPr>
          <w:rFonts w:eastAsia="Batang"/>
        </w:rPr>
      </w:pPr>
      <w:r>
        <w:rPr>
          <w:rFonts w:eastAsia="Batang"/>
        </w:rPr>
        <w:t xml:space="preserve">Засилената рамка за фискално управление в рамките на ЕС </w:t>
      </w:r>
      <w:r w:rsidRPr="004D6FD9">
        <w:rPr>
          <w:rFonts w:eastAsia="Batang"/>
        </w:rPr>
        <w:t>разшири ролята и официализира задачите на националните</w:t>
      </w:r>
      <w:r>
        <w:rPr>
          <w:rFonts w:eastAsia="Batang"/>
        </w:rPr>
        <w:t xml:space="preserve"> независими фискални институции, което намери място в националното законодателство.</w:t>
      </w:r>
    </w:p>
    <w:p w:rsidR="00C373E6" w:rsidRDefault="00C373E6" w:rsidP="00C373E6">
      <w:pPr>
        <w:rPr>
          <w:rFonts w:eastAsia="Batang"/>
        </w:rPr>
      </w:pPr>
      <w:r w:rsidRPr="005C562A">
        <w:rPr>
          <w:rFonts w:eastAsia="Batang"/>
        </w:rPr>
        <w:t xml:space="preserve">Ефективното взаимодействие на Министерството на финансите с Фискалния съвет при подготовката на основните бюджетни документи дава </w:t>
      </w:r>
      <w:r>
        <w:rPr>
          <w:rFonts w:eastAsia="Batang"/>
        </w:rPr>
        <w:t xml:space="preserve">своя принос за повишаване качеството и надеждността на информацията и данните на базата на анализи, оценки и препоръки на Фискалния съвет. Фискалният съвет </w:t>
      </w:r>
      <w:r w:rsidRPr="00780F9C">
        <w:rPr>
          <w:rFonts w:eastAsia="Batang"/>
        </w:rPr>
        <w:t>допринася</w:t>
      </w:r>
      <w:r>
        <w:rPr>
          <w:rFonts w:eastAsia="Batang"/>
        </w:rPr>
        <w:t xml:space="preserve"> и</w:t>
      </w:r>
      <w:r w:rsidRPr="00780F9C">
        <w:rPr>
          <w:rFonts w:eastAsia="Batang"/>
        </w:rPr>
        <w:t xml:space="preserve"> за повиш</w:t>
      </w:r>
      <w:r>
        <w:rPr>
          <w:rFonts w:eastAsia="Batang"/>
        </w:rPr>
        <w:t>аване на</w:t>
      </w:r>
      <w:r w:rsidRPr="00780F9C">
        <w:rPr>
          <w:rFonts w:eastAsia="Batang"/>
        </w:rPr>
        <w:t xml:space="preserve"> отчетност</w:t>
      </w:r>
      <w:r>
        <w:rPr>
          <w:rFonts w:eastAsia="Batang"/>
        </w:rPr>
        <w:t>та</w:t>
      </w:r>
      <w:r w:rsidRPr="00780F9C">
        <w:rPr>
          <w:rFonts w:eastAsia="Batang"/>
        </w:rPr>
        <w:t xml:space="preserve"> и подобр</w:t>
      </w:r>
      <w:r>
        <w:rPr>
          <w:rFonts w:eastAsia="Batang"/>
        </w:rPr>
        <w:t>яване</w:t>
      </w:r>
      <w:r w:rsidRPr="00780F9C">
        <w:rPr>
          <w:rFonts w:eastAsia="Batang"/>
        </w:rPr>
        <w:t xml:space="preserve"> </w:t>
      </w:r>
      <w:r>
        <w:rPr>
          <w:rFonts w:eastAsia="Batang"/>
        </w:rPr>
        <w:t xml:space="preserve">на </w:t>
      </w:r>
      <w:r w:rsidRPr="00780F9C">
        <w:rPr>
          <w:rFonts w:eastAsia="Batang"/>
        </w:rPr>
        <w:t>фискална</w:t>
      </w:r>
      <w:r w:rsidR="00E34F4D">
        <w:rPr>
          <w:rFonts w:eastAsia="Batang"/>
        </w:rPr>
        <w:t>та</w:t>
      </w:r>
      <w:r w:rsidRPr="00780F9C">
        <w:rPr>
          <w:rFonts w:eastAsia="Batang"/>
        </w:rPr>
        <w:t xml:space="preserve"> прозрачност</w:t>
      </w:r>
      <w:r>
        <w:rPr>
          <w:rFonts w:eastAsia="Batang"/>
        </w:rPr>
        <w:t xml:space="preserve"> посредством </w:t>
      </w:r>
      <w:r w:rsidRPr="005C562A">
        <w:rPr>
          <w:rFonts w:eastAsia="Batang"/>
        </w:rPr>
        <w:t>наблюдение</w:t>
      </w:r>
      <w:r>
        <w:rPr>
          <w:rFonts w:eastAsia="Batang"/>
        </w:rPr>
        <w:t>то</w:t>
      </w:r>
      <w:r w:rsidRPr="005C562A">
        <w:rPr>
          <w:rFonts w:eastAsia="Batang"/>
        </w:rPr>
        <w:t xml:space="preserve"> </w:t>
      </w:r>
      <w:r w:rsidR="00E34F4D">
        <w:rPr>
          <w:rFonts w:eastAsia="Batang"/>
        </w:rPr>
        <w:t xml:space="preserve">за </w:t>
      </w:r>
      <w:r w:rsidRPr="005C562A">
        <w:rPr>
          <w:rFonts w:eastAsia="Batang"/>
        </w:rPr>
        <w:t xml:space="preserve">спазването на числовите фискални правила и за индикиране при наличие на потенциални рискове за бюджета. </w:t>
      </w:r>
    </w:p>
    <w:p w:rsidR="00B76B62" w:rsidRDefault="00660965" w:rsidP="001A3E3F">
      <w:pPr>
        <w:rPr>
          <w:rFonts w:eastAsia="Batang"/>
        </w:rPr>
      </w:pPr>
      <w:r w:rsidRPr="003142E0">
        <w:rPr>
          <w:rFonts w:eastAsia="Batang"/>
        </w:rPr>
        <w:t>В настоящата актуализирана средносрочна бюджетна прогноза намират място и ключовите индикатори за измерване на степента на постигане на целите на политиките, провеждани от министерствата и държавните агенции. По този начин продължава процесът на постигане на по-добра обвързаност между финансирането на провежданите политики и постигнатите резултати от изпълнението им. В средносрочен план това трябва да допринесе за създаване на устойчива връзка между стратегическите цели на бюджетните организации и изпълняваните от тях политики/бюджетни програми на база мониторинг на дефинираните от тях ключови индикатори за изпълнение и очакваните ефекти за обществото.</w:t>
      </w:r>
    </w:p>
    <w:p w:rsidR="00660965" w:rsidRPr="00CC424F" w:rsidRDefault="00660965" w:rsidP="001A3E3F">
      <w:pPr>
        <w:rPr>
          <w:rFonts w:eastAsia="Batang"/>
        </w:rPr>
        <w:sectPr w:rsidR="00660965" w:rsidRPr="00CC424F" w:rsidSect="002F422B">
          <w:headerReference w:type="even" r:id="rId46"/>
          <w:headerReference w:type="default" r:id="rId47"/>
          <w:headerReference w:type="first" r:id="rId48"/>
          <w:type w:val="oddPage"/>
          <w:pgSz w:w="11906" w:h="16838" w:code="9"/>
          <w:pgMar w:top="1418" w:right="1418" w:bottom="851" w:left="1418" w:header="709" w:footer="709" w:gutter="0"/>
          <w:cols w:space="708"/>
          <w:titlePg/>
          <w:docGrid w:linePitch="360"/>
        </w:sectPr>
      </w:pPr>
    </w:p>
    <w:p w:rsidR="00D16E56" w:rsidRPr="008D2B61" w:rsidRDefault="00D16E56" w:rsidP="00D16E56">
      <w:pPr>
        <w:pStyle w:val="Heading1"/>
      </w:pPr>
      <w:bookmarkStart w:id="762" w:name="_Toc511810188"/>
      <w:bookmarkStart w:id="763" w:name="_Toc23337496"/>
      <w:r w:rsidRPr="001E0DF0">
        <w:rPr>
          <w:noProof/>
        </w:rPr>
        <mc:AlternateContent>
          <mc:Choice Requires="wps">
            <w:drawing>
              <wp:anchor distT="0" distB="0" distL="114300" distR="114300" simplePos="0" relativeHeight="251664384" behindDoc="0" locked="0" layoutInCell="1" allowOverlap="1" wp14:anchorId="2DFC13FB" wp14:editId="3A974AC4">
                <wp:simplePos x="0" y="0"/>
                <wp:positionH relativeFrom="column">
                  <wp:posOffset>-898525</wp:posOffset>
                </wp:positionH>
                <wp:positionV relativeFrom="paragraph">
                  <wp:posOffset>1605128</wp:posOffset>
                </wp:positionV>
                <wp:extent cx="7560310" cy="0"/>
                <wp:effectExtent l="0" t="0" r="21590" b="19050"/>
                <wp:wrapNone/>
                <wp:docPr id="12" name="Straight Connector 12"/>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D54B10" id="Straight Connector 12"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70.75pt,126.4pt" to="524.55pt,1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" strokecolor="#b32c16 [3206]"/>
            </w:pict>
          </mc:Fallback>
        </mc:AlternateContent>
      </w:r>
      <w:r w:rsidRPr="001E0DF0">
        <w:rPr>
          <w:noProof/>
        </w:rPr>
        <mc:AlternateContent>
          <mc:Choice Requires="wps">
            <w:drawing>
              <wp:anchor distT="0" distB="0" distL="114300" distR="114300" simplePos="0" relativeHeight="251662336" behindDoc="1" locked="0" layoutInCell="1" allowOverlap="1" wp14:anchorId="591C1F16" wp14:editId="26E17FB0">
                <wp:simplePos x="0" y="0"/>
                <wp:positionH relativeFrom="column">
                  <wp:posOffset>-897890</wp:posOffset>
                </wp:positionH>
                <wp:positionV relativeFrom="paragraph">
                  <wp:posOffset>-911225</wp:posOffset>
                </wp:positionV>
                <wp:extent cx="7560860" cy="2520000"/>
                <wp:effectExtent l="0" t="0" r="2540" b="0"/>
                <wp:wrapNone/>
                <wp:docPr id="17" name="Rectangle 17"/>
                <wp:cNvGraphicFramePr/>
                <a:graphic xmlns:a="http://schemas.openxmlformats.org/drawingml/2006/main">
                  <a:graphicData uri="http://schemas.microsoft.com/office/word/2010/wordprocessingShape">
                    <wps:wsp>
                      <wps:cNvSpPr/>
                      <wps:spPr>
                        <a:xfrm>
                          <a:off x="0" y="0"/>
                          <a:ext cx="7560860" cy="2520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5DBD935" id="Rectangle 17" o:spid="_x0000_s1026" style="position:absolute;margin-left:-70.7pt;margin-top:-71.75pt;width:595.35pt;height:198.45pt;z-index:-25165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" fillcolor="#f8cec7 [662]" stroked="f" strokeweight="1pt"/>
            </w:pict>
          </mc:Fallback>
        </mc:AlternateContent>
      </w:r>
      <w:r>
        <w:br/>
      </w:r>
      <w:bookmarkEnd w:id="762"/>
      <w:r w:rsidRPr="00D16E56">
        <w:rPr>
          <w:color w:val="auto"/>
        </w:rPr>
        <w:t>Мотиви към предложения</w:t>
      </w:r>
      <w:r w:rsidR="00D032E4">
        <w:rPr>
          <w:color w:val="auto"/>
        </w:rPr>
        <w:t>та</w:t>
      </w:r>
      <w:r w:rsidRPr="00D16E56">
        <w:rPr>
          <w:color w:val="auto"/>
        </w:rPr>
        <w:t xml:space="preserve"> за промяна на други з</w:t>
      </w:r>
      <w:r w:rsidR="00F71641">
        <w:rPr>
          <w:color w:val="auto"/>
        </w:rPr>
        <w:t>акони в проекта на ЗДБРБ за 2020</w:t>
      </w:r>
      <w:r w:rsidRPr="00D16E56">
        <w:rPr>
          <w:color w:val="auto"/>
        </w:rPr>
        <w:t xml:space="preserve"> г.</w:t>
      </w:r>
      <w:bookmarkEnd w:id="763"/>
    </w:p>
    <w:p w:rsidR="008959A3" w:rsidRDefault="008959A3" w:rsidP="008959A3">
      <w:r w:rsidRPr="006B367D">
        <w:t xml:space="preserve">Промените в </w:t>
      </w:r>
      <w:r w:rsidRPr="006B367D">
        <w:rPr>
          <w:b/>
        </w:rPr>
        <w:t>Закона за радиото и телевизията</w:t>
      </w:r>
      <w:r w:rsidRPr="006B367D">
        <w:t xml:space="preserve"> са във връзка с удължаването на срока за финансиране на Съвета за електронни медии, както и за финансиране на дейности със средства от държавния бюджет на БНТ и БНР.</w:t>
      </w:r>
    </w:p>
    <w:p w:rsidR="008959A3" w:rsidRDefault="008959A3" w:rsidP="008959A3">
      <w:r w:rsidRPr="008959A3">
        <w:t xml:space="preserve">В </w:t>
      </w:r>
      <w:r w:rsidRPr="008959A3">
        <w:rPr>
          <w:b/>
        </w:rPr>
        <w:t>Закона за Националната агенция за приходите</w:t>
      </w:r>
      <w:r w:rsidRPr="008959A3">
        <w:t xml:space="preserve"> се предлагат промени с оглед оптимизиране на процедурите по принудително изпълнение в частта на събиране на средства в полза на сметки за средства от Европейския съюз.</w:t>
      </w:r>
    </w:p>
    <w:p w:rsidR="008959A3" w:rsidRDefault="008959A3" w:rsidP="008959A3">
      <w:r>
        <w:t xml:space="preserve">Предложението за промяна в </w:t>
      </w:r>
      <w:r w:rsidRPr="00C14371">
        <w:rPr>
          <w:b/>
        </w:rPr>
        <w:t>Закона за митниците</w:t>
      </w:r>
      <w:r>
        <w:t xml:space="preserve"> е свързано</w:t>
      </w:r>
      <w:r w:rsidRPr="00C14371">
        <w:t xml:space="preserve"> с незначителния обем продажби на конфискуваните активи спрямо общата им стойност</w:t>
      </w:r>
      <w:r>
        <w:t>, както</w:t>
      </w:r>
      <w:r w:rsidRPr="00C14371">
        <w:t xml:space="preserve"> и трудността да се обвържат част от разходите с незначителния обем продажби. Целта е прецизиране на </w:t>
      </w:r>
      <w:r>
        <w:t xml:space="preserve">съответната </w:t>
      </w:r>
      <w:r w:rsidRPr="00C14371">
        <w:t xml:space="preserve">разпоредба в посока оптимизиране на реда </w:t>
      </w:r>
      <w:r>
        <w:t>з</w:t>
      </w:r>
      <w:r w:rsidRPr="00C14371">
        <w:t>а администриране на средствата, които се събират и внасят от Агенция „Митници“ в централния бюджет, представляващи суми от реализацията на изоставени и отнети в полза на държавата стоки и други такива постъпления.</w:t>
      </w:r>
    </w:p>
    <w:p w:rsidR="006A28C3" w:rsidRPr="005152A1" w:rsidRDefault="006A28C3" w:rsidP="006A28C3">
      <w:pPr>
        <w:rPr>
          <w:b/>
        </w:rPr>
      </w:pPr>
      <w:r w:rsidRPr="005152A1">
        <w:rPr>
          <w:b/>
          <w:lang w:bidi="bg-BG"/>
        </w:rPr>
        <w:t>Промени в Закона за данък върху добавената стойност</w:t>
      </w:r>
    </w:p>
    <w:p w:rsidR="006A28C3" w:rsidRPr="005152A1" w:rsidRDefault="006A28C3" w:rsidP="006A28C3">
      <w:r w:rsidRPr="005152A1">
        <w:t>Принудителната административна мярка запечатване на обект за срок до 30 дни по смисъла на чл. 186, ал. 1 от Закона за данък върху добавената стойност (ЗДДС) е насочена от една страна към преустановяването и пресичането на констатирани нарушения по чл. 186, ал. 1, т. 1-5 от ЗДДС, а от друга страна към предотвратяване извършването на такива нарушения в бъдеще. Предварително изпълнение на наложената принудителна административна мярка се допуска когато това се налага, за да се осигури животът или здравето на гражданите, да се защитят особено важни държавни или обществени интереси, при опасност, че може да бъде осуетено или сериозно затруднено изпълнението на акта или ако от закъснението на изпълнението може да последва значителна или трудно поправима вреда, както и по искане на някоя от страните – в защита на особено важен неин интерес. От своя страна разпореждането, с което се допуска или се отказва предварително изпълнение, може да се обжалва чрез административния орган пред съда в тридневен срок от съобщаването му, независимо дали принудителната административна мярка е била оспорена. Подадената жалба обаче не спира допуснатото от административния орган предварително изпълнение.</w:t>
      </w:r>
    </w:p>
    <w:p w:rsidR="006A28C3" w:rsidRPr="005152A1" w:rsidRDefault="006A28C3" w:rsidP="006A28C3">
      <w:r w:rsidRPr="005152A1">
        <w:t>Спецификата на обществените отношения, които се регулират със ЗДДС, налага незабавното решаване на споровете във връзка с допускането на предварително изпълнение, възникнали между административния орган наложил принудителната административна мярка и адресата на тази мярка. В тази връзка краткият срок на самата принудителна ад</w:t>
      </w:r>
      <w:r w:rsidR="00B073E3" w:rsidRPr="005152A1">
        <w:t>министративна мярка (до 30 дни)</w:t>
      </w:r>
      <w:r w:rsidRPr="005152A1">
        <w:t xml:space="preserve"> обезсмисля до голяма степен осъществяването на съдебен контрол, ако определенията на административните съдилища не могат да влязат в сила преди изтичането на този срок. </w:t>
      </w:r>
      <w:r w:rsidR="00B073E3" w:rsidRPr="005152A1">
        <w:t>Според с</w:t>
      </w:r>
      <w:r w:rsidRPr="005152A1">
        <w:t xml:space="preserve">ега действащата редакция на чл. 188 от ЗДДС обаче </w:t>
      </w:r>
      <w:r w:rsidR="00B073E3" w:rsidRPr="005152A1">
        <w:t xml:space="preserve">се </w:t>
      </w:r>
      <w:r w:rsidRPr="005152A1">
        <w:t>предвижда инстанционен контрол върху определенията на административните съдилища, поради което в голяма част от случаите окончателен съдебен акт се постановява след изтичането на срока на принудителната административна мярка.</w:t>
      </w:r>
    </w:p>
    <w:p w:rsidR="006A28C3" w:rsidRDefault="006A28C3" w:rsidP="006A28C3">
      <w:r w:rsidRPr="005152A1">
        <w:t>С оглед така изложените съображения и необходимостта от гарантиране на правната сигурност и принципите за бързина и процесуална икономия, следва да бъде изключен предвидения инстанционен контрол върху определенията на административните съдилища, постановени при обжалването на разпореждането по чл. 188 от ЗДДС, с което законодателно изменение ще бъде обезпечено незабавното решаване на възникналите спорове.</w:t>
      </w:r>
    </w:p>
    <w:p w:rsidR="008959A3" w:rsidRDefault="008959A3" w:rsidP="008959A3">
      <w:r w:rsidRPr="006B367D">
        <w:t xml:space="preserve">Предложението </w:t>
      </w:r>
      <w:r>
        <w:t xml:space="preserve">в </w:t>
      </w:r>
      <w:r w:rsidRPr="006B367D">
        <w:rPr>
          <w:b/>
        </w:rPr>
        <w:t>Закон</w:t>
      </w:r>
      <w:r>
        <w:rPr>
          <w:b/>
        </w:rPr>
        <w:t>а</w:t>
      </w:r>
      <w:r w:rsidRPr="006B367D">
        <w:rPr>
          <w:b/>
        </w:rPr>
        <w:t xml:space="preserve"> за вътрешния одит в публичния сектор</w:t>
      </w:r>
      <w:r w:rsidRPr="006B367D">
        <w:t xml:space="preserve"> произтича от извършена през 2018 г. промяна на статута на Селскостопанската академия от второстепенен разпоредител с бюджет към Министерството на земеделието, храните и горите в бюджетна организация по чл. 13, ал. 4 от Закона за публичните финанси.</w:t>
      </w:r>
    </w:p>
    <w:p w:rsidR="008959A3" w:rsidRDefault="008959A3" w:rsidP="008959A3">
      <w:r>
        <w:t xml:space="preserve">Мотивите за предложената промяна в 283 ал. 2 от </w:t>
      </w:r>
      <w:r w:rsidRPr="000E6DC1">
        <w:rPr>
          <w:b/>
        </w:rPr>
        <w:t xml:space="preserve">Закона за предучилищното и училищното образование </w:t>
      </w:r>
      <w:r w:rsidRPr="000E6DC1">
        <w:t xml:space="preserve">(ЗПУО) </w:t>
      </w:r>
      <w:r>
        <w:t xml:space="preserve">са свързани със: </w:t>
      </w:r>
    </w:p>
    <w:p w:rsidR="008959A3" w:rsidRDefault="008959A3" w:rsidP="00C44263">
      <w:pPr>
        <w:pStyle w:val="ListParagraph"/>
        <w:numPr>
          <w:ilvl w:val="0"/>
          <w:numId w:val="73"/>
        </w:numPr>
      </w:pPr>
      <w:r>
        <w:t>създаване на допълнителни възможности и достъп за професионално образование и обучение /ПОО/ на учениците по защитени специалности или професии, по които е налице очакван недостиг на пазара на труда и са от критична важност за националната икономика;</w:t>
      </w:r>
    </w:p>
    <w:p w:rsidR="008959A3" w:rsidRDefault="008959A3" w:rsidP="00C44263">
      <w:pPr>
        <w:pStyle w:val="ListParagraph"/>
        <w:numPr>
          <w:ilvl w:val="0"/>
          <w:numId w:val="73"/>
        </w:numPr>
      </w:pPr>
      <w:r>
        <w:t>подготовка на специалисти, за които има търсене на пазара на труда, но няма достатъчно желаещи за обучение в тези професии и специалности и за осигуряване на кадри за области, приоритетни за развитието на икономиката на регионално ниво;</w:t>
      </w:r>
    </w:p>
    <w:p w:rsidR="008959A3" w:rsidRDefault="008959A3" w:rsidP="00C44263">
      <w:pPr>
        <w:pStyle w:val="ListParagraph"/>
        <w:numPr>
          <w:ilvl w:val="0"/>
          <w:numId w:val="73"/>
        </w:numPr>
      </w:pPr>
      <w:r>
        <w:t>повишаването на привлекателността на професионалното образование и обучение  в страната  и подобряване на условията за организиране и провеждане на професионалното образование и обучение, както и преодоляване на недостига от специалисти на пазара на труда;</w:t>
      </w:r>
    </w:p>
    <w:p w:rsidR="008959A3" w:rsidRDefault="008959A3" w:rsidP="00C44263">
      <w:pPr>
        <w:pStyle w:val="ListParagraph"/>
        <w:numPr>
          <w:ilvl w:val="0"/>
          <w:numId w:val="73"/>
        </w:numPr>
      </w:pPr>
      <w:r>
        <w:t xml:space="preserve">създаването на адаптивна работна сила чрез включването в ПОО на мотивирани обучавани с интереси и нагласи за професионална реализация и кариерно развитие по професията, която изучават; </w:t>
      </w:r>
    </w:p>
    <w:p w:rsidR="008959A3" w:rsidRDefault="008959A3" w:rsidP="00C44263">
      <w:pPr>
        <w:pStyle w:val="ListParagraph"/>
        <w:numPr>
          <w:ilvl w:val="0"/>
          <w:numId w:val="73"/>
        </w:numPr>
      </w:pPr>
      <w:r>
        <w:t xml:space="preserve">осигуряване на по-тясно обвързване на професионалното образование и обучение с пазара на труда и практическата реализация на завършилите и придобилите професия; </w:t>
      </w:r>
    </w:p>
    <w:p w:rsidR="008959A3" w:rsidRDefault="008959A3" w:rsidP="00C44263">
      <w:pPr>
        <w:pStyle w:val="ListParagraph"/>
        <w:numPr>
          <w:ilvl w:val="0"/>
          <w:numId w:val="73"/>
        </w:numPr>
      </w:pPr>
      <w:r>
        <w:t>мотивиране на учениците  за обучение по защитени специалности или професии, по които е налице очакван недостиг на специалисти на пазара на труда в съседни области на страната;</w:t>
      </w:r>
    </w:p>
    <w:p w:rsidR="008959A3" w:rsidRDefault="008959A3" w:rsidP="00C44263">
      <w:pPr>
        <w:pStyle w:val="ListParagraph"/>
        <w:numPr>
          <w:ilvl w:val="0"/>
          <w:numId w:val="73"/>
        </w:numPr>
      </w:pPr>
      <w:r>
        <w:t xml:space="preserve">създаване на условия и прилагане на ефективни подходи при изготвяне на предложенията за държавен план-прием с оглед гарантиране подготовка на кадри по професии, които са непривлекателни, но необходими за регионалната и националната икономика; </w:t>
      </w:r>
    </w:p>
    <w:p w:rsidR="008959A3" w:rsidRDefault="008959A3" w:rsidP="00C44263">
      <w:pPr>
        <w:pStyle w:val="ListParagraph"/>
        <w:numPr>
          <w:ilvl w:val="0"/>
          <w:numId w:val="73"/>
        </w:numPr>
      </w:pPr>
      <w:r>
        <w:t>повишаване на възможностите за разработване на реални мерки за повишаване на привлекателността на професионалното образование и обучение сред младежите и обществото, както и осигуряване на набор от адекватни умения за професиите на бъдещето.</w:t>
      </w:r>
    </w:p>
    <w:p w:rsidR="008959A3" w:rsidRPr="006B367D" w:rsidRDefault="008959A3" w:rsidP="008959A3">
      <w:r w:rsidRPr="006B367D">
        <w:t xml:space="preserve">С предложената промяна в чл. 283, ал. 3 от </w:t>
      </w:r>
      <w:r w:rsidRPr="0074087A">
        <w:t>Закона за предучилищното и училищното образование</w:t>
      </w:r>
      <w:r w:rsidRPr="006B367D">
        <w:t xml:space="preserve"> ще се осигури възможност за предоставяне на средства от държавния бюджет на частните детски градини и училища за децата и учениците със специални образователни потребности по нормативи за ресурсно подпомагане от началото на календарната 2020 г. Действащата разпоредбата на чл. 283, ал. 3 от ЗПУО указва кои средства за подпомагане на равния достъп и за подкрепа за личностно развитие се предоставят на частните училища и детски градини. Това са средства за ученически стипендии, средства за закупуване на познавателни книжки, учебници и учебни комплекти за безвъзмездно ползване и за училищната библиотека, както и средства за подкрепа на ученици с изявени дарби. В посочената разпоредба не са включени дейности, свързани с допълнителната подкрепа за личностно развитие.</w:t>
      </w:r>
    </w:p>
    <w:p w:rsidR="008959A3" w:rsidRPr="006B367D" w:rsidRDefault="008959A3" w:rsidP="008959A3">
      <w:r w:rsidRPr="006B367D">
        <w:t xml:space="preserve">Предложената промяна ще даде възможност за предоставяне на средства от държавния бюджет за допълнителна подкрепа – ресурсно подпомагане и за децата и учениците със специални образователни потребности от частните детски градини и училища. По този начин ще се постигне равно третиране на всички деца и ученици със специални образователни потребности независимо от институцията, в която се обучават. </w:t>
      </w:r>
    </w:p>
    <w:p w:rsidR="008959A3" w:rsidRDefault="008959A3" w:rsidP="008959A3">
      <w:r w:rsidRPr="006B367D">
        <w:t>С предоставените средства частните детски градини и училища ще могат да осигуряват специалисти за допълнителна подкрепа на деца и ученици със специални образователни потребности и за създаване на условия за приобщаващо образование.</w:t>
      </w:r>
    </w:p>
    <w:p w:rsidR="008959A3" w:rsidRDefault="008959A3" w:rsidP="008959A3">
      <w:r>
        <w:rPr>
          <w:b/>
        </w:rPr>
        <w:t xml:space="preserve">Промени в </w:t>
      </w:r>
      <w:r w:rsidRPr="006B367D">
        <w:rPr>
          <w:b/>
        </w:rPr>
        <w:t>Закон</w:t>
      </w:r>
      <w:r>
        <w:rPr>
          <w:b/>
        </w:rPr>
        <w:t>а</w:t>
      </w:r>
      <w:r w:rsidRPr="006B367D">
        <w:rPr>
          <w:b/>
        </w:rPr>
        <w:t xml:space="preserve"> за професионалното образование и обучение</w:t>
      </w:r>
    </w:p>
    <w:p w:rsidR="008959A3" w:rsidRDefault="008959A3" w:rsidP="008959A3">
      <w:r w:rsidRPr="008959A3">
        <w:t xml:space="preserve">Националната агенция за професионално образование и обучение (НАПОО) е специализиран държавен орган към Министерския съвет (МС) за лицензиране на дейности в системата на професионалното образование и обучение и за координация на институциите, имащи отношение към професионалното ориентиране, обучение и образование. В същото време </w:t>
      </w:r>
      <w:r w:rsidR="003D2251">
        <w:t>нейният ръководител</w:t>
      </w:r>
      <w:r w:rsidRPr="008959A3">
        <w:t xml:space="preserve"> е второстепенен разпоредител с бюджет към министъра на образованието и науката. Агенцията е административна структура по смисъла на Закона за администрацията (ЗА), който е общ закон по отношение на устройството на администрацията в Република България. Законът урежда, от една страна, органите на изпълнителната власт и администрациите, които ги подпомагат, а от друга страна, вътрешното структуриране и длъжностите в тях. Съгласно разпоредбата на чл. 11 от ЗА наименованията и броят на главните дирекции и дирекции в общата и специализираната администрация, техните функции и числеността на персонала в тях се определят с устройствения правилник на съответната администрация.</w:t>
      </w:r>
      <w:r>
        <w:t xml:space="preserve"> </w:t>
      </w:r>
    </w:p>
    <w:p w:rsidR="008959A3" w:rsidRDefault="008959A3" w:rsidP="008959A3">
      <w:r>
        <w:t xml:space="preserve">Няма нормативно установена практика в специален закон, в случая Закона за професионалното образование и обучение (ЗПОО), да се определя числеността на административната структура (НАПОО). Този специален закон регулира обществените отношения, свързани с осигуряване правото на професионално образование и обучение на гражданите; задоволяване на потребностите от квалифицирана работна сила, конкурентоспособна на пазара на труда, и осигуряване на условия за функциониране и развитие на системата на професионалното образование и обучение. Определяне числеността на персонала на агенцията не е в обхвата на обществените отношения, които той регулира. </w:t>
      </w:r>
    </w:p>
    <w:p w:rsidR="008959A3" w:rsidRDefault="008959A3" w:rsidP="008959A3">
      <w:r>
        <w:t>От друга страна, една от провежданите политик</w:t>
      </w:r>
      <w:r w:rsidR="00005B6D">
        <w:t>и</w:t>
      </w:r>
      <w:r>
        <w:t xml:space="preserve"> на правителството е оптимизация на числеността на администрацията. С § 16 от преходните и заключителните разпоредби </w:t>
      </w:r>
      <w:r w:rsidR="00005B6D">
        <w:t>към</w:t>
      </w:r>
      <w:r>
        <w:t xml:space="preserve"> Закона за изменение и допълнение на Закона за администрацията </w:t>
      </w:r>
      <w:r w:rsidR="00005B6D" w:rsidRPr="00005B6D">
        <w:t xml:space="preserve">(ДВ, бр. 15 от 2012 г.; изм. и доп., бр. 96 от 2015 г., бр. 57 и 98 от 2016 г.,бр. 85 от 2017 г., бр. 80 от 2018 г.) </w:t>
      </w:r>
      <w:r>
        <w:t xml:space="preserve">бе въведен така нареченият административен борд на администрацията на изпълнителната власт, като числеността й, установена в съответните устройствени актове към датата на влизането в сила на закона, бе фиксирана като максимален размер и не може да бъде увеличавана, освен чрез компенсирани промени с други разпоредители с бюджет след предварително </w:t>
      </w:r>
      <w:r w:rsidRPr="008959A3">
        <w:t>съгласуване с администрацията на МС. В този смисъл извършената законодателна промяна с въведеното изискване в чл. 41, ал. 3 от ЗПОО (ДВ, бр. 92 от 2018 г.) за увеличаване числеността на агенцията от 21 на 30 щатни бройки е в противоречие с поставените цели за оптимизация на числеността на административните структури.</w:t>
      </w:r>
      <w:r>
        <w:t xml:space="preserve"> </w:t>
      </w:r>
    </w:p>
    <w:p w:rsidR="008959A3" w:rsidRDefault="008959A3" w:rsidP="008959A3">
      <w:r>
        <w:t>Същевременно продължава процесът на електронизиране на голяма част от предоставяните услуги, непрекъсната дигитализация на редица процеси и навлизането на споделените услуги, което неминуемо поражда необходимостта от оптимизиране числеността на администрациите.</w:t>
      </w:r>
    </w:p>
    <w:p w:rsidR="008959A3" w:rsidRDefault="008959A3" w:rsidP="008959A3">
      <w:r w:rsidRPr="007D2BE4">
        <w:t xml:space="preserve">С предложената промяна в </w:t>
      </w:r>
      <w:r w:rsidRPr="007D2BE4">
        <w:rPr>
          <w:b/>
        </w:rPr>
        <w:t>Закона за военноинвалидите и военнопострадалите</w:t>
      </w:r>
      <w:r w:rsidRPr="007D2BE4">
        <w:t xml:space="preserve"> </w:t>
      </w:r>
      <w:r>
        <w:t xml:space="preserve">(ЗВВ) </w:t>
      </w:r>
      <w:r w:rsidRPr="007D2BE4">
        <w:t xml:space="preserve">се разширява социалната защита на лицата по </w:t>
      </w:r>
      <w:r>
        <w:t>закона</w:t>
      </w:r>
      <w:r w:rsidRPr="007D2BE4">
        <w:t>. Предлага се намаляване на частта от цената на лекарствените продукти, която се заплаща от военноинвалидите с намалена работоспособност до 50 на сто и военнопострадалите</w:t>
      </w:r>
      <w:r>
        <w:t>,</w:t>
      </w:r>
      <w:r w:rsidRPr="007D2BE4">
        <w:t xml:space="preserve"> от 50 на сто на 25 на сто, като останалите средства се поемат от държавния бюджет. С направеното предложение в обхвата на лицата, които ще заплащат 25 на сто от цената на лекарствените продукти, по списък, утвърден от министъра на здравеопазването, се включват всички лица определени като военнопострадали по чл.</w:t>
      </w:r>
      <w:r>
        <w:t xml:space="preserve"> </w:t>
      </w:r>
      <w:r w:rsidRPr="007D2BE4">
        <w:t xml:space="preserve">4 от ЗВВ. С изравняването на правата на отделните групи военнопострадали се </w:t>
      </w:r>
      <w:r>
        <w:t xml:space="preserve">цели </w:t>
      </w:r>
      <w:r w:rsidRPr="007D2BE4">
        <w:t>постига</w:t>
      </w:r>
      <w:r>
        <w:t xml:space="preserve">не на </w:t>
      </w:r>
      <w:r w:rsidRPr="007D2BE4">
        <w:t xml:space="preserve"> справедливо отношение и равно третиране към наследниците на починалите военноинвалиди, както и съпругът</w:t>
      </w:r>
      <w:r>
        <w:t xml:space="preserve"> </w:t>
      </w:r>
      <w:r w:rsidRPr="007D2BE4">
        <w:t>(съпругата), децата или родителите на военноинвалидите.</w:t>
      </w:r>
    </w:p>
    <w:p w:rsidR="008959A3" w:rsidRDefault="008959A3" w:rsidP="008959A3">
      <w:r w:rsidRPr="006B367D">
        <w:t xml:space="preserve">С оглед постигане на по-голяма степен на съответствие на провежданите политики и разпределението на публични средства за тяхното реализиране, </w:t>
      </w:r>
      <w:r w:rsidR="00B94BF5">
        <w:t xml:space="preserve">с </w:t>
      </w:r>
      <w:r w:rsidR="00B94BF5" w:rsidRPr="00B94BF5">
        <w:t>промените в</w:t>
      </w:r>
      <w:r w:rsidR="00B94BF5">
        <w:rPr>
          <w:b/>
        </w:rPr>
        <w:t xml:space="preserve"> </w:t>
      </w:r>
      <w:r w:rsidR="00B94BF5" w:rsidRPr="006B367D">
        <w:rPr>
          <w:b/>
        </w:rPr>
        <w:t>Закон</w:t>
      </w:r>
      <w:r w:rsidR="00B94BF5">
        <w:rPr>
          <w:b/>
        </w:rPr>
        <w:t>а</w:t>
      </w:r>
      <w:r w:rsidR="00B94BF5" w:rsidRPr="006B367D">
        <w:rPr>
          <w:b/>
        </w:rPr>
        <w:t xml:space="preserve"> за Националния дарителски фонд „13 века България“</w:t>
      </w:r>
      <w:r w:rsidR="00B94BF5">
        <w:t xml:space="preserve"> </w:t>
      </w:r>
      <w:r w:rsidRPr="006B367D">
        <w:t>се предлага финансовото подпомагане на Националния дарителски фонд „13 века България“ от държавния бюджет по реда на чл. 14, ал. 3 от Закона за Националния дарителски фонд „13 века България“ да се извършва чрез бюджета на Министерството на културата в рамките на целите и приоритетите на утвърдените и провеждани от министъра на културата области на политики, от чиято отговорност и компетентност е тяхното провеждане, а не от централния бюджет. Това ще позволи на първостепенният разпоредител с бюджет в съответствие със стратегическите документи, самостоятелно да приоритизира, определ</w:t>
      </w:r>
      <w:r w:rsidR="00F359E6">
        <w:t>я</w:t>
      </w:r>
      <w:r w:rsidRPr="006B367D">
        <w:t xml:space="preserve"> и контролира реализирането на дейностите на фонда.</w:t>
      </w:r>
    </w:p>
    <w:p w:rsidR="008959A3" w:rsidRDefault="008959A3" w:rsidP="008959A3">
      <w:r>
        <w:t xml:space="preserve">С предлаганите промени в </w:t>
      </w:r>
      <w:r w:rsidRPr="00120F33">
        <w:rPr>
          <w:b/>
        </w:rPr>
        <w:t>Закона за закрила и развитие на културата</w:t>
      </w:r>
      <w:r>
        <w:t xml:space="preserve"> се предлагат мерки за постигане на устойчива и адекватна уредба за финансиране на държавните културни институти, осъществяващи дейности в областта на сценичните изкуства. От началото на въвеждането на модела за финансиране с единните разходни стандарти през 2011 г. се отчита постоянно нарастване на зрителите, но независимо от доказаните резултати на сценичните институти по отношение на творческата им дейност и създаването на високохудожествени културни продукти е необходимо да се осигури устойчивост на финансовата подкрепа, която се предоставя от държавата, както и да се генерира ефикасност, ефективност и икономичност при разходването на публични средства.</w:t>
      </w:r>
    </w:p>
    <w:p w:rsidR="008959A3" w:rsidRDefault="008959A3" w:rsidP="008959A3">
      <w:r>
        <w:t>С предлаганите марки ще се усъвършенства контролът при разходването и отчитането на бюджетните средства, утвърдени по бюджета на Министерството на културата и ще се постигне устойчивост на заложения стандарт на финансиране на държавните културни институти, осъществяващи дейности в областта на сценичните изкуства.</w:t>
      </w:r>
    </w:p>
    <w:p w:rsidR="00B073E3" w:rsidRDefault="008959A3" w:rsidP="008959A3">
      <w:r w:rsidRPr="00A105FD">
        <w:t xml:space="preserve">С предлаганите промени на </w:t>
      </w:r>
      <w:r w:rsidRPr="00A105FD">
        <w:rPr>
          <w:b/>
        </w:rPr>
        <w:t>Закона за електронните съобщения и Закона за пощенските услуги</w:t>
      </w:r>
      <w:r w:rsidRPr="00A105FD">
        <w:t xml:space="preserve"> се привеждат в съответствие с изискванията на Закона за публичните финанси </w:t>
      </w:r>
      <w:r w:rsidR="00A105FD" w:rsidRPr="00A105FD">
        <w:t>(</w:t>
      </w:r>
      <w:r w:rsidRPr="00A105FD">
        <w:t>по</w:t>
      </w:r>
      <w:r w:rsidR="00643F0B" w:rsidRPr="00A105FD">
        <w:t>-</w:t>
      </w:r>
      <w:r w:rsidRPr="00A105FD">
        <w:t xml:space="preserve">специално с изискванията на чл. 15, чл. 17, ал. 1 и чл. 121, </w:t>
      </w:r>
      <w:r w:rsidR="00E74D13">
        <w:t xml:space="preserve">             </w:t>
      </w:r>
      <w:r w:rsidRPr="00A105FD">
        <w:t>ал. 1</w:t>
      </w:r>
      <w:r w:rsidR="00A105FD" w:rsidRPr="00A105FD">
        <w:t>)</w:t>
      </w:r>
      <w:r w:rsidRPr="00A105FD">
        <w:t xml:space="preserve"> разпоредбите</w:t>
      </w:r>
      <w:r w:rsidR="00B94BF5" w:rsidRPr="00A105FD">
        <w:t>,</w:t>
      </w:r>
      <w:r w:rsidRPr="007F773D">
        <w:t xml:space="preserve"> свързани с администрирането на приходите от Комисията за регулиране на съобщенията и предоставянето на трансфер за сметка на тези приходи по бюджета на Министерството на транспорта, информационните технологии и съобщенията. С предложените промени се постига съществено облекчаване на процеса на администриране на приходите от такси и глоби на Комисията за регулиране на съобщенията, като отпадат досегашните съотношения за разпределяне на приходи от различните видове такси и глоби, събирани от Комисията за регулиране на съобщенията, като едновременно с това се постига съобразяване на размера на трансфера за Министерството на транспорта, информационните технологии и съобщенията с разходната част на бюджета на Комисията за регулиране на съобщенията чрез ограничаването на размера на този трансфер до размера на превишението на планираните приходи над разходите по бюджета на Комисията за регулиране на съобщенията.</w:t>
      </w:r>
    </w:p>
    <w:p w:rsidR="00B073E3" w:rsidRPr="005152A1" w:rsidRDefault="00B073E3" w:rsidP="008959A3">
      <w:pPr>
        <w:rPr>
          <w:lang w:bidi="bg-BG"/>
        </w:rPr>
      </w:pPr>
      <w:r w:rsidRPr="005152A1">
        <w:rPr>
          <w:b/>
          <w:lang w:bidi="bg-BG"/>
        </w:rPr>
        <w:t>Промени в Закона за изпълнение на наказанията и задържането под стража</w:t>
      </w:r>
      <w:r w:rsidR="00705EFC" w:rsidRPr="005152A1">
        <w:rPr>
          <w:b/>
          <w:lang w:bidi="bg-BG"/>
        </w:rPr>
        <w:t xml:space="preserve"> – </w:t>
      </w:r>
      <w:r w:rsidR="00705EFC" w:rsidRPr="005152A1">
        <w:rPr>
          <w:lang w:bidi="bg-BG"/>
        </w:rPr>
        <w:t xml:space="preserve">мотивите за </w:t>
      </w:r>
      <w:r w:rsidR="005152A1" w:rsidRPr="005152A1">
        <w:rPr>
          <w:lang w:bidi="bg-BG"/>
        </w:rPr>
        <w:t xml:space="preserve">предложените </w:t>
      </w:r>
      <w:r w:rsidR="00705EFC" w:rsidRPr="005152A1">
        <w:rPr>
          <w:lang w:bidi="bg-BG"/>
        </w:rPr>
        <w:t>промени са следните:</w:t>
      </w:r>
    </w:p>
    <w:p w:rsidR="00705EFC" w:rsidRPr="005152A1" w:rsidRDefault="00705EFC" w:rsidP="00705EFC">
      <w:r w:rsidRPr="005152A1">
        <w:rPr>
          <w:b/>
        </w:rPr>
        <w:t>1.</w:t>
      </w:r>
      <w:r w:rsidRPr="005152A1">
        <w:t xml:space="preserve"> С предложеното изменение и допълнение на Закона за изпълнение на наказанията и задържането под стража се внася промяна във функционалната подсъдност на този вид дела, която засяга както постановените по съществото на споровете съдебни решения, така </w:t>
      </w:r>
      <w:r w:rsidR="000F4CBD" w:rsidRPr="005152A1">
        <w:t xml:space="preserve">и </w:t>
      </w:r>
      <w:r w:rsidRPr="005152A1">
        <w:t xml:space="preserve">определенията и разпорежданията на съда. Законодателното предложение държи сметка за необходимостта, с оглед защита на правото на достъп до съд в полза на гражданите, регламентирано в чл. 6 </w:t>
      </w:r>
      <w:r w:rsidR="000F4CBD" w:rsidRPr="005152A1">
        <w:t>ЕСПЧ</w:t>
      </w:r>
      <w:r w:rsidRPr="005152A1">
        <w:t>, за необходимостта от запазване на системата на двуинстанционност в исковите съдебни производства, която гарантира валидността, допустимостта и правилността на постановените първоинстанционни съдебни актове. Произнасянето на касационен съдебен състав е гаранция за това, че исковата претенция ще бъде разгледана задълбочено от две съдебни инстанции от гледна точка на спазване на материалния и процесуалния закон за защита правата на лицата, лишени от свобода или задържани под стража.</w:t>
      </w:r>
    </w:p>
    <w:p w:rsidR="00705EFC" w:rsidRPr="005152A1" w:rsidRDefault="00705EFC" w:rsidP="00705EFC">
      <w:r w:rsidRPr="005152A1">
        <w:t>Нормата на чл. 285, ал.</w:t>
      </w:r>
      <w:r w:rsidR="000F4CBD" w:rsidRPr="005152A1">
        <w:t xml:space="preserve"> </w:t>
      </w:r>
      <w:r w:rsidRPr="005152A1">
        <w:t xml:space="preserve">1, предл. второ от Закона за изпълнение на наказанията и задържането под стража (ЗИНЗС) има характер на специална по отношение на чл. 211, ал. 1 от </w:t>
      </w:r>
      <w:r w:rsidR="00B10F44" w:rsidRPr="005152A1">
        <w:t>Административнопроцесуалния кодекс (АПК)</w:t>
      </w:r>
      <w:r w:rsidRPr="005152A1">
        <w:t xml:space="preserve"> и предоставя в компетентност на тричленен състав на същия административен съд да се произнася по касационните жалби срещу съдебните актове на първата съдебна инстанция в исковите производства по този закон, както и по частните жалби срещу обжалваемите определения и разпореждания на съда.</w:t>
      </w:r>
    </w:p>
    <w:p w:rsidR="00705EFC" w:rsidRPr="005152A1" w:rsidRDefault="00705EFC" w:rsidP="00705EFC">
      <w:r w:rsidRPr="005152A1">
        <w:t>От процесуална гледна точка възлагането на касационна компетентност на тричленни съдебни състави на административните съдилища има характер на вече установена законодателна практика, доказала в хода на многогодишно правоприлагане ефективността и целесъобразността си. Така например тричленните състави на административните съдилища се произнасят като касационна инстанция в производствата по чл. 63 от Закона за административните нарушения и наказания, в производствата по чл. 14, ал. 3 от Закона за собствеността и ползването на земеделските земи, както и в случаите на чл. 88 от Изборния кодекс.</w:t>
      </w:r>
    </w:p>
    <w:p w:rsidR="00705EFC" w:rsidRPr="005152A1" w:rsidRDefault="00BF0E1A" w:rsidP="00705EFC">
      <w:r w:rsidRPr="005152A1">
        <w:t>Настоящият закон –</w:t>
      </w:r>
      <w:r w:rsidR="00705EFC" w:rsidRPr="005152A1">
        <w:t xml:space="preserve"> ЗИНЗС също е възприел и въвел като целесъобразен този подход. Предложението за изменение на ЗИНЗС следва вече създадената функционална подсъдност на делата, с които се въвеждат специалните превантивни мерки за защита на лишените от свобода и задържаните под стража, съдържащи се в предходната Част шеста на закона, а именно – разпоредбите на чл. 276-283 от ЗИНЗС. По силата на чл. 281 от ЗИНЗС, разпореждането на административния съд в този случай подлежи на обжалване пред тричленен състав на същия съд.</w:t>
      </w:r>
    </w:p>
    <w:p w:rsidR="00705EFC" w:rsidRPr="005152A1" w:rsidRDefault="00705EFC" w:rsidP="00705EFC">
      <w:r w:rsidRPr="005152A1">
        <w:t>Изменението е продиктувано от необходимостта да се създаде еднакъв режим на съдебните производства, разглеждани по реда на ЗИНЗС, които преимуществено са или едноинстанционни, или, в случай на касационно обжалване, се оспорват пред касационен тричленен състав на същия съд. Еднаквият режим на съдебните производства, що се отнася до обжалваемостта на съдебните решения по касационен ред на първоинстнационния съд изпълнява конституционните и международноправните изискванията за качество на закона, с оглед неговата  предвидимост и обезпечаване на правна сигурност. Това включва и създаване на еднакъв режим на обжалваемост както на съдебните решения, така и на постановените от административния съд определения и разпореждания, в случаите, когато същите подлежат на обжалване с частна жалба.</w:t>
      </w:r>
    </w:p>
    <w:p w:rsidR="00705EFC" w:rsidRPr="005152A1" w:rsidRDefault="00705EFC" w:rsidP="00705EFC">
      <w:r w:rsidRPr="005152A1">
        <w:t>Предложената промяна цели да изпълни и изискването за разглеждане на този вид производства, които в основната си част за предназначени да послужат като ефективно вътрешноправно средство за защита на основните права, защитени от ЕСПЧ, с бързина и ефективност. Така, без да се нарушава задължението по чл. 6 ЕСПЧ, делата да се разгледат в разумен срок, максимално бързо се достига да окончателно разрешаване на правния спор и се постига изпълнение на съдебния акт, а по този начин се осъществява целта на закона.</w:t>
      </w:r>
    </w:p>
    <w:p w:rsidR="00705EFC" w:rsidRPr="005152A1" w:rsidRDefault="00705EFC" w:rsidP="00705EFC">
      <w:r w:rsidRPr="005152A1">
        <w:t>Създадената специална подсъдност на касационното обжалване в исковите производства по ЗИНЗС и производствата по частните жалби ще задълбочи диалога между съдиите и съдилищата, натоварени по силата на правилата за местната подсъдност да разглеждат този вид искове, относно уеднаквяване на приложимите от тях критерии при определяне на размерите на присъжданите обезщетения. От анализа на съдебната практика по прилагане на обезщетителния механизъм на ЗИНЗС може да се направи извод, че специалните процесуални правила, съдържащи се в закона, водят до положителни резултати, що се отнася до признаване на основателността на исковите претенции. Различия в съдебната практика между отделните административни съдилища, и между тях и Върховния административен съд, се наблюдават основно при определяне размерите на обезщетенията при сходни обстоятелства – условия, продължителност на нарушенията и др. Новата подсъдност на касационните производства ще изисква по-задълбочено сътрудничество между съдебните органи и необходимост от уеднаквяване на практиката. В случаите, когато касационен съдебен състав не може да бъде формиран по предвидени в закона причини, приложение ще намери разпоредбата на чл. 133, ал. 6 от АПК, според която Върховният административен съд постановява изпращане на делото на друг равен по степен административен съд.</w:t>
      </w:r>
    </w:p>
    <w:p w:rsidR="00705EFC" w:rsidRPr="005152A1" w:rsidRDefault="00705EFC" w:rsidP="00705EFC">
      <w:r w:rsidRPr="005152A1">
        <w:t>С предложената промяна се разрешава по целесъобразен и ефективен начин съществуващият логистичен и финансов въпрос, свързан с довеждане и престой в сградата на Върховния административен съд в гр. София на призованите за касационните производства лица от местата за лишаване от свобода в цялата страна, които желаят да присъстват и лично да защитят правата си. Конвоирането на страните по делата от местата за лишаване от свобода до Върховния административен съд изисква ангажиране на сериозен персонален и финансов ресурс, обезпечен от органите на Съдебна охрана, прилагане на специални мерки за сигурност за страните по делата и гражданите. С предложената промяна в закона, конвоирането на страните от местата за лишаване от свобода ще се извършва само до административния съд в същия съдебен район за участие в касационното производство, което ще улесни правото им на участие в процеса, ще доведе до избягване на случаите на забавяне на процеса или отлагане на делата по свързани с транспортирането проблеми, както и до спестяване на финансови средства.</w:t>
      </w:r>
    </w:p>
    <w:p w:rsidR="00705EFC" w:rsidRPr="005152A1" w:rsidRDefault="00705EFC" w:rsidP="00705EFC">
      <w:r w:rsidRPr="005152A1">
        <w:rPr>
          <w:b/>
        </w:rPr>
        <w:t>2.</w:t>
      </w:r>
      <w:r w:rsidRPr="005152A1">
        <w:t xml:space="preserve"> С предложеното изменение на чл. 285, ал. 1 , предл. първо, чрез замяна на израза „по чл. 284, ал. 1“ , с думите „за обезщетение“, без да се променя начинът на правна регламентация на този вид искове и без да се засяга тяхната правна природа, се извършва уеднаквяване на правната терминология в уредбата на исковете за обезщетение, съдържаща се в Административнопроцесуалния кодекс и настоящия ЗИНЗС. Извършва се правно-терминологично прецизиране на използвания в закона понятиен апарат, без това да влияе върху основната уредба на този вид правоотношения. Чрез предложената промяна използваните от Административнопроцесуалния кодекс изрази, обозначаващи исковете за обезщетение, се уеднаквавяват с термините, използвани в ЗИНЗС.</w:t>
      </w:r>
    </w:p>
    <w:p w:rsidR="00705EFC" w:rsidRPr="005152A1" w:rsidRDefault="00705EFC" w:rsidP="00705EFC">
      <w:r w:rsidRPr="005152A1">
        <w:rPr>
          <w:b/>
        </w:rPr>
        <w:t>3.</w:t>
      </w:r>
      <w:r w:rsidRPr="005152A1">
        <w:t xml:space="preserve"> Предложената промяна на чл. 285, ал. 2 от ЗИНЗС цели да внесе яснота както за страните, така и за съда, относно начина на определяне на надлежния ответник по делата по исковете за обезщетения, предявени по този ред. Първата алинея на чл. 285 препраща за реда на разглеждане на исковете към глава единадесета на АПК. Систематично в процесуалния ред на АПК се съдържа правилото на чл. 205 за определяне на надлежен ответник по исковете за обезщетения и това е юридическото лице, представлявано от органа, от чийто незаконосъобразен акт, действие или бездействие са причинени вредите.</w:t>
      </w:r>
    </w:p>
    <w:p w:rsidR="00705EFC" w:rsidRPr="005152A1" w:rsidRDefault="00705EFC" w:rsidP="00705EFC">
      <w:r w:rsidRPr="005152A1">
        <w:t xml:space="preserve">Съществуващата до настоящия момент законова уредба в чл. 285, ал. 2 от ЗИНЗС сочи като надлежни ответници не юридическото лице, а самите органи по чл. 284, ал. 1 от закона, от чиито актове, действия или бездействия са причинени вредите. Текстът на чл. 284, ал. 2 от ЗИНЗС възпроизвежда изцяло законовата регламентация, съдържаща се в чл. 7 </w:t>
      </w:r>
      <w:r w:rsidR="004E058F" w:rsidRPr="005152A1">
        <w:t xml:space="preserve">от </w:t>
      </w:r>
      <w:r w:rsidRPr="005152A1">
        <w:t>Закона за отговорността на държавата и общините за вреди (ЗОДОВ) на начина на определяне на ответника в делата по ЗОДОВ. Нормата на чл. 7 от ЗОДОВ, от своя страна, макар и частично изменена през 2008 г. и 2012 г., не е променена от приемането й през 1988 г. в нейната същност досежно правилото за определяне на надлежния ответник по делата по чл. 1 и чл. 2 от ЗОДОВ. Тя не е била синхронизирана с разпоредбата на чл. 205 от приетия през 2006 г. АПК. Макар и приета през 2017 г., разпоредбата на чл. 285, ал. 2 също не държи сметка за съществуващата уредба на ответника в АПК, според която искът за обезщетение се предявява срещу юридическото лице, представлявано от органа, от чийто незаконосъобразен акт, действие или бездействие са причинени вредите.</w:t>
      </w:r>
    </w:p>
    <w:p w:rsidR="00705EFC" w:rsidRPr="004E058F" w:rsidRDefault="00705EFC" w:rsidP="00705EFC">
      <w:r w:rsidRPr="005152A1">
        <w:t>Съществуващото противоречие при тълкуване и прилагане на закона относно реда за определяне на надлежен ответник по този вид дела е източник на противоречива съдебна практика, довела и до осъждане на страната от ЕСПЧ. Това налага изменение на закона чрез заличаване на израза „срещу органите по чл. 284, ал. 1, от чиито актове, действия или бездействия са причинени вредите“. По този начин, чрез изричната препратка, съдържаща се в ал. 1 на чл. 285 от ЗИНЗС към процесуалния ред по глава единадесета на АПК, ответникът по делата ще се определя по правилото на чл. 205 от АПК, според което искът за обезщетение се предявява срещу юридическото лице, представлявано от органа, от чийто незаконосъобразен акт, действие или бездействие са причинени вредите. На практика, преимуществено по делата на лицата, лишени от свобода или задържани под стража, като ответник ще бъде конституирана Главната дирекция „Изпълнение на наказанията“ или Министерство на правосъдието.</w:t>
      </w:r>
    </w:p>
    <w:p w:rsidR="008959A3" w:rsidRDefault="008959A3" w:rsidP="008959A3">
      <w:r w:rsidRPr="007F773D">
        <w:t xml:space="preserve">С предложените промени в чл. 46 на </w:t>
      </w:r>
      <w:r w:rsidRPr="007F773D">
        <w:rPr>
          <w:b/>
        </w:rPr>
        <w:t>Закона за държавния бюджет на Република България за 2019 г.</w:t>
      </w:r>
      <w:r w:rsidRPr="007F773D">
        <w:t xml:space="preserve"> се осигуряват допълнителни разходи за персонал, в размер на 3,6 млн. лв., на Държавната агенция „Технически операции“ за 2019 г. С увеличение на средствата за персонал на агенцията се прави усилие за подсилване на мотивацията и укрепване на капацитета на служителите в сферата на националната сигурност. Повишаването на способността на персонала на агенцията да изпълнява основните специфични задачи, възложени със Закона за специалните разузнавателни средства, ще допринесе за изпълнението в пълен обем на дейностите по осигуряване и прилагане на специалните разузнавателни средства за целите на наказателния процес и защита на националната сигурност, както и ще се постигне по-голяма ефективност в работата и взаимодействието на всички структури в областта на националната сигурност и обществения ред.</w:t>
      </w:r>
      <w:r>
        <w:t xml:space="preserve"> </w:t>
      </w:r>
      <w:r w:rsidRPr="007F773D">
        <w:t>С проекта на закон се предлага и създаването на нов чл. 98 в ЗДБРБ за 2019 г. С него се предвижда ограничението по чл. 94, ал. 3, т. 2 от Закона за публичните финанси относно определянето на максимален размер на ангажиментите за разходи, които общината може да поеме в рамките на текущата година, да не се прилага за разходи по сключени договори за услуги за сметка на средствата от такса битови отпадъци и такива за сметка на получени допълнителни целеви трансфери от централния бюджет. С тази разпоредба се преодоляват някои обективни проблеми на общините при сключването на договори за изпълнение на посочените дейности и едновременно с това недопускане на нарушение на въведеното законово ограничение на максималния размер на ангажиментите, които общините могат да поемат през годината.</w:t>
      </w:r>
    </w:p>
    <w:p w:rsidR="007F773D" w:rsidRPr="006B367D" w:rsidRDefault="007F773D" w:rsidP="006B367D">
      <w:pPr>
        <w:rPr>
          <w:highlight w:val="yellow"/>
        </w:rPr>
        <w:sectPr w:rsidR="007F773D" w:rsidRPr="006B367D" w:rsidSect="00FF16A0">
          <w:headerReference w:type="default" r:id="rId49"/>
          <w:footerReference w:type="even" r:id="rId50"/>
          <w:headerReference w:type="first" r:id="rId51"/>
          <w:pgSz w:w="11906" w:h="16838" w:code="9"/>
          <w:pgMar w:top="1418" w:right="1418" w:bottom="851" w:left="1418" w:header="708" w:footer="708" w:gutter="0"/>
          <w:cols w:space="708"/>
          <w:titlePg/>
          <w:docGrid w:linePitch="360"/>
        </w:sectPr>
      </w:pPr>
      <w:bookmarkStart w:id="764" w:name="_Toc464466466"/>
      <w:bookmarkStart w:id="765" w:name="_Toc464466710"/>
      <w:bookmarkStart w:id="766" w:name="_Toc464466739"/>
      <w:bookmarkStart w:id="767" w:name="_Toc464470250"/>
      <w:bookmarkStart w:id="768" w:name="_Toc464645031"/>
      <w:bookmarkStart w:id="769" w:name="_Toc464646384"/>
      <w:bookmarkStart w:id="770" w:name="_Toc464224822"/>
      <w:bookmarkStart w:id="771" w:name="_Toc464225472"/>
      <w:bookmarkStart w:id="772" w:name="_Toc464459019"/>
      <w:bookmarkStart w:id="773" w:name="_Toc464459767"/>
      <w:bookmarkStart w:id="774" w:name="_Toc464460720"/>
      <w:bookmarkStart w:id="775" w:name="_Toc464463119"/>
      <w:bookmarkStart w:id="776" w:name="_Toc464464948"/>
      <w:bookmarkStart w:id="777" w:name="_Toc464465455"/>
      <w:bookmarkStart w:id="778" w:name="_Toc464465643"/>
    </w:p>
    <w:p w:rsidR="00D56DB0" w:rsidRDefault="001E0DF0" w:rsidP="00184C71">
      <w:pPr>
        <w:pStyle w:val="Heading1"/>
        <w:ind w:left="709"/>
      </w:pPr>
      <w:bookmarkStart w:id="779" w:name="_Toc23337497"/>
      <w:r w:rsidRPr="001E0DF0">
        <w:rPr>
          <w:noProof/>
        </w:rPr>
        <mc:AlternateContent>
          <mc:Choice Requires="wps">
            <w:drawing>
              <wp:anchor distT="0" distB="0" distL="114300" distR="114300" simplePos="0" relativeHeight="251651072" behindDoc="0" locked="0" layoutInCell="1" allowOverlap="1" wp14:anchorId="33EC3D9B" wp14:editId="090445C5">
                <wp:simplePos x="0" y="0"/>
                <wp:positionH relativeFrom="column">
                  <wp:posOffset>-706120</wp:posOffset>
                </wp:positionH>
                <wp:positionV relativeFrom="paragraph">
                  <wp:posOffset>749935</wp:posOffset>
                </wp:positionV>
                <wp:extent cx="10685780" cy="0"/>
                <wp:effectExtent l="0" t="0" r="20320" b="19050"/>
                <wp:wrapNone/>
                <wp:docPr id="699" name="Straight Connector 699"/>
                <wp:cNvGraphicFramePr/>
                <a:graphic xmlns:a="http://schemas.openxmlformats.org/drawingml/2006/main">
                  <a:graphicData uri="http://schemas.microsoft.com/office/word/2010/wordprocessingShape">
                    <wps:wsp>
                      <wps:cNvCnPr/>
                      <wps:spPr>
                        <a:xfrm>
                          <a:off x="0" y="0"/>
                          <a:ext cx="1068578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03BCEF7" id="Straight Connector 699" o:spid="_x0000_s1026" style="position:absolute;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6pt,59.05pt" to="785.8pt,5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" strokecolor="#b32c16 [3206]"/>
            </w:pict>
          </mc:Fallback>
        </mc:AlternateContent>
      </w:r>
      <w:r w:rsidRPr="001E0DF0">
        <w:rPr>
          <w:noProof/>
        </w:rPr>
        <mc:AlternateContent>
          <mc:Choice Requires="wps">
            <w:drawing>
              <wp:anchor distT="0" distB="0" distL="114300" distR="114300" simplePos="0" relativeHeight="251649024" behindDoc="1" locked="0" layoutInCell="1" allowOverlap="1" wp14:anchorId="03F53D9C" wp14:editId="72492F22">
                <wp:simplePos x="0" y="0"/>
                <wp:positionH relativeFrom="page">
                  <wp:posOffset>0</wp:posOffset>
                </wp:positionH>
                <wp:positionV relativeFrom="page">
                  <wp:posOffset>0</wp:posOffset>
                </wp:positionV>
                <wp:extent cx="10684800" cy="1652400"/>
                <wp:effectExtent l="0" t="0" r="2540" b="5080"/>
                <wp:wrapNone/>
                <wp:docPr id="698" name="Rectangle 698"/>
                <wp:cNvGraphicFramePr/>
                <a:graphic xmlns:a="http://schemas.openxmlformats.org/drawingml/2006/main">
                  <a:graphicData uri="http://schemas.microsoft.com/office/word/2010/wordprocessingShape">
                    <wps:wsp>
                      <wps:cNvSpPr/>
                      <wps:spPr>
                        <a:xfrm>
                          <a:off x="0" y="0"/>
                          <a:ext cx="10684800" cy="16524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8E767D" id="Rectangle 698" o:spid="_x0000_s1026" style="position:absolute;margin-left:0;margin-top:0;width:841.3pt;height:130.1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" fillcolor="#f8cec7 [662]" stroked="f" strokeweight="1pt">
                <w10:wrap anchorx="page" anchory="page"/>
              </v:rect>
            </w:pict>
          </mc:Fallback>
        </mc:AlternateContent>
      </w:r>
      <w:r w:rsidR="00A40B97">
        <w:t xml:space="preserve"> </w:t>
      </w:r>
      <w:bookmarkStart w:id="780" w:name="_Toc465205582"/>
      <w:r w:rsidR="00D56DB0" w:rsidRPr="001E0DF0">
        <w:rPr>
          <w:color w:val="auto"/>
        </w:rPr>
        <w:t>Приложения</w:t>
      </w:r>
      <w:bookmarkEnd w:id="764"/>
      <w:bookmarkEnd w:id="765"/>
      <w:bookmarkEnd w:id="766"/>
      <w:bookmarkEnd w:id="767"/>
      <w:bookmarkEnd w:id="768"/>
      <w:bookmarkEnd w:id="769"/>
      <w:bookmarkEnd w:id="779"/>
      <w:bookmarkEnd w:id="780"/>
    </w:p>
    <w:p w:rsidR="00270AAD" w:rsidRDefault="00270AAD" w:rsidP="00DE2BDB">
      <w:pPr>
        <w:pStyle w:val="Heading2"/>
        <w:sectPr w:rsidR="00270AAD" w:rsidSect="00FF16A0">
          <w:type w:val="oddPage"/>
          <w:pgSz w:w="16838" w:h="11906" w:orient="landscape" w:code="9"/>
          <w:pgMar w:top="1418" w:right="1134" w:bottom="851" w:left="1134" w:header="709" w:footer="709" w:gutter="0"/>
          <w:cols w:num="2" w:space="708"/>
          <w:titlePg/>
          <w:docGrid w:linePitch="360"/>
        </w:sectPr>
      </w:pPr>
    </w:p>
    <w:p w:rsidR="00574A2C" w:rsidRPr="00B46E28" w:rsidRDefault="00574A2C" w:rsidP="00DE2BDB">
      <w:pPr>
        <w:pStyle w:val="Heading2"/>
        <w:numPr>
          <w:ilvl w:val="0"/>
          <w:numId w:val="0"/>
        </w:numPr>
      </w:pPr>
      <w:bookmarkStart w:id="781" w:name="_Toc465205583"/>
      <w:bookmarkStart w:id="782" w:name="_Toc23337498"/>
      <w:r w:rsidRPr="00574A2C">
        <w:t xml:space="preserve">ПРИЛОЖЕНИЕ № 1: </w:t>
      </w:r>
      <w:r w:rsidR="005D4B70">
        <w:br/>
      </w:r>
      <w:r w:rsidRPr="00B46E28">
        <w:t>ПРЕГЛЕ</w:t>
      </w:r>
      <w:r w:rsidR="00E46B2B" w:rsidRPr="00B46E28">
        <w:t>Д НА ИЗПЪЛНЕНИЕТО НА КФП ЗА 201</w:t>
      </w:r>
      <w:r w:rsidR="00B96BA2">
        <w:t>8</w:t>
      </w:r>
      <w:r w:rsidRPr="00B46E28">
        <w:t xml:space="preserve"> Г., </w:t>
      </w:r>
      <w:r w:rsidR="00B96BA2">
        <w:t xml:space="preserve">преглед на текущото </w:t>
      </w:r>
      <w:r w:rsidRPr="00B46E28">
        <w:t>ИЗПЪЛНЕНИЕ</w:t>
      </w:r>
      <w:r w:rsidR="00B96BA2">
        <w:t xml:space="preserve"> на кфп за 2019 г</w:t>
      </w:r>
      <w:r w:rsidRPr="00B46E28">
        <w:t>. И ОЦЕНКА НА ИЗПЪЛНЕНИЕТО НА КФП ЗА 201</w:t>
      </w:r>
      <w:r w:rsidR="00B96BA2">
        <w:t>9</w:t>
      </w:r>
      <w:r w:rsidRPr="00B46E28">
        <w:t xml:space="preserve"> Г.</w:t>
      </w:r>
      <w:bookmarkEnd w:id="781"/>
      <w:bookmarkEnd w:id="782"/>
    </w:p>
    <w:p w:rsidR="00574A2C" w:rsidRPr="00903869" w:rsidRDefault="00574A2C" w:rsidP="00DE2BDB">
      <w:pPr>
        <w:pStyle w:val="Heading2"/>
      </w:pPr>
      <w:bookmarkStart w:id="783" w:name="_Toc465205584"/>
      <w:bookmarkStart w:id="784" w:name="_Toc465206049"/>
      <w:bookmarkStart w:id="785" w:name="_Toc23337499"/>
      <w:bookmarkEnd w:id="770"/>
      <w:bookmarkEnd w:id="771"/>
      <w:bookmarkEnd w:id="772"/>
      <w:bookmarkEnd w:id="773"/>
      <w:bookmarkEnd w:id="774"/>
      <w:bookmarkEnd w:id="775"/>
      <w:bookmarkEnd w:id="776"/>
      <w:bookmarkEnd w:id="777"/>
      <w:bookmarkEnd w:id="778"/>
      <w:r w:rsidRPr="00E64CE8">
        <w:rPr>
          <w:rStyle w:val="Heading2Char"/>
          <w:b/>
          <w:bCs/>
        </w:rPr>
        <w:t>П</w:t>
      </w:r>
      <w:r w:rsidR="00603B38">
        <w:rPr>
          <w:rStyle w:val="Heading2Char"/>
          <w:b/>
          <w:bCs/>
        </w:rPr>
        <w:t>РЕГЛЕД НА ИЗПЪЛНЕНИЕТО НА</w:t>
      </w:r>
      <w:r w:rsidRPr="00E64CE8">
        <w:rPr>
          <w:rStyle w:val="Heading2Char"/>
          <w:b/>
          <w:bCs/>
        </w:rPr>
        <w:t xml:space="preserve"> КФП </w:t>
      </w:r>
      <w:r w:rsidR="00603B38" w:rsidRPr="00E64CE8">
        <w:rPr>
          <w:rStyle w:val="Heading2Char"/>
          <w:b/>
          <w:bCs/>
        </w:rPr>
        <w:t xml:space="preserve">ЗА </w:t>
      </w:r>
      <w:r w:rsidRPr="00E64CE8">
        <w:rPr>
          <w:rStyle w:val="Heading2Char"/>
          <w:b/>
          <w:bCs/>
        </w:rPr>
        <w:t>201</w:t>
      </w:r>
      <w:r w:rsidR="00B96BA2">
        <w:rPr>
          <w:rStyle w:val="Heading2Char"/>
          <w:b/>
          <w:bCs/>
        </w:rPr>
        <w:t>8</w:t>
      </w:r>
      <w:r w:rsidRPr="00E64CE8">
        <w:rPr>
          <w:rStyle w:val="Heading2Char"/>
          <w:b/>
          <w:bCs/>
        </w:rPr>
        <w:t> г</w:t>
      </w:r>
      <w:r w:rsidRPr="00E64CE8">
        <w:t>.</w:t>
      </w:r>
      <w:bookmarkEnd w:id="783"/>
      <w:bookmarkEnd w:id="784"/>
      <w:bookmarkEnd w:id="785"/>
    </w:p>
    <w:p w:rsidR="00647705" w:rsidRPr="00647705" w:rsidRDefault="00647705" w:rsidP="00647705">
      <w:pPr>
        <w:spacing w:after="0"/>
        <w:jc w:val="right"/>
        <w:rPr>
          <w:sz w:val="18"/>
          <w:szCs w:val="18"/>
          <w:lang w:val="en-US"/>
        </w:rPr>
      </w:pPr>
      <w:r w:rsidRPr="00647705">
        <w:rPr>
          <w:rFonts w:eastAsia="Batang"/>
          <w:sz w:val="18"/>
          <w:szCs w:val="18"/>
        </w:rPr>
        <w:t>(в млн. лв.)</w:t>
      </w:r>
    </w:p>
    <w:tbl>
      <w:tblPr>
        <w:tblW w:w="5000" w:type="pct"/>
        <w:tblCellMar>
          <w:left w:w="70" w:type="dxa"/>
          <w:right w:w="70" w:type="dxa"/>
        </w:tblCellMar>
        <w:tblLook w:val="04A0" w:firstRow="1" w:lastRow="0" w:firstColumn="1" w:lastColumn="0" w:noHBand="0" w:noVBand="1"/>
      </w:tblPr>
      <w:tblGrid>
        <w:gridCol w:w="6400"/>
        <w:gridCol w:w="1565"/>
        <w:gridCol w:w="1378"/>
        <w:gridCol w:w="1678"/>
        <w:gridCol w:w="1932"/>
        <w:gridCol w:w="1617"/>
      </w:tblGrid>
      <w:tr w:rsidR="00647705" w:rsidRPr="00B96BA2" w:rsidTr="00EC670B">
        <w:trPr>
          <w:trHeight w:val="300"/>
          <w:tblHeader/>
        </w:trPr>
        <w:tc>
          <w:tcPr>
            <w:tcW w:w="2196" w:type="pct"/>
            <w:vMerge w:val="restart"/>
            <w:tcBorders>
              <w:top w:val="single" w:sz="4" w:space="0" w:color="auto"/>
              <w:left w:val="nil"/>
              <w:bottom w:val="nil"/>
              <w:right w:val="nil"/>
            </w:tcBorders>
            <w:shd w:val="clear" w:color="auto" w:fill="auto"/>
            <w:noWrap/>
            <w:vAlign w:val="center"/>
            <w:hideMark/>
          </w:tcPr>
          <w:p w:rsidR="00647705" w:rsidRPr="00B4329E" w:rsidRDefault="00647705" w:rsidP="00647705">
            <w:pPr>
              <w:spacing w:after="0"/>
              <w:jc w:val="center"/>
              <w:rPr>
                <w:rFonts w:eastAsia="Times New Roman" w:cs="Times New Roman"/>
                <w:b/>
                <w:bCs/>
                <w:color w:val="000000"/>
                <w:sz w:val="20"/>
                <w:szCs w:val="20"/>
              </w:rPr>
            </w:pPr>
            <w:r w:rsidRPr="00B4329E">
              <w:rPr>
                <w:rFonts w:eastAsia="Times New Roman" w:cs="Times New Roman"/>
                <w:b/>
                <w:bCs/>
                <w:color w:val="000000"/>
                <w:sz w:val="20"/>
                <w:szCs w:val="20"/>
              </w:rPr>
              <w:t>ПОКАЗАТЕЛИ</w:t>
            </w:r>
          </w:p>
        </w:tc>
        <w:tc>
          <w:tcPr>
            <w:tcW w:w="537" w:type="pct"/>
            <w:vMerge w:val="restart"/>
            <w:tcBorders>
              <w:top w:val="single" w:sz="4" w:space="0" w:color="auto"/>
              <w:left w:val="nil"/>
              <w:bottom w:val="nil"/>
              <w:right w:val="nil"/>
            </w:tcBorders>
            <w:shd w:val="clear" w:color="auto" w:fill="auto"/>
            <w:noWrap/>
            <w:vAlign w:val="center"/>
            <w:hideMark/>
          </w:tcPr>
          <w:p w:rsidR="00647705" w:rsidRPr="00B4329E" w:rsidRDefault="00B4329E" w:rsidP="00647705">
            <w:pPr>
              <w:spacing w:after="0"/>
              <w:jc w:val="center"/>
              <w:rPr>
                <w:rFonts w:eastAsia="Times New Roman" w:cs="Times New Roman"/>
                <w:b/>
                <w:bCs/>
                <w:color w:val="000000"/>
                <w:sz w:val="20"/>
                <w:szCs w:val="20"/>
              </w:rPr>
            </w:pPr>
            <w:r w:rsidRPr="00B4329E">
              <w:rPr>
                <w:rFonts w:eastAsia="Times New Roman" w:cs="Times New Roman"/>
                <w:b/>
                <w:bCs/>
                <w:color w:val="000000"/>
                <w:sz w:val="20"/>
                <w:szCs w:val="20"/>
              </w:rPr>
              <w:t>Отчет 2017</w:t>
            </w:r>
            <w:r w:rsidR="00647705" w:rsidRPr="00B4329E">
              <w:rPr>
                <w:rFonts w:eastAsia="Times New Roman" w:cs="Times New Roman"/>
                <w:b/>
                <w:bCs/>
                <w:color w:val="000000"/>
                <w:sz w:val="20"/>
                <w:szCs w:val="20"/>
              </w:rPr>
              <w:t> г.</w:t>
            </w:r>
          </w:p>
        </w:tc>
        <w:tc>
          <w:tcPr>
            <w:tcW w:w="1712" w:type="pct"/>
            <w:gridSpan w:val="3"/>
            <w:tcBorders>
              <w:top w:val="single" w:sz="4" w:space="0" w:color="auto"/>
              <w:left w:val="nil"/>
              <w:bottom w:val="nil"/>
              <w:right w:val="nil"/>
            </w:tcBorders>
            <w:shd w:val="clear" w:color="auto" w:fill="F2F2F2" w:themeFill="background1" w:themeFillShade="F2"/>
            <w:noWrap/>
            <w:vAlign w:val="center"/>
            <w:hideMark/>
          </w:tcPr>
          <w:p w:rsidR="00647705" w:rsidRPr="00B4329E" w:rsidRDefault="00B4329E" w:rsidP="00647705">
            <w:pPr>
              <w:spacing w:after="0"/>
              <w:jc w:val="center"/>
              <w:rPr>
                <w:rFonts w:eastAsia="Times New Roman" w:cs="Times New Roman"/>
                <w:b/>
                <w:bCs/>
                <w:color w:val="000000"/>
                <w:sz w:val="20"/>
                <w:szCs w:val="20"/>
              </w:rPr>
            </w:pPr>
            <w:r w:rsidRPr="00B4329E">
              <w:rPr>
                <w:rFonts w:eastAsia="Times New Roman" w:cs="Times New Roman"/>
                <w:b/>
                <w:bCs/>
                <w:color w:val="000000"/>
                <w:sz w:val="20"/>
                <w:szCs w:val="20"/>
              </w:rPr>
              <w:t xml:space="preserve">Отчет </w:t>
            </w:r>
            <w:r w:rsidR="00F359E6">
              <w:rPr>
                <w:rFonts w:eastAsia="Times New Roman" w:cs="Times New Roman"/>
                <w:b/>
                <w:bCs/>
                <w:color w:val="000000"/>
                <w:sz w:val="20"/>
                <w:szCs w:val="20"/>
              </w:rPr>
              <w:t xml:space="preserve">към </w:t>
            </w:r>
            <w:r w:rsidRPr="00B4329E">
              <w:rPr>
                <w:rFonts w:eastAsia="Times New Roman" w:cs="Times New Roman"/>
                <w:b/>
                <w:bCs/>
                <w:color w:val="000000"/>
                <w:sz w:val="20"/>
                <w:szCs w:val="20"/>
              </w:rPr>
              <w:t>31.12.2018</w:t>
            </w:r>
            <w:r w:rsidR="00647705" w:rsidRPr="00B4329E">
              <w:rPr>
                <w:rFonts w:eastAsia="Times New Roman" w:cs="Times New Roman"/>
                <w:b/>
                <w:bCs/>
                <w:color w:val="000000"/>
                <w:sz w:val="20"/>
                <w:szCs w:val="20"/>
              </w:rPr>
              <w:t> г.</w:t>
            </w:r>
          </w:p>
        </w:tc>
        <w:tc>
          <w:tcPr>
            <w:tcW w:w="555" w:type="pct"/>
            <w:vMerge w:val="restart"/>
            <w:tcBorders>
              <w:top w:val="single" w:sz="4" w:space="0" w:color="auto"/>
              <w:left w:val="nil"/>
              <w:bottom w:val="nil"/>
              <w:right w:val="nil"/>
            </w:tcBorders>
            <w:shd w:val="clear" w:color="auto" w:fill="auto"/>
            <w:vAlign w:val="center"/>
            <w:hideMark/>
          </w:tcPr>
          <w:p w:rsidR="00647705" w:rsidRPr="00B4329E" w:rsidRDefault="00647705" w:rsidP="00647705">
            <w:pPr>
              <w:spacing w:after="0"/>
              <w:jc w:val="center"/>
              <w:rPr>
                <w:rFonts w:eastAsia="Times New Roman" w:cs="Times New Roman"/>
                <w:b/>
                <w:bCs/>
                <w:color w:val="000000"/>
                <w:sz w:val="20"/>
                <w:szCs w:val="20"/>
              </w:rPr>
            </w:pPr>
            <w:r w:rsidRPr="00B4329E">
              <w:rPr>
                <w:rFonts w:eastAsia="Times New Roman" w:cs="Times New Roman"/>
                <w:b/>
                <w:bCs/>
                <w:color w:val="000000"/>
                <w:sz w:val="20"/>
                <w:szCs w:val="20"/>
              </w:rPr>
              <w:t xml:space="preserve">Изпълнение спрямо </w:t>
            </w:r>
            <w:r w:rsidR="00B4329E" w:rsidRPr="00B4329E">
              <w:rPr>
                <w:rFonts w:eastAsia="Times New Roman" w:cs="Times New Roman"/>
                <w:b/>
                <w:bCs/>
                <w:color w:val="000000"/>
                <w:sz w:val="20"/>
                <w:szCs w:val="20"/>
              </w:rPr>
              <w:t>2017</w:t>
            </w:r>
            <w:r w:rsidRPr="00B4329E">
              <w:rPr>
                <w:rFonts w:eastAsia="Times New Roman" w:cs="Times New Roman"/>
                <w:b/>
                <w:bCs/>
                <w:color w:val="000000"/>
                <w:sz w:val="20"/>
                <w:szCs w:val="20"/>
              </w:rPr>
              <w:t xml:space="preserve"> г.</w:t>
            </w:r>
          </w:p>
        </w:tc>
      </w:tr>
      <w:tr w:rsidR="00647705" w:rsidRPr="00B96BA2" w:rsidTr="00EC670B">
        <w:trPr>
          <w:trHeight w:val="510"/>
          <w:tblHeader/>
        </w:trPr>
        <w:tc>
          <w:tcPr>
            <w:tcW w:w="2196" w:type="pct"/>
            <w:vMerge/>
            <w:tcBorders>
              <w:top w:val="single" w:sz="4" w:space="0" w:color="auto"/>
              <w:left w:val="nil"/>
              <w:bottom w:val="nil"/>
              <w:right w:val="nil"/>
            </w:tcBorders>
            <w:vAlign w:val="center"/>
            <w:hideMark/>
          </w:tcPr>
          <w:p w:rsidR="00647705" w:rsidRPr="00B4329E" w:rsidRDefault="00647705" w:rsidP="00647705">
            <w:pPr>
              <w:spacing w:after="0"/>
              <w:jc w:val="left"/>
              <w:rPr>
                <w:rFonts w:eastAsia="Times New Roman" w:cs="Times New Roman"/>
                <w:b/>
                <w:bCs/>
                <w:color w:val="000000"/>
                <w:sz w:val="20"/>
                <w:szCs w:val="20"/>
              </w:rPr>
            </w:pPr>
          </w:p>
        </w:tc>
        <w:tc>
          <w:tcPr>
            <w:tcW w:w="537" w:type="pct"/>
            <w:vMerge/>
            <w:tcBorders>
              <w:top w:val="single" w:sz="4" w:space="0" w:color="auto"/>
              <w:left w:val="nil"/>
              <w:bottom w:val="nil"/>
              <w:right w:val="nil"/>
            </w:tcBorders>
            <w:vAlign w:val="center"/>
            <w:hideMark/>
          </w:tcPr>
          <w:p w:rsidR="00647705" w:rsidRPr="00B4329E" w:rsidRDefault="00647705" w:rsidP="00647705">
            <w:pPr>
              <w:spacing w:after="0"/>
              <w:jc w:val="left"/>
              <w:rPr>
                <w:rFonts w:eastAsia="Times New Roman" w:cs="Times New Roman"/>
                <w:b/>
                <w:bCs/>
                <w:color w:val="000000"/>
                <w:sz w:val="20"/>
                <w:szCs w:val="20"/>
              </w:rPr>
            </w:pPr>
          </w:p>
        </w:tc>
        <w:tc>
          <w:tcPr>
            <w:tcW w:w="473" w:type="pct"/>
            <w:tcBorders>
              <w:top w:val="nil"/>
              <w:left w:val="nil"/>
              <w:bottom w:val="nil"/>
              <w:right w:val="nil"/>
            </w:tcBorders>
            <w:shd w:val="clear" w:color="auto" w:fill="F2F2F2" w:themeFill="background1" w:themeFillShade="F2"/>
            <w:noWrap/>
            <w:vAlign w:val="center"/>
            <w:hideMark/>
          </w:tcPr>
          <w:p w:rsidR="00647705" w:rsidRPr="00B4329E" w:rsidRDefault="00647705" w:rsidP="00647705">
            <w:pPr>
              <w:spacing w:after="0"/>
              <w:jc w:val="center"/>
              <w:rPr>
                <w:rFonts w:eastAsia="Times New Roman" w:cs="Times New Roman"/>
                <w:b/>
                <w:bCs/>
                <w:color w:val="000000"/>
                <w:sz w:val="20"/>
                <w:szCs w:val="20"/>
              </w:rPr>
            </w:pPr>
            <w:r w:rsidRPr="00B4329E">
              <w:rPr>
                <w:rFonts w:eastAsia="Times New Roman" w:cs="Times New Roman"/>
                <w:b/>
                <w:bCs/>
                <w:color w:val="000000"/>
                <w:sz w:val="20"/>
                <w:szCs w:val="20"/>
              </w:rPr>
              <w:t>КФП*</w:t>
            </w:r>
          </w:p>
        </w:tc>
        <w:tc>
          <w:tcPr>
            <w:tcW w:w="576" w:type="pct"/>
            <w:tcBorders>
              <w:top w:val="nil"/>
              <w:left w:val="nil"/>
              <w:bottom w:val="nil"/>
              <w:right w:val="nil"/>
            </w:tcBorders>
            <w:shd w:val="clear" w:color="auto" w:fill="F2F2F2" w:themeFill="background1" w:themeFillShade="F2"/>
            <w:vAlign w:val="center"/>
            <w:hideMark/>
          </w:tcPr>
          <w:p w:rsidR="00647705" w:rsidRPr="00B4329E" w:rsidRDefault="00647705" w:rsidP="00647705">
            <w:pPr>
              <w:spacing w:after="0"/>
              <w:jc w:val="center"/>
              <w:rPr>
                <w:rFonts w:eastAsia="Times New Roman" w:cs="Times New Roman"/>
                <w:b/>
                <w:bCs/>
                <w:color w:val="000000"/>
                <w:sz w:val="20"/>
                <w:szCs w:val="20"/>
              </w:rPr>
            </w:pPr>
            <w:r w:rsidRPr="00B4329E">
              <w:rPr>
                <w:rFonts w:eastAsia="Times New Roman" w:cs="Times New Roman"/>
                <w:b/>
                <w:bCs/>
                <w:color w:val="000000"/>
                <w:sz w:val="20"/>
                <w:szCs w:val="20"/>
              </w:rPr>
              <w:t>Национален бюджет</w:t>
            </w:r>
          </w:p>
        </w:tc>
        <w:bookmarkStart w:id="786" w:name="RANGE!E3"/>
        <w:tc>
          <w:tcPr>
            <w:tcW w:w="663" w:type="pct"/>
            <w:tcBorders>
              <w:top w:val="nil"/>
              <w:left w:val="nil"/>
              <w:bottom w:val="nil"/>
              <w:right w:val="nil"/>
            </w:tcBorders>
            <w:shd w:val="clear" w:color="auto" w:fill="F2F2F2" w:themeFill="background1" w:themeFillShade="F2"/>
            <w:vAlign w:val="center"/>
            <w:hideMark/>
          </w:tcPr>
          <w:p w:rsidR="00647705" w:rsidRPr="00B4329E" w:rsidRDefault="00647705" w:rsidP="00647705">
            <w:pPr>
              <w:spacing w:after="0"/>
              <w:jc w:val="center"/>
              <w:rPr>
                <w:rFonts w:eastAsia="Times New Roman" w:cs="Times New Roman"/>
                <w:b/>
                <w:bCs/>
                <w:color w:val="000000"/>
                <w:sz w:val="20"/>
                <w:szCs w:val="20"/>
              </w:rPr>
            </w:pPr>
            <w:r w:rsidRPr="00B4329E">
              <w:rPr>
                <w:rFonts w:eastAsia="Times New Roman" w:cs="Times New Roman"/>
                <w:b/>
                <w:bCs/>
                <w:color w:val="000000"/>
                <w:sz w:val="20"/>
                <w:szCs w:val="20"/>
              </w:rPr>
              <w:fldChar w:fldCharType="begin"/>
            </w:r>
            <w:r w:rsidRPr="00B4329E">
              <w:rPr>
                <w:rFonts w:eastAsia="Times New Roman" w:cs="Times New Roman"/>
                <w:b/>
                <w:bCs/>
                <w:color w:val="000000"/>
                <w:sz w:val="20"/>
                <w:szCs w:val="20"/>
              </w:rPr>
              <w:instrText xml:space="preserve"> HYPERLINK "file:///C:\\Users\\GNikolova\\Downloads\\Desktop\\BUDGET%202019\\1-БЮДЖЕТ-2019-подготовка\\ТАБЛИЦИ-АСБП\\ГАЛЯ-Tables-UMTFF.xlsx" \l "RANGE!A24" </w:instrText>
            </w:r>
            <w:r w:rsidRPr="00B4329E">
              <w:rPr>
                <w:rFonts w:eastAsia="Times New Roman" w:cs="Times New Roman"/>
                <w:b/>
                <w:bCs/>
                <w:color w:val="000000"/>
                <w:sz w:val="20"/>
                <w:szCs w:val="20"/>
              </w:rPr>
              <w:fldChar w:fldCharType="separate"/>
            </w:r>
            <w:r w:rsidRPr="00B4329E">
              <w:rPr>
                <w:rFonts w:eastAsia="Times New Roman" w:cs="Times New Roman"/>
                <w:b/>
                <w:bCs/>
                <w:color w:val="000000"/>
                <w:sz w:val="20"/>
                <w:szCs w:val="20"/>
              </w:rPr>
              <w:t>Европейски средства</w:t>
            </w:r>
            <w:r w:rsidRPr="00B4329E">
              <w:rPr>
                <w:rFonts w:eastAsia="Times New Roman" w:cs="Times New Roman"/>
                <w:b/>
                <w:bCs/>
                <w:color w:val="000000"/>
                <w:sz w:val="20"/>
                <w:szCs w:val="20"/>
              </w:rPr>
              <w:fldChar w:fldCharType="end"/>
            </w:r>
            <w:bookmarkEnd w:id="786"/>
            <w:r w:rsidRPr="00B4329E">
              <w:rPr>
                <w:rStyle w:val="FootnoteReference"/>
                <w:rFonts w:eastAsia="Times New Roman"/>
                <w:b/>
                <w:bCs/>
                <w:szCs w:val="20"/>
              </w:rPr>
              <w:footnoteReference w:id="35"/>
            </w:r>
          </w:p>
        </w:tc>
        <w:tc>
          <w:tcPr>
            <w:tcW w:w="555" w:type="pct"/>
            <w:vMerge/>
            <w:tcBorders>
              <w:top w:val="single" w:sz="4" w:space="0" w:color="auto"/>
              <w:left w:val="nil"/>
              <w:bottom w:val="nil"/>
              <w:right w:val="nil"/>
            </w:tcBorders>
            <w:vAlign w:val="center"/>
            <w:hideMark/>
          </w:tcPr>
          <w:p w:rsidR="00647705" w:rsidRPr="00B4329E" w:rsidRDefault="00647705" w:rsidP="00647705">
            <w:pPr>
              <w:spacing w:after="0"/>
              <w:jc w:val="left"/>
              <w:rPr>
                <w:rFonts w:eastAsia="Times New Roman" w:cs="Times New Roman"/>
                <w:b/>
                <w:bCs/>
                <w:color w:val="000000"/>
                <w:sz w:val="20"/>
                <w:szCs w:val="20"/>
              </w:rPr>
            </w:pPr>
          </w:p>
        </w:tc>
      </w:tr>
      <w:tr w:rsidR="00647705" w:rsidRPr="00B96BA2" w:rsidTr="00637208">
        <w:trPr>
          <w:trHeight w:val="300"/>
          <w:tblHeader/>
        </w:trPr>
        <w:tc>
          <w:tcPr>
            <w:tcW w:w="2196" w:type="pct"/>
            <w:tcBorders>
              <w:top w:val="single" w:sz="4" w:space="0" w:color="auto"/>
              <w:left w:val="nil"/>
              <w:bottom w:val="single" w:sz="4" w:space="0" w:color="auto"/>
              <w:right w:val="nil"/>
            </w:tcBorders>
            <w:shd w:val="clear" w:color="auto" w:fill="auto"/>
            <w:noWrap/>
            <w:vAlign w:val="center"/>
            <w:hideMark/>
          </w:tcPr>
          <w:p w:rsidR="00647705" w:rsidRPr="00B4329E" w:rsidRDefault="00647705" w:rsidP="00647705">
            <w:pPr>
              <w:spacing w:after="0"/>
              <w:jc w:val="center"/>
              <w:rPr>
                <w:rFonts w:eastAsia="Times New Roman" w:cs="Times New Roman"/>
                <w:b/>
                <w:bCs/>
                <w:color w:val="000000"/>
                <w:sz w:val="16"/>
                <w:szCs w:val="16"/>
              </w:rPr>
            </w:pPr>
            <w:r w:rsidRPr="00B4329E">
              <w:rPr>
                <w:rFonts w:eastAsia="Times New Roman" w:cs="Times New Roman"/>
                <w:b/>
                <w:bCs/>
                <w:color w:val="000000"/>
                <w:sz w:val="16"/>
                <w:szCs w:val="16"/>
              </w:rPr>
              <w:t>к.1</w:t>
            </w:r>
          </w:p>
        </w:tc>
        <w:tc>
          <w:tcPr>
            <w:tcW w:w="537" w:type="pct"/>
            <w:tcBorders>
              <w:top w:val="single" w:sz="4" w:space="0" w:color="auto"/>
              <w:left w:val="nil"/>
              <w:bottom w:val="single" w:sz="4" w:space="0" w:color="auto"/>
              <w:right w:val="nil"/>
            </w:tcBorders>
            <w:shd w:val="clear" w:color="auto" w:fill="auto"/>
            <w:noWrap/>
            <w:vAlign w:val="center"/>
            <w:hideMark/>
          </w:tcPr>
          <w:p w:rsidR="00647705" w:rsidRPr="00B4329E" w:rsidRDefault="00647705" w:rsidP="00647705">
            <w:pPr>
              <w:spacing w:after="0"/>
              <w:jc w:val="center"/>
              <w:rPr>
                <w:rFonts w:eastAsia="Times New Roman" w:cs="Times New Roman"/>
                <w:b/>
                <w:bCs/>
                <w:color w:val="000000"/>
                <w:sz w:val="16"/>
                <w:szCs w:val="16"/>
              </w:rPr>
            </w:pPr>
            <w:r w:rsidRPr="00B4329E">
              <w:rPr>
                <w:rFonts w:eastAsia="Times New Roman" w:cs="Times New Roman"/>
                <w:b/>
                <w:bCs/>
                <w:color w:val="000000"/>
                <w:sz w:val="16"/>
                <w:szCs w:val="16"/>
              </w:rPr>
              <w:t>к.2</w:t>
            </w:r>
          </w:p>
        </w:tc>
        <w:tc>
          <w:tcPr>
            <w:tcW w:w="473" w:type="pct"/>
            <w:tcBorders>
              <w:top w:val="single" w:sz="4" w:space="0" w:color="auto"/>
              <w:left w:val="nil"/>
              <w:bottom w:val="single" w:sz="4" w:space="0" w:color="auto"/>
              <w:right w:val="nil"/>
            </w:tcBorders>
            <w:shd w:val="clear" w:color="auto" w:fill="F2F2F2" w:themeFill="background1" w:themeFillShade="F2"/>
            <w:noWrap/>
            <w:vAlign w:val="center"/>
            <w:hideMark/>
          </w:tcPr>
          <w:p w:rsidR="00647705" w:rsidRPr="00B4329E" w:rsidRDefault="00647705" w:rsidP="00647705">
            <w:pPr>
              <w:spacing w:after="0"/>
              <w:jc w:val="center"/>
              <w:rPr>
                <w:rFonts w:eastAsia="Times New Roman" w:cs="Times New Roman"/>
                <w:b/>
                <w:bCs/>
                <w:color w:val="000000"/>
                <w:sz w:val="16"/>
                <w:szCs w:val="16"/>
              </w:rPr>
            </w:pPr>
            <w:r w:rsidRPr="00B4329E">
              <w:rPr>
                <w:rFonts w:eastAsia="Times New Roman" w:cs="Times New Roman"/>
                <w:b/>
                <w:bCs/>
                <w:color w:val="000000"/>
                <w:sz w:val="16"/>
                <w:szCs w:val="16"/>
              </w:rPr>
              <w:t>к.3=к.4+к.5</w:t>
            </w:r>
          </w:p>
        </w:tc>
        <w:tc>
          <w:tcPr>
            <w:tcW w:w="576" w:type="pct"/>
            <w:tcBorders>
              <w:top w:val="single" w:sz="4" w:space="0" w:color="auto"/>
              <w:left w:val="nil"/>
              <w:bottom w:val="single" w:sz="4" w:space="0" w:color="auto"/>
              <w:right w:val="nil"/>
            </w:tcBorders>
            <w:shd w:val="clear" w:color="auto" w:fill="F2F2F2" w:themeFill="background1" w:themeFillShade="F2"/>
            <w:noWrap/>
            <w:vAlign w:val="center"/>
            <w:hideMark/>
          </w:tcPr>
          <w:p w:rsidR="00647705" w:rsidRPr="00B4329E" w:rsidRDefault="00647705" w:rsidP="00647705">
            <w:pPr>
              <w:spacing w:after="0"/>
              <w:jc w:val="center"/>
              <w:rPr>
                <w:rFonts w:eastAsia="Times New Roman" w:cs="Times New Roman"/>
                <w:b/>
                <w:bCs/>
                <w:color w:val="000000"/>
                <w:sz w:val="16"/>
                <w:szCs w:val="16"/>
              </w:rPr>
            </w:pPr>
            <w:r w:rsidRPr="00B4329E">
              <w:rPr>
                <w:rFonts w:eastAsia="Times New Roman" w:cs="Times New Roman"/>
                <w:b/>
                <w:bCs/>
                <w:color w:val="000000"/>
                <w:sz w:val="16"/>
                <w:szCs w:val="16"/>
              </w:rPr>
              <w:t>к.4</w:t>
            </w:r>
          </w:p>
        </w:tc>
        <w:tc>
          <w:tcPr>
            <w:tcW w:w="663" w:type="pct"/>
            <w:tcBorders>
              <w:top w:val="single" w:sz="4" w:space="0" w:color="auto"/>
              <w:left w:val="nil"/>
              <w:bottom w:val="single" w:sz="4" w:space="0" w:color="auto"/>
              <w:right w:val="nil"/>
            </w:tcBorders>
            <w:shd w:val="clear" w:color="auto" w:fill="F2F2F2" w:themeFill="background1" w:themeFillShade="F2"/>
            <w:noWrap/>
            <w:vAlign w:val="center"/>
            <w:hideMark/>
          </w:tcPr>
          <w:p w:rsidR="00647705" w:rsidRPr="00B4329E" w:rsidRDefault="00647705" w:rsidP="00647705">
            <w:pPr>
              <w:spacing w:after="0"/>
              <w:jc w:val="center"/>
              <w:rPr>
                <w:rFonts w:eastAsia="Times New Roman" w:cs="Times New Roman"/>
                <w:b/>
                <w:bCs/>
                <w:color w:val="000000"/>
                <w:sz w:val="16"/>
                <w:szCs w:val="16"/>
              </w:rPr>
            </w:pPr>
            <w:r w:rsidRPr="00B4329E">
              <w:rPr>
                <w:rFonts w:eastAsia="Times New Roman" w:cs="Times New Roman"/>
                <w:b/>
                <w:bCs/>
                <w:color w:val="000000"/>
                <w:sz w:val="16"/>
                <w:szCs w:val="16"/>
              </w:rPr>
              <w:t>к.5</w:t>
            </w:r>
          </w:p>
        </w:tc>
        <w:tc>
          <w:tcPr>
            <w:tcW w:w="555" w:type="pct"/>
            <w:tcBorders>
              <w:top w:val="single" w:sz="4" w:space="0" w:color="auto"/>
              <w:left w:val="nil"/>
              <w:bottom w:val="single" w:sz="4" w:space="0" w:color="auto"/>
              <w:right w:val="nil"/>
            </w:tcBorders>
            <w:shd w:val="clear" w:color="auto" w:fill="auto"/>
            <w:noWrap/>
            <w:vAlign w:val="center"/>
            <w:hideMark/>
          </w:tcPr>
          <w:p w:rsidR="00647705" w:rsidRPr="00B4329E" w:rsidRDefault="00647705" w:rsidP="00647705">
            <w:pPr>
              <w:spacing w:after="0"/>
              <w:jc w:val="center"/>
              <w:rPr>
                <w:rFonts w:eastAsia="Times New Roman" w:cs="Times New Roman"/>
                <w:b/>
                <w:bCs/>
                <w:color w:val="000000"/>
                <w:sz w:val="16"/>
                <w:szCs w:val="16"/>
              </w:rPr>
            </w:pPr>
            <w:r w:rsidRPr="00B4329E">
              <w:rPr>
                <w:rFonts w:eastAsia="Times New Roman" w:cs="Times New Roman"/>
                <w:b/>
                <w:bCs/>
                <w:color w:val="000000"/>
                <w:sz w:val="16"/>
                <w:szCs w:val="16"/>
              </w:rPr>
              <w:t>к.6=к.3:к.2</w:t>
            </w:r>
          </w:p>
        </w:tc>
      </w:tr>
      <w:tr w:rsidR="008E49A4" w:rsidRPr="00B96BA2" w:rsidTr="00637208">
        <w:trPr>
          <w:trHeight w:val="300"/>
        </w:trPr>
        <w:tc>
          <w:tcPr>
            <w:tcW w:w="2196" w:type="pct"/>
            <w:tcBorders>
              <w:top w:val="single" w:sz="4" w:space="0" w:color="auto"/>
              <w:left w:val="nil"/>
              <w:bottom w:val="nil"/>
              <w:right w:val="nil"/>
            </w:tcBorders>
            <w:shd w:val="clear" w:color="auto" w:fill="auto"/>
            <w:noWrap/>
            <w:vAlign w:val="center"/>
            <w:hideMark/>
          </w:tcPr>
          <w:p w:rsidR="008E49A4" w:rsidRPr="00B4329E" w:rsidRDefault="008E49A4" w:rsidP="00647705">
            <w:pPr>
              <w:spacing w:after="0"/>
              <w:jc w:val="left"/>
              <w:rPr>
                <w:rFonts w:eastAsia="Times New Roman" w:cs="Times New Roman"/>
                <w:b/>
                <w:bCs/>
                <w:color w:val="000000"/>
                <w:sz w:val="20"/>
                <w:szCs w:val="20"/>
              </w:rPr>
            </w:pPr>
            <w:r w:rsidRPr="00B4329E">
              <w:rPr>
                <w:rFonts w:eastAsia="Times New Roman" w:cs="Times New Roman"/>
                <w:b/>
                <w:bCs/>
                <w:color w:val="000000"/>
                <w:sz w:val="20"/>
                <w:szCs w:val="20"/>
              </w:rPr>
              <w:t>ПРИХОДИ, ПОМОЩИ И ДАРЕНИЯ</w:t>
            </w:r>
          </w:p>
        </w:tc>
        <w:tc>
          <w:tcPr>
            <w:tcW w:w="537" w:type="pct"/>
            <w:tcBorders>
              <w:top w:val="single" w:sz="4" w:space="0" w:color="auto"/>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b/>
                <w:bCs/>
                <w:color w:val="000000" w:themeColor="text1"/>
                <w:sz w:val="18"/>
                <w:szCs w:val="18"/>
                <w:lang w:val="en-US"/>
              </w:rPr>
            </w:pPr>
            <w:r w:rsidRPr="00120003">
              <w:rPr>
                <w:rFonts w:eastAsia="Times New Roman" w:cs="Times New Roman"/>
                <w:b/>
                <w:bCs/>
                <w:color w:val="000000" w:themeColor="text1"/>
                <w:sz w:val="18"/>
                <w:szCs w:val="18"/>
              </w:rPr>
              <w:t>35 316,6</w:t>
            </w:r>
          </w:p>
        </w:tc>
        <w:tc>
          <w:tcPr>
            <w:tcW w:w="473" w:type="pct"/>
            <w:tcBorders>
              <w:top w:val="single" w:sz="4" w:space="0" w:color="auto"/>
              <w:left w:val="nil"/>
              <w:bottom w:val="nil"/>
              <w:right w:val="nil"/>
            </w:tcBorders>
            <w:shd w:val="clear" w:color="auto" w:fill="F2F2F2" w:themeFill="background1" w:themeFillShade="F2"/>
            <w:noWrap/>
            <w:vAlign w:val="center"/>
            <w:hideMark/>
          </w:tcPr>
          <w:p w:rsidR="008E49A4" w:rsidRPr="003A0B4F" w:rsidRDefault="008E49A4" w:rsidP="009415E2">
            <w:pPr>
              <w:spacing w:after="0"/>
              <w:jc w:val="right"/>
              <w:rPr>
                <w:rFonts w:eastAsia="Times New Roman" w:cs="Times New Roman"/>
                <w:b/>
                <w:bCs/>
                <w:color w:val="000000" w:themeColor="text1"/>
                <w:sz w:val="18"/>
                <w:szCs w:val="18"/>
                <w:lang w:val="en-US"/>
              </w:rPr>
            </w:pPr>
            <w:r w:rsidRPr="003A0B4F">
              <w:rPr>
                <w:rFonts w:eastAsia="Times New Roman" w:cs="Times New Roman"/>
                <w:b/>
                <w:bCs/>
                <w:color w:val="000000" w:themeColor="text1"/>
                <w:sz w:val="18"/>
                <w:szCs w:val="18"/>
              </w:rPr>
              <w:t>39 650,9</w:t>
            </w:r>
          </w:p>
        </w:tc>
        <w:tc>
          <w:tcPr>
            <w:tcW w:w="576" w:type="pct"/>
            <w:tcBorders>
              <w:top w:val="single" w:sz="4" w:space="0" w:color="auto"/>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b/>
                <w:bCs/>
                <w:color w:val="000000" w:themeColor="text1"/>
                <w:sz w:val="18"/>
                <w:szCs w:val="18"/>
                <w:lang w:val="en-US"/>
              </w:rPr>
            </w:pPr>
            <w:r w:rsidRPr="00743B36">
              <w:rPr>
                <w:rFonts w:eastAsia="Times New Roman" w:cs="Times New Roman"/>
                <w:b/>
                <w:bCs/>
                <w:color w:val="000000" w:themeColor="text1"/>
                <w:sz w:val="18"/>
                <w:szCs w:val="18"/>
              </w:rPr>
              <w:t>37 619,</w:t>
            </w:r>
            <w:r>
              <w:rPr>
                <w:rFonts w:eastAsia="Times New Roman" w:cs="Times New Roman"/>
                <w:b/>
                <w:bCs/>
                <w:color w:val="000000" w:themeColor="text1"/>
                <w:sz w:val="18"/>
                <w:szCs w:val="18"/>
              </w:rPr>
              <w:t>0</w:t>
            </w:r>
          </w:p>
        </w:tc>
        <w:tc>
          <w:tcPr>
            <w:tcW w:w="663" w:type="pct"/>
            <w:tcBorders>
              <w:top w:val="single" w:sz="4" w:space="0" w:color="auto"/>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b/>
                <w:bCs/>
                <w:color w:val="000000" w:themeColor="text1"/>
                <w:sz w:val="18"/>
                <w:szCs w:val="18"/>
                <w:lang w:val="en-US"/>
              </w:rPr>
            </w:pPr>
            <w:r w:rsidRPr="00743B36">
              <w:rPr>
                <w:rFonts w:eastAsia="Times New Roman" w:cs="Times New Roman"/>
                <w:b/>
                <w:bCs/>
                <w:color w:val="000000" w:themeColor="text1"/>
                <w:sz w:val="18"/>
                <w:szCs w:val="18"/>
              </w:rPr>
              <w:t>2 031,</w:t>
            </w:r>
            <w:r>
              <w:rPr>
                <w:rFonts w:eastAsia="Times New Roman" w:cs="Times New Roman"/>
                <w:b/>
                <w:bCs/>
                <w:color w:val="000000" w:themeColor="text1"/>
                <w:sz w:val="18"/>
                <w:szCs w:val="18"/>
              </w:rPr>
              <w:t>9</w:t>
            </w:r>
          </w:p>
        </w:tc>
        <w:tc>
          <w:tcPr>
            <w:tcW w:w="555" w:type="pct"/>
            <w:tcBorders>
              <w:top w:val="single" w:sz="4" w:space="0" w:color="auto"/>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b/>
                <w:bCs/>
                <w:color w:val="000000" w:themeColor="text1"/>
                <w:sz w:val="18"/>
                <w:szCs w:val="18"/>
                <w:lang w:val="en-US"/>
              </w:rPr>
            </w:pPr>
            <w:r w:rsidRPr="00FE7628">
              <w:rPr>
                <w:rFonts w:eastAsia="Times New Roman" w:cs="Times New Roman"/>
                <w:b/>
                <w:bCs/>
                <w:color w:val="000000" w:themeColor="text1"/>
                <w:sz w:val="18"/>
                <w:szCs w:val="18"/>
                <w:lang w:val="en-US"/>
              </w:rPr>
              <w:t>1</w:t>
            </w:r>
            <w:r w:rsidRPr="00FE7628">
              <w:rPr>
                <w:rFonts w:eastAsia="Times New Roman" w:cs="Times New Roman"/>
                <w:b/>
                <w:bCs/>
                <w:color w:val="000000" w:themeColor="text1"/>
                <w:sz w:val="18"/>
                <w:szCs w:val="18"/>
              </w:rPr>
              <w:t>12</w:t>
            </w:r>
            <w:r w:rsidRPr="00FE7628">
              <w:rPr>
                <w:rFonts w:eastAsia="Times New Roman" w:cs="Times New Roman"/>
                <w:b/>
                <w:bCs/>
                <w:color w:val="000000" w:themeColor="text1"/>
                <w:sz w:val="18"/>
                <w:szCs w:val="18"/>
                <w:lang w:val="en-US"/>
              </w:rPr>
              <w:t>,</w:t>
            </w:r>
            <w:r w:rsidRPr="00FE7628">
              <w:rPr>
                <w:rFonts w:eastAsia="Times New Roman" w:cs="Times New Roman"/>
                <w:b/>
                <w:bCs/>
                <w:color w:val="000000" w:themeColor="text1"/>
                <w:sz w:val="18"/>
                <w:szCs w:val="18"/>
              </w:rPr>
              <w:t>3</w:t>
            </w:r>
            <w:r w:rsidRPr="00FE7628">
              <w:rPr>
                <w:rFonts w:eastAsia="Times New Roman" w:cs="Times New Roman"/>
                <w:b/>
                <w:bCs/>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jc w:val="left"/>
              <w:rPr>
                <w:rFonts w:eastAsia="Times New Roman" w:cs="Times New Roman"/>
                <w:color w:val="000000"/>
                <w:sz w:val="20"/>
                <w:szCs w:val="20"/>
              </w:rPr>
            </w:pPr>
            <w:r w:rsidRPr="00B4329E">
              <w:rPr>
                <w:rFonts w:eastAsia="Times New Roman" w:cs="Times New Roman"/>
                <w:color w:val="000000"/>
                <w:sz w:val="20"/>
                <w:szCs w:val="20"/>
              </w:rPr>
              <w:t>Данъчни приходи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rPr>
              <w:t>29 581,3</w:t>
            </w:r>
          </w:p>
        </w:tc>
        <w:tc>
          <w:tcPr>
            <w:tcW w:w="473" w:type="pct"/>
            <w:tcBorders>
              <w:top w:val="nil"/>
              <w:left w:val="nil"/>
              <w:bottom w:val="nil"/>
              <w:right w:val="nil"/>
            </w:tcBorders>
            <w:shd w:val="clear" w:color="auto" w:fill="F2F2F2" w:themeFill="background1" w:themeFillShade="F2"/>
            <w:noWrap/>
            <w:vAlign w:val="center"/>
            <w:hideMark/>
          </w:tcPr>
          <w:p w:rsidR="008E49A4" w:rsidRPr="003A0B4F" w:rsidRDefault="008E49A4" w:rsidP="009415E2">
            <w:pPr>
              <w:spacing w:after="0"/>
              <w:jc w:val="right"/>
              <w:rPr>
                <w:rFonts w:eastAsia="Times New Roman" w:cs="Times New Roman"/>
                <w:color w:val="000000" w:themeColor="text1"/>
                <w:sz w:val="18"/>
                <w:szCs w:val="18"/>
                <w:lang w:val="en-US"/>
              </w:rPr>
            </w:pPr>
            <w:r w:rsidRPr="003A0B4F">
              <w:rPr>
                <w:rFonts w:eastAsia="Times New Roman" w:cs="Times New Roman"/>
                <w:color w:val="000000" w:themeColor="text1"/>
                <w:sz w:val="18"/>
                <w:szCs w:val="18"/>
              </w:rPr>
              <w:t>32 235,5</w:t>
            </w:r>
          </w:p>
        </w:tc>
        <w:tc>
          <w:tcPr>
            <w:tcW w:w="576"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lang w:val="en-US"/>
              </w:rPr>
            </w:pPr>
            <w:r w:rsidRPr="00743B36">
              <w:rPr>
                <w:rFonts w:eastAsia="Times New Roman" w:cs="Times New Roman"/>
                <w:color w:val="000000" w:themeColor="text1"/>
                <w:sz w:val="18"/>
                <w:szCs w:val="18"/>
              </w:rPr>
              <w:t>32 235,5</w:t>
            </w:r>
          </w:p>
        </w:tc>
        <w:tc>
          <w:tcPr>
            <w:tcW w:w="663"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lang w:val="en-US"/>
              </w:rPr>
            </w:pP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10</w:t>
            </w:r>
            <w:r w:rsidRPr="00FE7628">
              <w:rPr>
                <w:rFonts w:eastAsia="Times New Roman" w:cs="Times New Roman"/>
                <w:color w:val="000000" w:themeColor="text1"/>
                <w:sz w:val="18"/>
                <w:szCs w:val="18"/>
              </w:rPr>
              <w:t>9</w:t>
            </w:r>
            <w:r w:rsidRPr="00FE7628">
              <w:rPr>
                <w:rFonts w:eastAsia="Times New Roman" w:cs="Times New Roman"/>
                <w:color w:val="000000" w:themeColor="text1"/>
                <w:sz w:val="18"/>
                <w:szCs w:val="18"/>
                <w:lang w:val="en-US"/>
              </w:rPr>
              <w:t>,0%</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ind w:firstLineChars="200" w:firstLine="400"/>
              <w:jc w:val="left"/>
              <w:rPr>
                <w:rFonts w:eastAsia="Times New Roman" w:cs="Times New Roman"/>
                <w:color w:val="000000"/>
                <w:sz w:val="20"/>
                <w:szCs w:val="20"/>
              </w:rPr>
            </w:pPr>
            <w:r w:rsidRPr="00B4329E">
              <w:rPr>
                <w:rFonts w:eastAsia="Times New Roman" w:cs="Times New Roman"/>
                <w:color w:val="000000"/>
                <w:sz w:val="20"/>
                <w:szCs w:val="20"/>
              </w:rPr>
              <w:t>Преки данъци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5 644,3</w:t>
            </w:r>
          </w:p>
        </w:tc>
        <w:tc>
          <w:tcPr>
            <w:tcW w:w="473" w:type="pct"/>
            <w:tcBorders>
              <w:top w:val="nil"/>
              <w:left w:val="nil"/>
              <w:bottom w:val="nil"/>
              <w:right w:val="nil"/>
            </w:tcBorders>
            <w:shd w:val="clear" w:color="auto" w:fill="F2F2F2" w:themeFill="background1" w:themeFillShade="F2"/>
            <w:noWrap/>
            <w:vAlign w:val="center"/>
            <w:hideMark/>
          </w:tcPr>
          <w:p w:rsidR="008E49A4" w:rsidRPr="003A0B4F" w:rsidRDefault="008E49A4" w:rsidP="009415E2">
            <w:pPr>
              <w:spacing w:after="0"/>
              <w:jc w:val="right"/>
              <w:rPr>
                <w:rFonts w:eastAsia="Times New Roman" w:cs="Times New Roman"/>
                <w:color w:val="000000" w:themeColor="text1"/>
                <w:sz w:val="18"/>
                <w:szCs w:val="18"/>
              </w:rPr>
            </w:pPr>
            <w:r w:rsidRPr="003A0B4F">
              <w:rPr>
                <w:rFonts w:eastAsia="Times New Roman" w:cs="Times New Roman"/>
                <w:color w:val="000000" w:themeColor="text1"/>
                <w:sz w:val="18"/>
                <w:szCs w:val="18"/>
              </w:rPr>
              <w:t>6</w:t>
            </w:r>
            <w:r w:rsidRPr="003A0B4F">
              <w:rPr>
                <w:rFonts w:eastAsia="Times New Roman" w:cs="Times New Roman"/>
                <w:color w:val="000000" w:themeColor="text1"/>
                <w:sz w:val="18"/>
                <w:szCs w:val="18"/>
                <w:lang w:val="en-US"/>
              </w:rPr>
              <w:t xml:space="preserve"> </w:t>
            </w:r>
            <w:r w:rsidRPr="003A0B4F">
              <w:rPr>
                <w:rFonts w:eastAsia="Times New Roman" w:cs="Times New Roman"/>
                <w:color w:val="000000" w:themeColor="text1"/>
                <w:sz w:val="18"/>
                <w:szCs w:val="18"/>
              </w:rPr>
              <w:t>132</w:t>
            </w:r>
            <w:r w:rsidRPr="003A0B4F">
              <w:rPr>
                <w:rFonts w:eastAsia="Times New Roman" w:cs="Times New Roman"/>
                <w:color w:val="000000" w:themeColor="text1"/>
                <w:sz w:val="18"/>
                <w:szCs w:val="18"/>
                <w:lang w:val="en-US"/>
              </w:rPr>
              <w:t>,</w:t>
            </w:r>
            <w:r w:rsidRPr="003A0B4F">
              <w:rPr>
                <w:rFonts w:eastAsia="Times New Roman" w:cs="Times New Roman"/>
                <w:color w:val="000000" w:themeColor="text1"/>
                <w:sz w:val="18"/>
                <w:szCs w:val="18"/>
              </w:rPr>
              <w:t>5</w:t>
            </w:r>
          </w:p>
        </w:tc>
        <w:tc>
          <w:tcPr>
            <w:tcW w:w="576"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rPr>
            </w:pPr>
            <w:r w:rsidRPr="00743B36">
              <w:rPr>
                <w:rFonts w:eastAsia="Times New Roman" w:cs="Times New Roman"/>
                <w:color w:val="000000" w:themeColor="text1"/>
                <w:sz w:val="18"/>
                <w:szCs w:val="18"/>
              </w:rPr>
              <w:t>6</w:t>
            </w:r>
            <w:r w:rsidRPr="00743B36">
              <w:rPr>
                <w:rFonts w:eastAsia="Times New Roman" w:cs="Times New Roman"/>
                <w:color w:val="000000" w:themeColor="text1"/>
                <w:sz w:val="18"/>
                <w:szCs w:val="18"/>
                <w:lang w:val="en-US"/>
              </w:rPr>
              <w:t xml:space="preserve"> </w:t>
            </w:r>
            <w:r w:rsidRPr="00743B36">
              <w:rPr>
                <w:rFonts w:eastAsia="Times New Roman" w:cs="Times New Roman"/>
                <w:color w:val="000000" w:themeColor="text1"/>
                <w:sz w:val="18"/>
                <w:szCs w:val="18"/>
              </w:rPr>
              <w:t>132</w:t>
            </w:r>
            <w:r w:rsidRPr="00743B36">
              <w:rPr>
                <w:rFonts w:eastAsia="Times New Roman" w:cs="Times New Roman"/>
                <w:color w:val="000000" w:themeColor="text1"/>
                <w:sz w:val="18"/>
                <w:szCs w:val="18"/>
                <w:lang w:val="en-US"/>
              </w:rPr>
              <w:t>,</w:t>
            </w:r>
            <w:r w:rsidRPr="00743B36">
              <w:rPr>
                <w:rFonts w:eastAsia="Times New Roman" w:cs="Times New Roman"/>
                <w:color w:val="000000" w:themeColor="text1"/>
                <w:sz w:val="18"/>
                <w:szCs w:val="18"/>
              </w:rPr>
              <w:t>5</w:t>
            </w:r>
          </w:p>
        </w:tc>
        <w:tc>
          <w:tcPr>
            <w:tcW w:w="663"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lang w:val="en-US"/>
              </w:rPr>
            </w:pPr>
            <w:r w:rsidRPr="00743B36">
              <w:rPr>
                <w:rFonts w:eastAsia="Times New Roman" w:cs="Times New Roman"/>
                <w:color w:val="000000" w:themeColor="text1"/>
                <w:sz w:val="18"/>
                <w:szCs w:val="18"/>
                <w:lang w:val="en-US"/>
              </w:rPr>
              <w:t> </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w:t>
            </w:r>
            <w:r w:rsidRPr="00FE7628">
              <w:rPr>
                <w:rFonts w:eastAsia="Times New Roman" w:cs="Times New Roman"/>
                <w:color w:val="000000" w:themeColor="text1"/>
                <w:sz w:val="18"/>
                <w:szCs w:val="18"/>
              </w:rPr>
              <w:t>08</w:t>
            </w:r>
            <w:r w:rsidRPr="00FE7628">
              <w:rPr>
                <w:rFonts w:eastAsia="Times New Roman" w:cs="Times New Roman"/>
                <w:color w:val="000000" w:themeColor="text1"/>
                <w:sz w:val="18"/>
                <w:szCs w:val="18"/>
                <w:lang w:val="en-US"/>
              </w:rPr>
              <w:t>,</w:t>
            </w:r>
            <w:r w:rsidRPr="00FE7628">
              <w:rPr>
                <w:rFonts w:eastAsia="Times New Roman" w:cs="Times New Roman"/>
                <w:color w:val="000000" w:themeColor="text1"/>
                <w:sz w:val="18"/>
                <w:szCs w:val="18"/>
              </w:rPr>
              <w:t>6</w:t>
            </w:r>
            <w:r w:rsidRPr="00FE7628">
              <w:rPr>
                <w:rFonts w:eastAsia="Times New Roman" w:cs="Times New Roman"/>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ind w:firstLineChars="200" w:firstLine="400"/>
              <w:jc w:val="left"/>
              <w:rPr>
                <w:rFonts w:eastAsia="Times New Roman" w:cs="Times New Roman"/>
                <w:color w:val="000000"/>
                <w:sz w:val="20"/>
                <w:szCs w:val="20"/>
              </w:rPr>
            </w:pPr>
            <w:r w:rsidRPr="00B4329E">
              <w:rPr>
                <w:rFonts w:eastAsia="Times New Roman" w:cs="Times New Roman"/>
                <w:color w:val="000000"/>
                <w:sz w:val="20"/>
                <w:szCs w:val="20"/>
              </w:rPr>
              <w:t xml:space="preserve">Косвени данъци </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14 532,5</w:t>
            </w:r>
          </w:p>
        </w:tc>
        <w:tc>
          <w:tcPr>
            <w:tcW w:w="473" w:type="pct"/>
            <w:tcBorders>
              <w:top w:val="nil"/>
              <w:left w:val="nil"/>
              <w:bottom w:val="nil"/>
              <w:right w:val="nil"/>
            </w:tcBorders>
            <w:shd w:val="clear" w:color="auto" w:fill="F2F2F2" w:themeFill="background1" w:themeFillShade="F2"/>
            <w:noWrap/>
            <w:vAlign w:val="center"/>
            <w:hideMark/>
          </w:tcPr>
          <w:p w:rsidR="008E49A4" w:rsidRPr="003A0B4F" w:rsidRDefault="008E49A4" w:rsidP="009415E2">
            <w:pPr>
              <w:spacing w:after="0"/>
              <w:jc w:val="right"/>
              <w:rPr>
                <w:rFonts w:eastAsia="Times New Roman" w:cs="Times New Roman"/>
                <w:color w:val="000000" w:themeColor="text1"/>
                <w:sz w:val="18"/>
                <w:szCs w:val="18"/>
              </w:rPr>
            </w:pPr>
            <w:r w:rsidRPr="003A0B4F">
              <w:rPr>
                <w:rFonts w:eastAsia="Times New Roman" w:cs="Times New Roman"/>
                <w:color w:val="000000" w:themeColor="text1"/>
                <w:sz w:val="18"/>
                <w:szCs w:val="18"/>
                <w:lang w:val="en-US"/>
              </w:rPr>
              <w:t>1</w:t>
            </w:r>
            <w:r w:rsidRPr="003A0B4F">
              <w:rPr>
                <w:rFonts w:eastAsia="Times New Roman" w:cs="Times New Roman"/>
                <w:color w:val="000000" w:themeColor="text1"/>
                <w:sz w:val="18"/>
                <w:szCs w:val="18"/>
              </w:rPr>
              <w:t>5</w:t>
            </w:r>
            <w:r w:rsidRPr="003A0B4F">
              <w:rPr>
                <w:rFonts w:eastAsia="Times New Roman" w:cs="Times New Roman"/>
                <w:color w:val="000000" w:themeColor="text1"/>
                <w:sz w:val="18"/>
                <w:szCs w:val="18"/>
                <w:lang w:val="en-US"/>
              </w:rPr>
              <w:t xml:space="preserve"> </w:t>
            </w:r>
            <w:r w:rsidRPr="003A0B4F">
              <w:rPr>
                <w:rFonts w:eastAsia="Times New Roman" w:cs="Times New Roman"/>
                <w:color w:val="000000" w:themeColor="text1"/>
                <w:sz w:val="18"/>
                <w:szCs w:val="18"/>
              </w:rPr>
              <w:t>531</w:t>
            </w:r>
            <w:r w:rsidRPr="003A0B4F">
              <w:rPr>
                <w:rFonts w:eastAsia="Times New Roman" w:cs="Times New Roman"/>
                <w:color w:val="000000" w:themeColor="text1"/>
                <w:sz w:val="18"/>
                <w:szCs w:val="18"/>
                <w:lang w:val="en-US"/>
              </w:rPr>
              <w:t>,</w:t>
            </w:r>
            <w:r w:rsidRPr="003A0B4F">
              <w:rPr>
                <w:rFonts w:eastAsia="Times New Roman" w:cs="Times New Roman"/>
                <w:color w:val="000000" w:themeColor="text1"/>
                <w:sz w:val="18"/>
                <w:szCs w:val="18"/>
              </w:rPr>
              <w:t>0</w:t>
            </w:r>
          </w:p>
        </w:tc>
        <w:tc>
          <w:tcPr>
            <w:tcW w:w="576"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rPr>
            </w:pPr>
            <w:r w:rsidRPr="00743B36">
              <w:rPr>
                <w:rFonts w:eastAsia="Times New Roman" w:cs="Times New Roman"/>
                <w:color w:val="000000" w:themeColor="text1"/>
                <w:sz w:val="18"/>
                <w:szCs w:val="18"/>
                <w:lang w:val="en-US"/>
              </w:rPr>
              <w:t>1</w:t>
            </w:r>
            <w:r w:rsidRPr="00743B36">
              <w:rPr>
                <w:rFonts w:eastAsia="Times New Roman" w:cs="Times New Roman"/>
                <w:color w:val="000000" w:themeColor="text1"/>
                <w:sz w:val="18"/>
                <w:szCs w:val="18"/>
              </w:rPr>
              <w:t>5</w:t>
            </w:r>
            <w:r w:rsidRPr="00743B36">
              <w:rPr>
                <w:rFonts w:eastAsia="Times New Roman" w:cs="Times New Roman"/>
                <w:color w:val="000000" w:themeColor="text1"/>
                <w:sz w:val="18"/>
                <w:szCs w:val="18"/>
                <w:lang w:val="en-US"/>
              </w:rPr>
              <w:t xml:space="preserve"> </w:t>
            </w:r>
            <w:r w:rsidRPr="00743B36">
              <w:rPr>
                <w:rFonts w:eastAsia="Times New Roman" w:cs="Times New Roman"/>
                <w:color w:val="000000" w:themeColor="text1"/>
                <w:sz w:val="18"/>
                <w:szCs w:val="18"/>
              </w:rPr>
              <w:t>531</w:t>
            </w:r>
            <w:r w:rsidRPr="00743B36">
              <w:rPr>
                <w:rFonts w:eastAsia="Times New Roman" w:cs="Times New Roman"/>
                <w:color w:val="000000" w:themeColor="text1"/>
                <w:sz w:val="18"/>
                <w:szCs w:val="18"/>
                <w:lang w:val="en-US"/>
              </w:rPr>
              <w:t>,</w:t>
            </w:r>
            <w:r w:rsidRPr="00743B36">
              <w:rPr>
                <w:rFonts w:eastAsia="Times New Roman" w:cs="Times New Roman"/>
                <w:color w:val="000000" w:themeColor="text1"/>
                <w:sz w:val="18"/>
                <w:szCs w:val="18"/>
              </w:rPr>
              <w:t>0</w:t>
            </w:r>
          </w:p>
        </w:tc>
        <w:tc>
          <w:tcPr>
            <w:tcW w:w="663"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lang w:val="en-US"/>
              </w:rPr>
            </w:pPr>
            <w:r w:rsidRPr="00743B36">
              <w:rPr>
                <w:rFonts w:eastAsia="Times New Roman" w:cs="Times New Roman"/>
                <w:color w:val="000000" w:themeColor="text1"/>
                <w:sz w:val="18"/>
                <w:szCs w:val="18"/>
                <w:lang w:val="en-US"/>
              </w:rPr>
              <w:t> </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10</w:t>
            </w:r>
            <w:r w:rsidRPr="00FE7628">
              <w:rPr>
                <w:rFonts w:eastAsia="Times New Roman" w:cs="Times New Roman"/>
                <w:color w:val="000000" w:themeColor="text1"/>
                <w:sz w:val="18"/>
                <w:szCs w:val="18"/>
              </w:rPr>
              <w:t>6</w:t>
            </w:r>
            <w:r w:rsidRPr="00FE7628">
              <w:rPr>
                <w:rFonts w:eastAsia="Times New Roman" w:cs="Times New Roman"/>
                <w:color w:val="000000" w:themeColor="text1"/>
                <w:sz w:val="18"/>
                <w:szCs w:val="18"/>
                <w:lang w:val="en-US"/>
              </w:rPr>
              <w:t>,</w:t>
            </w:r>
            <w:r w:rsidRPr="00FE7628">
              <w:rPr>
                <w:rFonts w:eastAsia="Times New Roman" w:cs="Times New Roman"/>
                <w:color w:val="000000" w:themeColor="text1"/>
                <w:sz w:val="18"/>
                <w:szCs w:val="18"/>
              </w:rPr>
              <w:t>9</w:t>
            </w:r>
            <w:r w:rsidRPr="00FE7628">
              <w:rPr>
                <w:rFonts w:eastAsia="Times New Roman" w:cs="Times New Roman"/>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ind w:firstLineChars="200" w:firstLine="400"/>
              <w:jc w:val="left"/>
              <w:rPr>
                <w:rFonts w:eastAsia="Times New Roman" w:cs="Times New Roman"/>
                <w:color w:val="000000"/>
                <w:sz w:val="20"/>
                <w:szCs w:val="20"/>
              </w:rPr>
            </w:pPr>
            <w:r w:rsidRPr="00B4329E">
              <w:rPr>
                <w:rFonts w:eastAsia="Times New Roman" w:cs="Times New Roman"/>
                <w:color w:val="000000"/>
                <w:sz w:val="20"/>
                <w:szCs w:val="20"/>
              </w:rPr>
              <w:t>Приходи от социални и здравноосигурителни вноски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8 365,2</w:t>
            </w:r>
          </w:p>
        </w:tc>
        <w:tc>
          <w:tcPr>
            <w:tcW w:w="473" w:type="pct"/>
            <w:tcBorders>
              <w:top w:val="nil"/>
              <w:left w:val="nil"/>
              <w:bottom w:val="nil"/>
              <w:right w:val="nil"/>
            </w:tcBorders>
            <w:shd w:val="clear" w:color="auto" w:fill="F2F2F2" w:themeFill="background1" w:themeFillShade="F2"/>
            <w:noWrap/>
            <w:vAlign w:val="center"/>
            <w:hideMark/>
          </w:tcPr>
          <w:p w:rsidR="008E49A4" w:rsidRPr="003A0B4F" w:rsidRDefault="008E49A4" w:rsidP="009415E2">
            <w:pPr>
              <w:spacing w:after="0"/>
              <w:jc w:val="right"/>
              <w:rPr>
                <w:rFonts w:eastAsia="Times New Roman" w:cs="Times New Roman"/>
                <w:color w:val="000000" w:themeColor="text1"/>
                <w:sz w:val="18"/>
                <w:szCs w:val="18"/>
              </w:rPr>
            </w:pPr>
            <w:r w:rsidRPr="003A0B4F">
              <w:rPr>
                <w:rFonts w:eastAsia="Times New Roman" w:cs="Times New Roman"/>
                <w:color w:val="000000" w:themeColor="text1"/>
                <w:sz w:val="18"/>
                <w:szCs w:val="18"/>
              </w:rPr>
              <w:t>9</w:t>
            </w:r>
            <w:r w:rsidRPr="003A0B4F">
              <w:rPr>
                <w:rFonts w:eastAsia="Times New Roman" w:cs="Times New Roman"/>
                <w:color w:val="000000" w:themeColor="text1"/>
                <w:sz w:val="18"/>
                <w:szCs w:val="18"/>
                <w:lang w:val="en-US"/>
              </w:rPr>
              <w:t xml:space="preserve"> </w:t>
            </w:r>
            <w:r w:rsidRPr="003A0B4F">
              <w:rPr>
                <w:rFonts w:eastAsia="Times New Roman" w:cs="Times New Roman"/>
                <w:color w:val="000000" w:themeColor="text1"/>
                <w:sz w:val="18"/>
                <w:szCs w:val="18"/>
              </w:rPr>
              <w:t>458</w:t>
            </w:r>
            <w:r w:rsidRPr="003A0B4F">
              <w:rPr>
                <w:rFonts w:eastAsia="Times New Roman" w:cs="Times New Roman"/>
                <w:color w:val="000000" w:themeColor="text1"/>
                <w:sz w:val="18"/>
                <w:szCs w:val="18"/>
                <w:lang w:val="en-US"/>
              </w:rPr>
              <w:t>,</w:t>
            </w:r>
            <w:r w:rsidRPr="003A0B4F">
              <w:rPr>
                <w:rFonts w:eastAsia="Times New Roman" w:cs="Times New Roman"/>
                <w:color w:val="000000" w:themeColor="text1"/>
                <w:sz w:val="18"/>
                <w:szCs w:val="18"/>
              </w:rPr>
              <w:t>3</w:t>
            </w:r>
          </w:p>
        </w:tc>
        <w:tc>
          <w:tcPr>
            <w:tcW w:w="576"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rPr>
            </w:pPr>
            <w:r w:rsidRPr="00743B36">
              <w:rPr>
                <w:rFonts w:eastAsia="Times New Roman" w:cs="Times New Roman"/>
                <w:color w:val="000000" w:themeColor="text1"/>
                <w:sz w:val="18"/>
                <w:szCs w:val="18"/>
              </w:rPr>
              <w:t>9</w:t>
            </w:r>
            <w:r w:rsidRPr="00743B36">
              <w:rPr>
                <w:rFonts w:eastAsia="Times New Roman" w:cs="Times New Roman"/>
                <w:color w:val="000000" w:themeColor="text1"/>
                <w:sz w:val="18"/>
                <w:szCs w:val="18"/>
                <w:lang w:val="en-US"/>
              </w:rPr>
              <w:t xml:space="preserve"> </w:t>
            </w:r>
            <w:r w:rsidRPr="00743B36">
              <w:rPr>
                <w:rFonts w:eastAsia="Times New Roman" w:cs="Times New Roman"/>
                <w:color w:val="000000" w:themeColor="text1"/>
                <w:sz w:val="18"/>
                <w:szCs w:val="18"/>
              </w:rPr>
              <w:t>458</w:t>
            </w:r>
            <w:r w:rsidRPr="00743B36">
              <w:rPr>
                <w:rFonts w:eastAsia="Times New Roman" w:cs="Times New Roman"/>
                <w:color w:val="000000" w:themeColor="text1"/>
                <w:sz w:val="18"/>
                <w:szCs w:val="18"/>
                <w:lang w:val="en-US"/>
              </w:rPr>
              <w:t>,</w:t>
            </w:r>
            <w:r w:rsidRPr="00743B36">
              <w:rPr>
                <w:rFonts w:eastAsia="Times New Roman" w:cs="Times New Roman"/>
                <w:color w:val="000000" w:themeColor="text1"/>
                <w:sz w:val="18"/>
                <w:szCs w:val="18"/>
              </w:rPr>
              <w:t>3</w:t>
            </w:r>
          </w:p>
        </w:tc>
        <w:tc>
          <w:tcPr>
            <w:tcW w:w="663"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lang w:val="en-US"/>
              </w:rPr>
            </w:pPr>
            <w:r w:rsidRPr="00743B36">
              <w:rPr>
                <w:rFonts w:eastAsia="Times New Roman" w:cs="Times New Roman"/>
                <w:color w:val="000000" w:themeColor="text1"/>
                <w:sz w:val="18"/>
                <w:szCs w:val="18"/>
                <w:lang w:val="en-US"/>
              </w:rPr>
              <w:t> </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11</w:t>
            </w:r>
            <w:r w:rsidRPr="00FE7628">
              <w:rPr>
                <w:rFonts w:eastAsia="Times New Roman" w:cs="Times New Roman"/>
                <w:color w:val="000000" w:themeColor="text1"/>
                <w:sz w:val="18"/>
                <w:szCs w:val="18"/>
              </w:rPr>
              <w:t>3</w:t>
            </w:r>
            <w:r w:rsidRPr="00FE7628">
              <w:rPr>
                <w:rFonts w:eastAsia="Times New Roman" w:cs="Times New Roman"/>
                <w:color w:val="000000" w:themeColor="text1"/>
                <w:sz w:val="18"/>
                <w:szCs w:val="18"/>
                <w:lang w:val="en-US"/>
              </w:rPr>
              <w:t>,</w:t>
            </w:r>
            <w:r w:rsidRPr="00FE7628">
              <w:rPr>
                <w:rFonts w:eastAsia="Times New Roman" w:cs="Times New Roman"/>
                <w:color w:val="000000" w:themeColor="text1"/>
                <w:sz w:val="18"/>
                <w:szCs w:val="18"/>
              </w:rPr>
              <w:t>1</w:t>
            </w:r>
            <w:r w:rsidRPr="00FE7628">
              <w:rPr>
                <w:rFonts w:eastAsia="Times New Roman" w:cs="Times New Roman"/>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ind w:firstLineChars="200" w:firstLine="400"/>
              <w:jc w:val="left"/>
              <w:rPr>
                <w:rFonts w:eastAsia="Times New Roman" w:cs="Times New Roman"/>
                <w:color w:val="000000"/>
                <w:sz w:val="20"/>
                <w:szCs w:val="20"/>
              </w:rPr>
            </w:pPr>
            <w:r w:rsidRPr="00B4329E">
              <w:rPr>
                <w:rFonts w:eastAsia="Times New Roman" w:cs="Times New Roman"/>
                <w:color w:val="000000"/>
                <w:sz w:val="20"/>
                <w:szCs w:val="20"/>
              </w:rPr>
              <w:t>Други данъци*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1 039,3</w:t>
            </w:r>
          </w:p>
        </w:tc>
        <w:tc>
          <w:tcPr>
            <w:tcW w:w="473" w:type="pct"/>
            <w:tcBorders>
              <w:top w:val="nil"/>
              <w:left w:val="nil"/>
              <w:bottom w:val="nil"/>
              <w:right w:val="nil"/>
            </w:tcBorders>
            <w:shd w:val="clear" w:color="auto" w:fill="F2F2F2" w:themeFill="background1" w:themeFillShade="F2"/>
            <w:noWrap/>
            <w:vAlign w:val="center"/>
            <w:hideMark/>
          </w:tcPr>
          <w:p w:rsidR="008E49A4" w:rsidRPr="003A0B4F" w:rsidRDefault="008E49A4" w:rsidP="009415E2">
            <w:pPr>
              <w:spacing w:after="0"/>
              <w:jc w:val="right"/>
              <w:rPr>
                <w:rFonts w:eastAsia="Times New Roman" w:cs="Times New Roman"/>
                <w:color w:val="000000" w:themeColor="text1"/>
                <w:sz w:val="18"/>
                <w:szCs w:val="18"/>
              </w:rPr>
            </w:pPr>
            <w:r w:rsidRPr="003A0B4F">
              <w:rPr>
                <w:rFonts w:eastAsia="Times New Roman" w:cs="Times New Roman"/>
                <w:color w:val="000000" w:themeColor="text1"/>
                <w:sz w:val="18"/>
                <w:szCs w:val="18"/>
                <w:lang w:val="en-US"/>
              </w:rPr>
              <w:t xml:space="preserve">1 </w:t>
            </w:r>
            <w:r w:rsidRPr="003A0B4F">
              <w:rPr>
                <w:rFonts w:eastAsia="Times New Roman" w:cs="Times New Roman"/>
                <w:color w:val="000000" w:themeColor="text1"/>
                <w:sz w:val="18"/>
                <w:szCs w:val="18"/>
              </w:rPr>
              <w:t>113</w:t>
            </w:r>
            <w:r w:rsidRPr="003A0B4F">
              <w:rPr>
                <w:rFonts w:eastAsia="Times New Roman" w:cs="Times New Roman"/>
                <w:color w:val="000000" w:themeColor="text1"/>
                <w:sz w:val="18"/>
                <w:szCs w:val="18"/>
                <w:lang w:val="en-US"/>
              </w:rPr>
              <w:t>,</w:t>
            </w:r>
            <w:r w:rsidRPr="003A0B4F">
              <w:rPr>
                <w:rFonts w:eastAsia="Times New Roman" w:cs="Times New Roman"/>
                <w:color w:val="000000" w:themeColor="text1"/>
                <w:sz w:val="18"/>
                <w:szCs w:val="18"/>
              </w:rPr>
              <w:t>8</w:t>
            </w:r>
          </w:p>
        </w:tc>
        <w:tc>
          <w:tcPr>
            <w:tcW w:w="576"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rPr>
            </w:pPr>
            <w:r w:rsidRPr="00743B36">
              <w:rPr>
                <w:rFonts w:eastAsia="Times New Roman" w:cs="Times New Roman"/>
                <w:color w:val="000000" w:themeColor="text1"/>
                <w:sz w:val="18"/>
                <w:szCs w:val="18"/>
                <w:lang w:val="en-US"/>
              </w:rPr>
              <w:t xml:space="preserve">1 </w:t>
            </w:r>
            <w:r w:rsidRPr="00743B36">
              <w:rPr>
                <w:rFonts w:eastAsia="Times New Roman" w:cs="Times New Roman"/>
                <w:color w:val="000000" w:themeColor="text1"/>
                <w:sz w:val="18"/>
                <w:szCs w:val="18"/>
              </w:rPr>
              <w:t>113</w:t>
            </w:r>
            <w:r w:rsidRPr="00743B36">
              <w:rPr>
                <w:rFonts w:eastAsia="Times New Roman" w:cs="Times New Roman"/>
                <w:color w:val="000000" w:themeColor="text1"/>
                <w:sz w:val="18"/>
                <w:szCs w:val="18"/>
                <w:lang w:val="en-US"/>
              </w:rPr>
              <w:t>,</w:t>
            </w:r>
            <w:r w:rsidRPr="00743B36">
              <w:rPr>
                <w:rFonts w:eastAsia="Times New Roman" w:cs="Times New Roman"/>
                <w:color w:val="000000" w:themeColor="text1"/>
                <w:sz w:val="18"/>
                <w:szCs w:val="18"/>
              </w:rPr>
              <w:t>8</w:t>
            </w:r>
          </w:p>
        </w:tc>
        <w:tc>
          <w:tcPr>
            <w:tcW w:w="663" w:type="pct"/>
            <w:tcBorders>
              <w:top w:val="nil"/>
              <w:left w:val="nil"/>
              <w:bottom w:val="nil"/>
              <w:right w:val="nil"/>
            </w:tcBorders>
            <w:shd w:val="clear" w:color="auto" w:fill="F2F2F2" w:themeFill="background1" w:themeFillShade="F2"/>
            <w:noWrap/>
            <w:vAlign w:val="center"/>
            <w:hideMark/>
          </w:tcPr>
          <w:p w:rsidR="008E49A4" w:rsidRPr="00743B36" w:rsidRDefault="008E49A4" w:rsidP="009415E2">
            <w:pPr>
              <w:spacing w:after="0"/>
              <w:jc w:val="right"/>
              <w:rPr>
                <w:rFonts w:eastAsia="Times New Roman" w:cs="Times New Roman"/>
                <w:color w:val="000000" w:themeColor="text1"/>
                <w:sz w:val="18"/>
                <w:szCs w:val="18"/>
                <w:lang w:val="en-US"/>
              </w:rPr>
            </w:pPr>
            <w:r w:rsidRPr="00743B36">
              <w:rPr>
                <w:rFonts w:eastAsia="Times New Roman" w:cs="Times New Roman"/>
                <w:color w:val="000000" w:themeColor="text1"/>
                <w:sz w:val="18"/>
                <w:szCs w:val="18"/>
                <w:lang w:val="en-US"/>
              </w:rPr>
              <w:t> </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10</w:t>
            </w:r>
            <w:r w:rsidRPr="00FE7628">
              <w:rPr>
                <w:rFonts w:eastAsia="Times New Roman" w:cs="Times New Roman"/>
                <w:color w:val="000000" w:themeColor="text1"/>
                <w:sz w:val="18"/>
                <w:szCs w:val="18"/>
              </w:rPr>
              <w:t>7</w:t>
            </w:r>
            <w:r w:rsidRPr="00FE7628">
              <w:rPr>
                <w:rFonts w:eastAsia="Times New Roman" w:cs="Times New Roman"/>
                <w:color w:val="000000" w:themeColor="text1"/>
                <w:sz w:val="18"/>
                <w:szCs w:val="18"/>
                <w:lang w:val="en-US"/>
              </w:rPr>
              <w:t>,</w:t>
            </w:r>
            <w:r w:rsidRPr="00FE7628">
              <w:rPr>
                <w:rFonts w:eastAsia="Times New Roman" w:cs="Times New Roman"/>
                <w:color w:val="000000" w:themeColor="text1"/>
                <w:sz w:val="18"/>
                <w:szCs w:val="18"/>
              </w:rPr>
              <w:t>2</w:t>
            </w:r>
            <w:r w:rsidRPr="00FE7628">
              <w:rPr>
                <w:rFonts w:eastAsia="Times New Roman" w:cs="Times New Roman"/>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jc w:val="left"/>
              <w:rPr>
                <w:rFonts w:eastAsia="Times New Roman" w:cs="Times New Roman"/>
                <w:color w:val="000000"/>
                <w:sz w:val="20"/>
                <w:szCs w:val="20"/>
              </w:rPr>
            </w:pPr>
            <w:r w:rsidRPr="00B4329E">
              <w:rPr>
                <w:rFonts w:eastAsia="Times New Roman" w:cs="Times New Roman"/>
                <w:color w:val="000000"/>
                <w:sz w:val="20"/>
                <w:szCs w:val="20"/>
              </w:rPr>
              <w:t>Неданъчни приходи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4 214,7</w:t>
            </w:r>
          </w:p>
        </w:tc>
        <w:tc>
          <w:tcPr>
            <w:tcW w:w="473"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color w:val="000000" w:themeColor="text1"/>
                <w:sz w:val="18"/>
                <w:szCs w:val="18"/>
              </w:rPr>
            </w:pPr>
            <w:r w:rsidRPr="003A0B4F">
              <w:rPr>
                <w:rFonts w:eastAsia="Times New Roman" w:cs="Times New Roman"/>
                <w:color w:val="000000" w:themeColor="text1"/>
                <w:sz w:val="18"/>
                <w:szCs w:val="18"/>
              </w:rPr>
              <w:t>5</w:t>
            </w:r>
            <w:r w:rsidRPr="003A0B4F">
              <w:rPr>
                <w:rFonts w:eastAsia="Times New Roman" w:cs="Times New Roman"/>
                <w:color w:val="000000" w:themeColor="text1"/>
                <w:sz w:val="18"/>
                <w:szCs w:val="18"/>
                <w:lang w:val="en-US"/>
              </w:rPr>
              <w:t xml:space="preserve"> </w:t>
            </w:r>
            <w:r w:rsidRPr="003A0B4F">
              <w:rPr>
                <w:rFonts w:eastAsia="Times New Roman" w:cs="Times New Roman"/>
                <w:color w:val="000000" w:themeColor="text1"/>
                <w:sz w:val="18"/>
                <w:szCs w:val="18"/>
              </w:rPr>
              <w:t>302</w:t>
            </w:r>
            <w:r w:rsidRPr="003A0B4F">
              <w:rPr>
                <w:rFonts w:eastAsia="Times New Roman" w:cs="Times New Roman"/>
                <w:color w:val="000000" w:themeColor="text1"/>
                <w:sz w:val="18"/>
                <w:szCs w:val="18"/>
                <w:lang w:val="en-US"/>
              </w:rPr>
              <w:t>,</w:t>
            </w:r>
            <w:r>
              <w:rPr>
                <w:rFonts w:eastAsia="Times New Roman" w:cs="Times New Roman"/>
                <w:color w:val="000000" w:themeColor="text1"/>
                <w:sz w:val="18"/>
                <w:szCs w:val="18"/>
              </w:rPr>
              <w:t>3</w:t>
            </w:r>
          </w:p>
        </w:tc>
        <w:tc>
          <w:tcPr>
            <w:tcW w:w="576"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5</w:t>
            </w:r>
            <w:r w:rsidRPr="0068102C">
              <w:rPr>
                <w:rFonts w:eastAsia="Times New Roman" w:cs="Times New Roman"/>
                <w:color w:val="000000" w:themeColor="text1"/>
                <w:sz w:val="18"/>
                <w:szCs w:val="18"/>
                <w:lang w:val="en-US"/>
              </w:rPr>
              <w:t xml:space="preserve"> </w:t>
            </w:r>
            <w:r w:rsidRPr="0068102C">
              <w:rPr>
                <w:rFonts w:eastAsia="Times New Roman" w:cs="Times New Roman"/>
                <w:color w:val="000000" w:themeColor="text1"/>
                <w:sz w:val="18"/>
                <w:szCs w:val="18"/>
              </w:rPr>
              <w:t>301</w:t>
            </w:r>
            <w:r w:rsidRPr="0068102C">
              <w:rPr>
                <w:rFonts w:eastAsia="Times New Roman" w:cs="Times New Roman"/>
                <w:color w:val="000000" w:themeColor="text1"/>
                <w:sz w:val="18"/>
                <w:szCs w:val="18"/>
                <w:lang w:val="en-US"/>
              </w:rPr>
              <w:t>,</w:t>
            </w:r>
            <w:r>
              <w:rPr>
                <w:rFonts w:eastAsia="Times New Roman" w:cs="Times New Roman"/>
                <w:color w:val="000000" w:themeColor="text1"/>
                <w:sz w:val="18"/>
                <w:szCs w:val="18"/>
              </w:rPr>
              <w:t>2</w:t>
            </w:r>
          </w:p>
        </w:tc>
        <w:tc>
          <w:tcPr>
            <w:tcW w:w="663"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1</w:t>
            </w:r>
            <w:r w:rsidRPr="0068102C">
              <w:rPr>
                <w:rFonts w:eastAsia="Times New Roman" w:cs="Times New Roman"/>
                <w:color w:val="000000" w:themeColor="text1"/>
                <w:sz w:val="18"/>
                <w:szCs w:val="18"/>
                <w:lang w:val="en-US"/>
              </w:rPr>
              <w:t>,</w:t>
            </w:r>
            <w:r w:rsidRPr="0068102C">
              <w:rPr>
                <w:rFonts w:eastAsia="Times New Roman" w:cs="Times New Roman"/>
                <w:color w:val="000000" w:themeColor="text1"/>
                <w:sz w:val="18"/>
                <w:szCs w:val="18"/>
              </w:rPr>
              <w:t>1</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w:t>
            </w:r>
            <w:r w:rsidRPr="00FE7628">
              <w:rPr>
                <w:rFonts w:eastAsia="Times New Roman" w:cs="Times New Roman"/>
                <w:color w:val="000000" w:themeColor="text1"/>
                <w:sz w:val="18"/>
                <w:szCs w:val="18"/>
              </w:rPr>
              <w:t>25</w:t>
            </w:r>
            <w:r w:rsidRPr="00FE7628">
              <w:rPr>
                <w:rFonts w:eastAsia="Times New Roman" w:cs="Times New Roman"/>
                <w:color w:val="000000" w:themeColor="text1"/>
                <w:sz w:val="18"/>
                <w:szCs w:val="18"/>
                <w:lang w:val="en-US"/>
              </w:rPr>
              <w:t>,</w:t>
            </w:r>
            <w:r w:rsidRPr="00FE7628">
              <w:rPr>
                <w:rFonts w:eastAsia="Times New Roman" w:cs="Times New Roman"/>
                <w:color w:val="000000" w:themeColor="text1"/>
                <w:sz w:val="18"/>
                <w:szCs w:val="18"/>
              </w:rPr>
              <w:t>8</w:t>
            </w:r>
            <w:r w:rsidRPr="00FE7628">
              <w:rPr>
                <w:rFonts w:eastAsia="Times New Roman" w:cs="Times New Roman"/>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jc w:val="left"/>
              <w:rPr>
                <w:rFonts w:eastAsia="Times New Roman" w:cs="Times New Roman"/>
                <w:color w:val="000000"/>
                <w:sz w:val="20"/>
                <w:szCs w:val="20"/>
              </w:rPr>
            </w:pPr>
            <w:r w:rsidRPr="00B4329E">
              <w:rPr>
                <w:rFonts w:eastAsia="Times New Roman" w:cs="Times New Roman"/>
                <w:color w:val="000000"/>
                <w:sz w:val="20"/>
                <w:szCs w:val="20"/>
              </w:rPr>
              <w:t>Помощи и дарения</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1 520,6</w:t>
            </w:r>
          </w:p>
        </w:tc>
        <w:tc>
          <w:tcPr>
            <w:tcW w:w="473"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color w:val="000000" w:themeColor="text1"/>
                <w:sz w:val="18"/>
                <w:szCs w:val="18"/>
              </w:rPr>
            </w:pPr>
            <w:r w:rsidRPr="004F32FD">
              <w:rPr>
                <w:rFonts w:eastAsia="Times New Roman" w:cs="Times New Roman"/>
                <w:color w:val="000000" w:themeColor="text1"/>
                <w:sz w:val="18"/>
                <w:szCs w:val="18"/>
              </w:rPr>
              <w:t>2</w:t>
            </w:r>
            <w:r w:rsidRPr="004F32FD">
              <w:rPr>
                <w:rFonts w:eastAsia="Times New Roman" w:cs="Times New Roman"/>
                <w:color w:val="000000" w:themeColor="text1"/>
                <w:sz w:val="18"/>
                <w:szCs w:val="18"/>
                <w:lang w:val="en-US"/>
              </w:rPr>
              <w:t xml:space="preserve"> </w:t>
            </w:r>
            <w:r w:rsidRPr="004F32FD">
              <w:rPr>
                <w:rFonts w:eastAsia="Times New Roman" w:cs="Times New Roman"/>
                <w:color w:val="000000" w:themeColor="text1"/>
                <w:sz w:val="18"/>
                <w:szCs w:val="18"/>
              </w:rPr>
              <w:t>11</w:t>
            </w:r>
            <w:r>
              <w:rPr>
                <w:rFonts w:eastAsia="Times New Roman" w:cs="Times New Roman"/>
                <w:color w:val="000000" w:themeColor="text1"/>
                <w:sz w:val="18"/>
                <w:szCs w:val="18"/>
              </w:rPr>
              <w:t>3</w:t>
            </w:r>
            <w:r w:rsidRPr="004F32FD">
              <w:rPr>
                <w:rFonts w:eastAsia="Times New Roman" w:cs="Times New Roman"/>
                <w:color w:val="000000" w:themeColor="text1"/>
                <w:sz w:val="18"/>
                <w:szCs w:val="18"/>
                <w:lang w:val="en-US"/>
              </w:rPr>
              <w:t>,</w:t>
            </w:r>
            <w:r>
              <w:rPr>
                <w:rFonts w:eastAsia="Times New Roman" w:cs="Times New Roman"/>
                <w:color w:val="000000" w:themeColor="text1"/>
                <w:sz w:val="18"/>
                <w:szCs w:val="18"/>
              </w:rPr>
              <w:t>0</w:t>
            </w:r>
          </w:p>
        </w:tc>
        <w:tc>
          <w:tcPr>
            <w:tcW w:w="576"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lang w:val="en-US"/>
              </w:rPr>
            </w:pPr>
            <w:r w:rsidRPr="0068102C">
              <w:rPr>
                <w:rFonts w:eastAsia="Times New Roman" w:cs="Times New Roman"/>
                <w:color w:val="000000" w:themeColor="text1"/>
                <w:sz w:val="18"/>
                <w:szCs w:val="18"/>
              </w:rPr>
              <w:t>82</w:t>
            </w:r>
            <w:r w:rsidRPr="0068102C">
              <w:rPr>
                <w:rFonts w:eastAsia="Times New Roman" w:cs="Times New Roman"/>
                <w:color w:val="000000" w:themeColor="text1"/>
                <w:sz w:val="18"/>
                <w:szCs w:val="18"/>
                <w:lang w:val="en-US"/>
              </w:rPr>
              <w:t>,3</w:t>
            </w:r>
          </w:p>
        </w:tc>
        <w:tc>
          <w:tcPr>
            <w:tcW w:w="663"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2</w:t>
            </w:r>
            <w:r w:rsidRPr="0068102C">
              <w:rPr>
                <w:rFonts w:eastAsia="Times New Roman" w:cs="Times New Roman"/>
                <w:color w:val="000000" w:themeColor="text1"/>
                <w:sz w:val="18"/>
                <w:szCs w:val="18"/>
                <w:lang w:val="en-US"/>
              </w:rPr>
              <w:t xml:space="preserve"> </w:t>
            </w:r>
            <w:r w:rsidRPr="0068102C">
              <w:rPr>
                <w:rFonts w:eastAsia="Times New Roman" w:cs="Times New Roman"/>
                <w:color w:val="000000" w:themeColor="text1"/>
                <w:sz w:val="18"/>
                <w:szCs w:val="18"/>
              </w:rPr>
              <w:t>030</w:t>
            </w:r>
            <w:r w:rsidRPr="0068102C">
              <w:rPr>
                <w:rFonts w:eastAsia="Times New Roman" w:cs="Times New Roman"/>
                <w:color w:val="000000" w:themeColor="text1"/>
                <w:sz w:val="18"/>
                <w:szCs w:val="18"/>
                <w:lang w:val="en-US"/>
              </w:rPr>
              <w:t>,</w:t>
            </w:r>
            <w:r>
              <w:rPr>
                <w:rFonts w:eastAsia="Times New Roman" w:cs="Times New Roman"/>
                <w:color w:val="000000" w:themeColor="text1"/>
                <w:sz w:val="18"/>
                <w:szCs w:val="18"/>
              </w:rPr>
              <w:t>7</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rPr>
              <w:t>13</w:t>
            </w:r>
            <w:r>
              <w:rPr>
                <w:rFonts w:eastAsia="Times New Roman" w:cs="Times New Roman"/>
                <w:color w:val="000000" w:themeColor="text1"/>
                <w:sz w:val="18"/>
                <w:szCs w:val="18"/>
              </w:rPr>
              <w:t>9</w:t>
            </w:r>
            <w:r w:rsidRPr="00FE7628">
              <w:rPr>
                <w:rFonts w:eastAsia="Times New Roman" w:cs="Times New Roman"/>
                <w:color w:val="000000" w:themeColor="text1"/>
                <w:sz w:val="18"/>
                <w:szCs w:val="18"/>
                <w:lang w:val="en-US"/>
              </w:rPr>
              <w:t>,</w:t>
            </w:r>
            <w:r>
              <w:rPr>
                <w:rFonts w:eastAsia="Times New Roman" w:cs="Times New Roman"/>
                <w:color w:val="000000" w:themeColor="text1"/>
                <w:sz w:val="18"/>
                <w:szCs w:val="18"/>
              </w:rPr>
              <w:t>0</w:t>
            </w:r>
            <w:r w:rsidRPr="00FE7628">
              <w:rPr>
                <w:rFonts w:eastAsia="Times New Roman" w:cs="Times New Roman"/>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vAlign w:val="center"/>
            <w:hideMark/>
          </w:tcPr>
          <w:p w:rsidR="008E49A4" w:rsidRPr="00B4329E" w:rsidRDefault="008E49A4" w:rsidP="00647705">
            <w:pPr>
              <w:spacing w:after="0"/>
              <w:rPr>
                <w:rFonts w:eastAsia="Times New Roman" w:cs="Times New Roman"/>
                <w:b/>
                <w:bCs/>
                <w:color w:val="000000"/>
                <w:sz w:val="20"/>
                <w:szCs w:val="20"/>
              </w:rPr>
            </w:pPr>
            <w:r w:rsidRPr="00B4329E">
              <w:rPr>
                <w:rFonts w:eastAsia="Times New Roman" w:cs="Times New Roman"/>
                <w:b/>
                <w:bCs/>
                <w:color w:val="000000"/>
                <w:sz w:val="20"/>
                <w:szCs w:val="20"/>
              </w:rPr>
              <w:t>РАЗХОДИ И ВНОСКА В БЮДЖЕТА НА ЕС</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b/>
                <w:bCs/>
                <w:color w:val="000000" w:themeColor="text1"/>
                <w:sz w:val="18"/>
                <w:szCs w:val="18"/>
                <w:lang w:val="en-US"/>
              </w:rPr>
            </w:pPr>
            <w:r w:rsidRPr="00120003">
              <w:rPr>
                <w:rFonts w:eastAsia="Times New Roman" w:cs="Times New Roman"/>
                <w:b/>
                <w:bCs/>
                <w:color w:val="000000" w:themeColor="text1"/>
                <w:sz w:val="18"/>
                <w:szCs w:val="18"/>
              </w:rPr>
              <w:t>34 471,1</w:t>
            </w:r>
          </w:p>
        </w:tc>
        <w:tc>
          <w:tcPr>
            <w:tcW w:w="473" w:type="pct"/>
            <w:tcBorders>
              <w:top w:val="nil"/>
              <w:left w:val="nil"/>
              <w:bottom w:val="nil"/>
              <w:right w:val="nil"/>
            </w:tcBorders>
            <w:shd w:val="clear" w:color="auto" w:fill="F2F2F2" w:themeFill="background1" w:themeFillShade="F2"/>
            <w:noWrap/>
            <w:vAlign w:val="center"/>
            <w:hideMark/>
          </w:tcPr>
          <w:p w:rsidR="008E49A4" w:rsidRPr="004F32FD" w:rsidRDefault="008E49A4" w:rsidP="009415E2">
            <w:pPr>
              <w:spacing w:after="0"/>
              <w:jc w:val="right"/>
              <w:rPr>
                <w:rFonts w:eastAsia="Times New Roman" w:cs="Times New Roman"/>
                <w:b/>
                <w:bCs/>
                <w:color w:val="000000" w:themeColor="text1"/>
                <w:sz w:val="18"/>
                <w:szCs w:val="18"/>
                <w:lang w:val="en-US"/>
              </w:rPr>
            </w:pPr>
            <w:r w:rsidRPr="004F32FD">
              <w:rPr>
                <w:rFonts w:eastAsia="Times New Roman" w:cs="Times New Roman"/>
                <w:b/>
                <w:bCs/>
                <w:color w:val="000000" w:themeColor="text1"/>
                <w:sz w:val="18"/>
                <w:szCs w:val="18"/>
              </w:rPr>
              <w:t>39 515,</w:t>
            </w:r>
            <w:r>
              <w:rPr>
                <w:rFonts w:eastAsia="Times New Roman" w:cs="Times New Roman"/>
                <w:b/>
                <w:bCs/>
                <w:color w:val="000000" w:themeColor="text1"/>
                <w:sz w:val="18"/>
                <w:szCs w:val="18"/>
              </w:rPr>
              <w:t>7</w:t>
            </w:r>
          </w:p>
        </w:tc>
        <w:tc>
          <w:tcPr>
            <w:tcW w:w="576"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b/>
                <w:bCs/>
                <w:color w:val="000000" w:themeColor="text1"/>
                <w:sz w:val="18"/>
                <w:szCs w:val="18"/>
                <w:lang w:val="en-US"/>
              </w:rPr>
            </w:pPr>
            <w:r w:rsidRPr="0068102C">
              <w:rPr>
                <w:rFonts w:eastAsia="Times New Roman" w:cs="Times New Roman"/>
                <w:b/>
                <w:bCs/>
                <w:color w:val="000000" w:themeColor="text1"/>
                <w:sz w:val="18"/>
                <w:szCs w:val="18"/>
              </w:rPr>
              <w:t>36 523,</w:t>
            </w:r>
            <w:r>
              <w:rPr>
                <w:rFonts w:eastAsia="Times New Roman" w:cs="Times New Roman"/>
                <w:b/>
                <w:bCs/>
                <w:color w:val="000000" w:themeColor="text1"/>
                <w:sz w:val="18"/>
                <w:szCs w:val="18"/>
              </w:rPr>
              <w:t>4</w:t>
            </w:r>
          </w:p>
        </w:tc>
        <w:tc>
          <w:tcPr>
            <w:tcW w:w="663"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b/>
                <w:bCs/>
                <w:color w:val="000000" w:themeColor="text1"/>
                <w:sz w:val="18"/>
                <w:szCs w:val="18"/>
                <w:lang w:val="en-US"/>
              </w:rPr>
            </w:pPr>
            <w:r w:rsidRPr="0068102C">
              <w:rPr>
                <w:rFonts w:eastAsia="Times New Roman" w:cs="Times New Roman"/>
                <w:b/>
                <w:bCs/>
                <w:color w:val="000000" w:themeColor="text1"/>
                <w:sz w:val="18"/>
                <w:szCs w:val="18"/>
              </w:rPr>
              <w:t>2 992,</w:t>
            </w:r>
            <w:r>
              <w:rPr>
                <w:rFonts w:eastAsia="Times New Roman" w:cs="Times New Roman"/>
                <w:b/>
                <w:bCs/>
                <w:color w:val="000000" w:themeColor="text1"/>
                <w:sz w:val="18"/>
                <w:szCs w:val="18"/>
              </w:rPr>
              <w:t>4</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b/>
                <w:bCs/>
                <w:color w:val="000000" w:themeColor="text1"/>
                <w:sz w:val="18"/>
                <w:szCs w:val="18"/>
                <w:lang w:val="en-US"/>
              </w:rPr>
            </w:pPr>
            <w:r w:rsidRPr="00FE7628">
              <w:rPr>
                <w:rFonts w:eastAsia="Times New Roman" w:cs="Times New Roman"/>
                <w:b/>
                <w:bCs/>
                <w:color w:val="000000" w:themeColor="text1"/>
                <w:sz w:val="18"/>
                <w:szCs w:val="18"/>
                <w:lang w:val="en-US"/>
              </w:rPr>
              <w:t>1</w:t>
            </w:r>
            <w:r w:rsidRPr="00FE7628">
              <w:rPr>
                <w:rFonts w:eastAsia="Times New Roman" w:cs="Times New Roman"/>
                <w:b/>
                <w:bCs/>
                <w:color w:val="000000" w:themeColor="text1"/>
                <w:sz w:val="18"/>
                <w:szCs w:val="18"/>
              </w:rPr>
              <w:t>14</w:t>
            </w:r>
            <w:r w:rsidRPr="00FE7628">
              <w:rPr>
                <w:rFonts w:eastAsia="Times New Roman" w:cs="Times New Roman"/>
                <w:b/>
                <w:bCs/>
                <w:color w:val="000000" w:themeColor="text1"/>
                <w:sz w:val="18"/>
                <w:szCs w:val="18"/>
                <w:lang w:val="en-US"/>
              </w:rPr>
              <w:t>,</w:t>
            </w:r>
            <w:r w:rsidRPr="00FE7628">
              <w:rPr>
                <w:rFonts w:eastAsia="Times New Roman" w:cs="Times New Roman"/>
                <w:b/>
                <w:bCs/>
                <w:color w:val="000000" w:themeColor="text1"/>
                <w:sz w:val="18"/>
                <w:szCs w:val="18"/>
              </w:rPr>
              <w:t>6</w:t>
            </w:r>
            <w:r w:rsidRPr="00FE7628">
              <w:rPr>
                <w:rFonts w:eastAsia="Times New Roman" w:cs="Times New Roman"/>
                <w:b/>
                <w:bCs/>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rPr>
                <w:rFonts w:eastAsia="Times New Roman" w:cs="Times New Roman"/>
                <w:color w:val="000000"/>
                <w:sz w:val="20"/>
                <w:szCs w:val="20"/>
              </w:rPr>
            </w:pPr>
            <w:r w:rsidRPr="00B4329E">
              <w:rPr>
                <w:rFonts w:eastAsia="Times New Roman" w:cs="Times New Roman"/>
                <w:color w:val="000000"/>
                <w:sz w:val="20"/>
                <w:szCs w:val="20"/>
              </w:rPr>
              <w:t>Нелихвени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rPr>
              <w:t>32 790,5</w:t>
            </w:r>
          </w:p>
        </w:tc>
        <w:tc>
          <w:tcPr>
            <w:tcW w:w="473" w:type="pct"/>
            <w:tcBorders>
              <w:top w:val="nil"/>
              <w:left w:val="nil"/>
              <w:bottom w:val="nil"/>
              <w:right w:val="nil"/>
            </w:tcBorders>
            <w:shd w:val="clear" w:color="auto" w:fill="F2F2F2" w:themeFill="background1" w:themeFillShade="F2"/>
            <w:noWrap/>
            <w:vAlign w:val="center"/>
            <w:hideMark/>
          </w:tcPr>
          <w:p w:rsidR="008E49A4" w:rsidRPr="004F32FD" w:rsidRDefault="008E49A4" w:rsidP="009415E2">
            <w:pPr>
              <w:spacing w:after="0"/>
              <w:jc w:val="right"/>
              <w:rPr>
                <w:rFonts w:eastAsia="Times New Roman" w:cs="Times New Roman"/>
                <w:color w:val="000000" w:themeColor="text1"/>
                <w:sz w:val="18"/>
                <w:szCs w:val="18"/>
                <w:lang w:val="en-US"/>
              </w:rPr>
            </w:pPr>
            <w:r w:rsidRPr="004F32FD">
              <w:rPr>
                <w:rFonts w:eastAsia="Times New Roman" w:cs="Times New Roman"/>
                <w:color w:val="000000" w:themeColor="text1"/>
                <w:sz w:val="18"/>
                <w:szCs w:val="18"/>
              </w:rPr>
              <w:t>37 74</w:t>
            </w:r>
            <w:r>
              <w:rPr>
                <w:rFonts w:eastAsia="Times New Roman" w:cs="Times New Roman"/>
                <w:color w:val="000000" w:themeColor="text1"/>
                <w:sz w:val="18"/>
                <w:szCs w:val="18"/>
              </w:rPr>
              <w:t>4</w:t>
            </w:r>
            <w:r w:rsidRPr="004F32FD">
              <w:rPr>
                <w:rFonts w:eastAsia="Times New Roman" w:cs="Times New Roman"/>
                <w:color w:val="000000" w:themeColor="text1"/>
                <w:sz w:val="18"/>
                <w:szCs w:val="18"/>
              </w:rPr>
              <w:t>,</w:t>
            </w:r>
            <w:r>
              <w:rPr>
                <w:rFonts w:eastAsia="Times New Roman" w:cs="Times New Roman"/>
                <w:color w:val="000000" w:themeColor="text1"/>
                <w:sz w:val="18"/>
                <w:szCs w:val="18"/>
              </w:rPr>
              <w:t>1</w:t>
            </w:r>
          </w:p>
        </w:tc>
        <w:tc>
          <w:tcPr>
            <w:tcW w:w="576"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lang w:val="en-US"/>
              </w:rPr>
            </w:pPr>
            <w:r w:rsidRPr="0068102C">
              <w:rPr>
                <w:rFonts w:eastAsia="Times New Roman" w:cs="Times New Roman"/>
                <w:color w:val="000000" w:themeColor="text1"/>
                <w:sz w:val="18"/>
                <w:szCs w:val="18"/>
              </w:rPr>
              <w:t>34 751,</w:t>
            </w:r>
            <w:r>
              <w:rPr>
                <w:rFonts w:eastAsia="Times New Roman" w:cs="Times New Roman"/>
                <w:color w:val="000000" w:themeColor="text1"/>
                <w:sz w:val="18"/>
                <w:szCs w:val="18"/>
              </w:rPr>
              <w:t>7</w:t>
            </w:r>
          </w:p>
        </w:tc>
        <w:tc>
          <w:tcPr>
            <w:tcW w:w="663"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lang w:val="en-US"/>
              </w:rPr>
            </w:pPr>
            <w:r w:rsidRPr="0068102C">
              <w:rPr>
                <w:rFonts w:eastAsia="Times New Roman" w:cs="Times New Roman"/>
                <w:color w:val="000000" w:themeColor="text1"/>
                <w:sz w:val="18"/>
                <w:szCs w:val="18"/>
              </w:rPr>
              <w:t>2 992,</w:t>
            </w:r>
            <w:r>
              <w:rPr>
                <w:rFonts w:eastAsia="Times New Roman" w:cs="Times New Roman"/>
                <w:color w:val="000000" w:themeColor="text1"/>
                <w:sz w:val="18"/>
                <w:szCs w:val="18"/>
              </w:rPr>
              <w:t>4</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w:t>
            </w:r>
            <w:r w:rsidRPr="00FE7628">
              <w:rPr>
                <w:rFonts w:eastAsia="Times New Roman" w:cs="Times New Roman"/>
                <w:color w:val="000000" w:themeColor="text1"/>
                <w:sz w:val="18"/>
                <w:szCs w:val="18"/>
              </w:rPr>
              <w:t>15</w:t>
            </w:r>
            <w:r w:rsidRPr="00FE7628">
              <w:rPr>
                <w:rFonts w:eastAsia="Times New Roman" w:cs="Times New Roman"/>
                <w:color w:val="000000" w:themeColor="text1"/>
                <w:sz w:val="18"/>
                <w:szCs w:val="18"/>
                <w:lang w:val="en-US"/>
              </w:rPr>
              <w:t>,1%</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ind w:firstLineChars="200" w:firstLine="400"/>
              <w:jc w:val="left"/>
              <w:rPr>
                <w:rFonts w:eastAsia="Times New Roman" w:cs="Times New Roman"/>
                <w:color w:val="000000"/>
                <w:sz w:val="20"/>
                <w:szCs w:val="20"/>
              </w:rPr>
            </w:pPr>
            <w:r w:rsidRPr="00B4329E">
              <w:rPr>
                <w:rFonts w:eastAsia="Times New Roman" w:cs="Times New Roman"/>
                <w:color w:val="000000"/>
                <w:sz w:val="20"/>
                <w:szCs w:val="20"/>
              </w:rPr>
              <w:t>Текущи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29 004,2</w:t>
            </w:r>
          </w:p>
        </w:tc>
        <w:tc>
          <w:tcPr>
            <w:tcW w:w="473" w:type="pct"/>
            <w:tcBorders>
              <w:top w:val="nil"/>
              <w:left w:val="nil"/>
              <w:bottom w:val="nil"/>
              <w:right w:val="nil"/>
            </w:tcBorders>
            <w:shd w:val="clear" w:color="auto" w:fill="F2F2F2" w:themeFill="background1" w:themeFillShade="F2"/>
            <w:noWrap/>
            <w:vAlign w:val="center"/>
            <w:hideMark/>
          </w:tcPr>
          <w:p w:rsidR="008E49A4" w:rsidRPr="004F32FD" w:rsidRDefault="008E49A4" w:rsidP="009415E2">
            <w:pPr>
              <w:spacing w:after="0"/>
              <w:jc w:val="right"/>
              <w:rPr>
                <w:rFonts w:eastAsia="Times New Roman" w:cs="Times New Roman"/>
                <w:color w:val="000000" w:themeColor="text1"/>
                <w:sz w:val="18"/>
                <w:szCs w:val="18"/>
              </w:rPr>
            </w:pPr>
            <w:r w:rsidRPr="004F32FD">
              <w:rPr>
                <w:rFonts w:eastAsia="Times New Roman" w:cs="Times New Roman"/>
                <w:color w:val="000000" w:themeColor="text1"/>
                <w:sz w:val="18"/>
                <w:szCs w:val="18"/>
              </w:rPr>
              <w:t>32</w:t>
            </w:r>
            <w:r w:rsidRPr="004F32FD">
              <w:rPr>
                <w:rFonts w:eastAsia="Times New Roman" w:cs="Times New Roman"/>
                <w:color w:val="000000" w:themeColor="text1"/>
                <w:sz w:val="18"/>
                <w:szCs w:val="18"/>
                <w:lang w:val="en-US"/>
              </w:rPr>
              <w:t xml:space="preserve"> </w:t>
            </w:r>
            <w:r w:rsidRPr="004F32FD">
              <w:rPr>
                <w:rFonts w:eastAsia="Times New Roman" w:cs="Times New Roman"/>
                <w:color w:val="000000" w:themeColor="text1"/>
                <w:sz w:val="18"/>
                <w:szCs w:val="18"/>
              </w:rPr>
              <w:t>36</w:t>
            </w:r>
            <w:r>
              <w:rPr>
                <w:rFonts w:eastAsia="Times New Roman" w:cs="Times New Roman"/>
                <w:color w:val="000000" w:themeColor="text1"/>
                <w:sz w:val="18"/>
                <w:szCs w:val="18"/>
              </w:rPr>
              <w:t>3</w:t>
            </w:r>
            <w:r w:rsidRPr="004F32FD">
              <w:rPr>
                <w:rFonts w:eastAsia="Times New Roman" w:cs="Times New Roman"/>
                <w:color w:val="000000" w:themeColor="text1"/>
                <w:sz w:val="18"/>
                <w:szCs w:val="18"/>
                <w:lang w:val="en-US"/>
              </w:rPr>
              <w:t>,</w:t>
            </w:r>
            <w:r w:rsidRPr="004F32FD">
              <w:rPr>
                <w:rFonts w:eastAsia="Times New Roman" w:cs="Times New Roman"/>
                <w:color w:val="000000" w:themeColor="text1"/>
                <w:sz w:val="18"/>
                <w:szCs w:val="18"/>
              </w:rPr>
              <w:t>9</w:t>
            </w:r>
          </w:p>
        </w:tc>
        <w:tc>
          <w:tcPr>
            <w:tcW w:w="576"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31</w:t>
            </w:r>
            <w:r w:rsidRPr="0068102C">
              <w:rPr>
                <w:rFonts w:eastAsia="Times New Roman" w:cs="Times New Roman"/>
                <w:color w:val="000000" w:themeColor="text1"/>
                <w:sz w:val="18"/>
                <w:szCs w:val="18"/>
                <w:lang w:val="en-US"/>
              </w:rPr>
              <w:t xml:space="preserve"> </w:t>
            </w:r>
            <w:r w:rsidRPr="0068102C">
              <w:rPr>
                <w:rFonts w:eastAsia="Times New Roman" w:cs="Times New Roman"/>
                <w:color w:val="000000" w:themeColor="text1"/>
                <w:sz w:val="18"/>
                <w:szCs w:val="18"/>
              </w:rPr>
              <w:t>277</w:t>
            </w:r>
            <w:r w:rsidRPr="0068102C">
              <w:rPr>
                <w:rFonts w:eastAsia="Times New Roman" w:cs="Times New Roman"/>
                <w:color w:val="000000" w:themeColor="text1"/>
                <w:sz w:val="18"/>
                <w:szCs w:val="18"/>
                <w:lang w:val="en-US"/>
              </w:rPr>
              <w:t>,</w:t>
            </w:r>
            <w:r>
              <w:rPr>
                <w:rFonts w:eastAsia="Times New Roman" w:cs="Times New Roman"/>
                <w:color w:val="000000" w:themeColor="text1"/>
                <w:sz w:val="18"/>
                <w:szCs w:val="18"/>
              </w:rPr>
              <w:t>0</w:t>
            </w:r>
          </w:p>
        </w:tc>
        <w:tc>
          <w:tcPr>
            <w:tcW w:w="663"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1 08</w:t>
            </w:r>
            <w:r>
              <w:rPr>
                <w:rFonts w:eastAsia="Times New Roman" w:cs="Times New Roman"/>
                <w:color w:val="000000" w:themeColor="text1"/>
                <w:sz w:val="18"/>
                <w:szCs w:val="18"/>
              </w:rPr>
              <w:t>6</w:t>
            </w:r>
            <w:r w:rsidRPr="0068102C">
              <w:rPr>
                <w:rFonts w:eastAsia="Times New Roman" w:cs="Times New Roman"/>
                <w:color w:val="000000" w:themeColor="text1"/>
                <w:sz w:val="18"/>
                <w:szCs w:val="18"/>
                <w:lang w:val="en-US"/>
              </w:rPr>
              <w:t>,</w:t>
            </w:r>
            <w:r>
              <w:rPr>
                <w:rFonts w:eastAsia="Times New Roman" w:cs="Times New Roman"/>
                <w:color w:val="000000" w:themeColor="text1"/>
                <w:sz w:val="18"/>
                <w:szCs w:val="18"/>
              </w:rPr>
              <w:t>9</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w:t>
            </w:r>
            <w:r w:rsidRPr="00FE7628">
              <w:rPr>
                <w:rFonts w:eastAsia="Times New Roman" w:cs="Times New Roman"/>
                <w:color w:val="000000" w:themeColor="text1"/>
                <w:sz w:val="18"/>
                <w:szCs w:val="18"/>
              </w:rPr>
              <w:t>11</w:t>
            </w:r>
            <w:r w:rsidRPr="00FE7628">
              <w:rPr>
                <w:rFonts w:eastAsia="Times New Roman" w:cs="Times New Roman"/>
                <w:color w:val="000000" w:themeColor="text1"/>
                <w:sz w:val="18"/>
                <w:szCs w:val="18"/>
                <w:lang w:val="en-US"/>
              </w:rPr>
              <w:t>,</w:t>
            </w:r>
            <w:r w:rsidRPr="00FE7628">
              <w:rPr>
                <w:rFonts w:eastAsia="Times New Roman" w:cs="Times New Roman"/>
                <w:color w:val="000000" w:themeColor="text1"/>
                <w:sz w:val="18"/>
                <w:szCs w:val="18"/>
              </w:rPr>
              <w:t>6</w:t>
            </w:r>
            <w:r w:rsidRPr="00FE7628">
              <w:rPr>
                <w:rFonts w:eastAsia="Times New Roman" w:cs="Times New Roman"/>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ind w:firstLineChars="200" w:firstLine="400"/>
              <w:jc w:val="left"/>
              <w:rPr>
                <w:rFonts w:eastAsia="Times New Roman" w:cs="Times New Roman"/>
                <w:color w:val="000000"/>
                <w:sz w:val="20"/>
                <w:szCs w:val="20"/>
              </w:rPr>
            </w:pPr>
            <w:r>
              <w:rPr>
                <w:rFonts w:eastAsia="Times New Roman" w:cs="Times New Roman"/>
                <w:color w:val="000000"/>
                <w:sz w:val="20"/>
                <w:szCs w:val="20"/>
              </w:rPr>
              <w:t>Капиталови**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3 749,7</w:t>
            </w:r>
          </w:p>
        </w:tc>
        <w:tc>
          <w:tcPr>
            <w:tcW w:w="473"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color w:val="000000" w:themeColor="text1"/>
                <w:sz w:val="18"/>
                <w:szCs w:val="18"/>
              </w:rPr>
            </w:pPr>
            <w:r w:rsidRPr="004F32FD">
              <w:rPr>
                <w:rFonts w:eastAsia="Times New Roman" w:cs="Times New Roman"/>
                <w:color w:val="000000" w:themeColor="text1"/>
                <w:sz w:val="18"/>
                <w:szCs w:val="18"/>
              </w:rPr>
              <w:t>5</w:t>
            </w:r>
            <w:r w:rsidRPr="004F32FD">
              <w:rPr>
                <w:rFonts w:eastAsia="Times New Roman" w:cs="Times New Roman"/>
                <w:color w:val="000000" w:themeColor="text1"/>
                <w:sz w:val="18"/>
                <w:szCs w:val="18"/>
                <w:lang w:val="en-US"/>
              </w:rPr>
              <w:t xml:space="preserve"> </w:t>
            </w:r>
            <w:r w:rsidRPr="004F32FD">
              <w:rPr>
                <w:rFonts w:eastAsia="Times New Roman" w:cs="Times New Roman"/>
                <w:color w:val="000000" w:themeColor="text1"/>
                <w:sz w:val="18"/>
                <w:szCs w:val="18"/>
              </w:rPr>
              <w:t>32</w:t>
            </w:r>
            <w:r>
              <w:rPr>
                <w:rFonts w:eastAsia="Times New Roman" w:cs="Times New Roman"/>
                <w:color w:val="000000" w:themeColor="text1"/>
                <w:sz w:val="18"/>
                <w:szCs w:val="18"/>
              </w:rPr>
              <w:t>5</w:t>
            </w:r>
            <w:r w:rsidRPr="004F32FD">
              <w:rPr>
                <w:rFonts w:eastAsia="Times New Roman" w:cs="Times New Roman"/>
                <w:color w:val="000000" w:themeColor="text1"/>
                <w:sz w:val="18"/>
                <w:szCs w:val="18"/>
                <w:lang w:val="en-US"/>
              </w:rPr>
              <w:t>,</w:t>
            </w:r>
            <w:r>
              <w:rPr>
                <w:rFonts w:eastAsia="Times New Roman" w:cs="Times New Roman"/>
                <w:color w:val="000000" w:themeColor="text1"/>
                <w:sz w:val="18"/>
                <w:szCs w:val="18"/>
              </w:rPr>
              <w:t>7</w:t>
            </w:r>
          </w:p>
        </w:tc>
        <w:tc>
          <w:tcPr>
            <w:tcW w:w="576"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3</w:t>
            </w:r>
            <w:r w:rsidRPr="0068102C">
              <w:rPr>
                <w:rFonts w:eastAsia="Times New Roman" w:cs="Times New Roman"/>
                <w:color w:val="000000" w:themeColor="text1"/>
                <w:sz w:val="18"/>
                <w:szCs w:val="18"/>
                <w:lang w:val="en-US"/>
              </w:rPr>
              <w:t xml:space="preserve"> </w:t>
            </w:r>
            <w:r w:rsidRPr="0068102C">
              <w:rPr>
                <w:rFonts w:eastAsia="Times New Roman" w:cs="Times New Roman"/>
                <w:color w:val="000000" w:themeColor="text1"/>
                <w:sz w:val="18"/>
                <w:szCs w:val="18"/>
              </w:rPr>
              <w:t>45</w:t>
            </w:r>
            <w:r>
              <w:rPr>
                <w:rFonts w:eastAsia="Times New Roman" w:cs="Times New Roman"/>
                <w:color w:val="000000" w:themeColor="text1"/>
                <w:sz w:val="18"/>
                <w:szCs w:val="18"/>
              </w:rPr>
              <w:t>3</w:t>
            </w:r>
            <w:r w:rsidRPr="0068102C">
              <w:rPr>
                <w:rFonts w:eastAsia="Times New Roman" w:cs="Times New Roman"/>
                <w:color w:val="000000" w:themeColor="text1"/>
                <w:sz w:val="18"/>
                <w:szCs w:val="18"/>
                <w:lang w:val="en-US"/>
              </w:rPr>
              <w:t>,</w:t>
            </w:r>
            <w:r>
              <w:rPr>
                <w:rFonts w:eastAsia="Times New Roman" w:cs="Times New Roman"/>
                <w:color w:val="000000" w:themeColor="text1"/>
                <w:sz w:val="18"/>
                <w:szCs w:val="18"/>
              </w:rPr>
              <w:t>4</w:t>
            </w:r>
          </w:p>
        </w:tc>
        <w:tc>
          <w:tcPr>
            <w:tcW w:w="663"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lang w:val="en-US"/>
              </w:rPr>
            </w:pPr>
            <w:r w:rsidRPr="0068102C">
              <w:rPr>
                <w:rFonts w:eastAsia="Times New Roman" w:cs="Times New Roman"/>
                <w:color w:val="000000" w:themeColor="text1"/>
                <w:sz w:val="18"/>
                <w:szCs w:val="18"/>
                <w:lang w:val="en-US"/>
              </w:rPr>
              <w:t xml:space="preserve">1 </w:t>
            </w:r>
            <w:r w:rsidRPr="0068102C">
              <w:rPr>
                <w:rFonts w:eastAsia="Times New Roman" w:cs="Times New Roman"/>
                <w:color w:val="000000" w:themeColor="text1"/>
                <w:sz w:val="18"/>
                <w:szCs w:val="18"/>
              </w:rPr>
              <w:t>872</w:t>
            </w:r>
            <w:r w:rsidRPr="0068102C">
              <w:rPr>
                <w:rFonts w:eastAsia="Times New Roman" w:cs="Times New Roman"/>
                <w:color w:val="000000" w:themeColor="text1"/>
                <w:sz w:val="18"/>
                <w:szCs w:val="18"/>
                <w:lang w:val="en-US"/>
              </w:rPr>
              <w:t>,3</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rPr>
              <w:t>142</w:t>
            </w:r>
            <w:r w:rsidRPr="00FE7628">
              <w:rPr>
                <w:rFonts w:eastAsia="Times New Roman" w:cs="Times New Roman"/>
                <w:color w:val="000000" w:themeColor="text1"/>
                <w:sz w:val="18"/>
                <w:szCs w:val="18"/>
                <w:lang w:val="en-US"/>
              </w:rPr>
              <w:t>,0%</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ind w:firstLineChars="200" w:firstLine="400"/>
              <w:jc w:val="left"/>
              <w:rPr>
                <w:rFonts w:eastAsia="Times New Roman" w:cs="Times New Roman"/>
                <w:color w:val="000000"/>
                <w:sz w:val="20"/>
                <w:szCs w:val="20"/>
              </w:rPr>
            </w:pPr>
            <w:r w:rsidRPr="00B4329E">
              <w:rPr>
                <w:rFonts w:eastAsia="Times New Roman" w:cs="Times New Roman"/>
                <w:color w:val="000000"/>
                <w:sz w:val="20"/>
                <w:szCs w:val="20"/>
              </w:rPr>
              <w:t>Предоставени текущи и капиталови трансфери за чужбина</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rPr>
            </w:pPr>
            <w:r w:rsidRPr="00120003">
              <w:rPr>
                <w:rFonts w:eastAsia="Times New Roman" w:cs="Times New Roman"/>
                <w:color w:val="000000" w:themeColor="text1"/>
                <w:sz w:val="18"/>
                <w:szCs w:val="18"/>
              </w:rPr>
              <w:t>36,6</w:t>
            </w:r>
          </w:p>
        </w:tc>
        <w:tc>
          <w:tcPr>
            <w:tcW w:w="473" w:type="pct"/>
            <w:tcBorders>
              <w:top w:val="nil"/>
              <w:left w:val="nil"/>
              <w:bottom w:val="nil"/>
              <w:right w:val="nil"/>
            </w:tcBorders>
            <w:shd w:val="clear" w:color="auto" w:fill="F2F2F2" w:themeFill="background1" w:themeFillShade="F2"/>
            <w:noWrap/>
            <w:vAlign w:val="center"/>
            <w:hideMark/>
          </w:tcPr>
          <w:p w:rsidR="008E49A4" w:rsidRPr="004F32FD" w:rsidRDefault="008E49A4" w:rsidP="009415E2">
            <w:pPr>
              <w:spacing w:after="0"/>
              <w:jc w:val="right"/>
              <w:rPr>
                <w:rFonts w:eastAsia="Times New Roman" w:cs="Times New Roman"/>
                <w:color w:val="000000" w:themeColor="text1"/>
                <w:sz w:val="18"/>
                <w:szCs w:val="18"/>
              </w:rPr>
            </w:pPr>
            <w:r w:rsidRPr="004F32FD">
              <w:rPr>
                <w:rFonts w:eastAsia="Times New Roman" w:cs="Times New Roman"/>
                <w:color w:val="000000" w:themeColor="text1"/>
                <w:sz w:val="18"/>
                <w:szCs w:val="18"/>
              </w:rPr>
              <w:t>54,5</w:t>
            </w:r>
          </w:p>
        </w:tc>
        <w:tc>
          <w:tcPr>
            <w:tcW w:w="576"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21,4</w:t>
            </w:r>
          </w:p>
        </w:tc>
        <w:tc>
          <w:tcPr>
            <w:tcW w:w="663"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33,2</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rPr>
            </w:pPr>
            <w:r w:rsidRPr="00FE7628">
              <w:rPr>
                <w:rFonts w:eastAsia="Times New Roman" w:cs="Times New Roman"/>
                <w:color w:val="000000" w:themeColor="text1"/>
                <w:sz w:val="18"/>
                <w:szCs w:val="18"/>
              </w:rPr>
              <w:t>148,9%</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rPr>
                <w:rFonts w:eastAsia="Times New Roman" w:cs="Times New Roman"/>
                <w:color w:val="000000"/>
                <w:sz w:val="20"/>
                <w:szCs w:val="20"/>
              </w:rPr>
            </w:pPr>
            <w:r w:rsidRPr="00B4329E">
              <w:rPr>
                <w:rFonts w:eastAsia="Times New Roman" w:cs="Times New Roman"/>
                <w:color w:val="000000"/>
                <w:sz w:val="20"/>
                <w:szCs w:val="20"/>
              </w:rPr>
              <w:t>Лихвени</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792,4</w:t>
            </w:r>
          </w:p>
        </w:tc>
        <w:tc>
          <w:tcPr>
            <w:tcW w:w="473" w:type="pct"/>
            <w:tcBorders>
              <w:top w:val="nil"/>
              <w:left w:val="nil"/>
              <w:bottom w:val="nil"/>
              <w:right w:val="nil"/>
            </w:tcBorders>
            <w:shd w:val="clear" w:color="auto" w:fill="F2F2F2" w:themeFill="background1" w:themeFillShade="F2"/>
            <w:noWrap/>
            <w:vAlign w:val="center"/>
            <w:hideMark/>
          </w:tcPr>
          <w:p w:rsidR="008E49A4" w:rsidRPr="004F32FD" w:rsidRDefault="008E49A4" w:rsidP="009415E2">
            <w:pPr>
              <w:spacing w:after="0"/>
              <w:jc w:val="right"/>
              <w:rPr>
                <w:rFonts w:eastAsia="Times New Roman" w:cs="Times New Roman"/>
                <w:color w:val="000000" w:themeColor="text1"/>
                <w:sz w:val="18"/>
                <w:szCs w:val="18"/>
              </w:rPr>
            </w:pPr>
            <w:r w:rsidRPr="004F32FD">
              <w:rPr>
                <w:rFonts w:eastAsia="Times New Roman" w:cs="Times New Roman"/>
                <w:color w:val="000000" w:themeColor="text1"/>
                <w:sz w:val="18"/>
                <w:szCs w:val="18"/>
              </w:rPr>
              <w:t>688</w:t>
            </w:r>
            <w:r w:rsidRPr="004F32FD">
              <w:rPr>
                <w:rFonts w:eastAsia="Times New Roman" w:cs="Times New Roman"/>
                <w:color w:val="000000" w:themeColor="text1"/>
                <w:sz w:val="18"/>
                <w:szCs w:val="18"/>
                <w:lang w:val="en-US"/>
              </w:rPr>
              <w:t>,</w:t>
            </w:r>
            <w:r w:rsidRPr="004F32FD">
              <w:rPr>
                <w:rFonts w:eastAsia="Times New Roman" w:cs="Times New Roman"/>
                <w:color w:val="000000" w:themeColor="text1"/>
                <w:sz w:val="18"/>
                <w:szCs w:val="18"/>
              </w:rPr>
              <w:t>2</w:t>
            </w:r>
          </w:p>
        </w:tc>
        <w:tc>
          <w:tcPr>
            <w:tcW w:w="576"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688</w:t>
            </w:r>
            <w:r w:rsidRPr="0068102C">
              <w:rPr>
                <w:rFonts w:eastAsia="Times New Roman" w:cs="Times New Roman"/>
                <w:color w:val="000000" w:themeColor="text1"/>
                <w:sz w:val="18"/>
                <w:szCs w:val="18"/>
                <w:lang w:val="en-US"/>
              </w:rPr>
              <w:t>,</w:t>
            </w:r>
            <w:r w:rsidRPr="0068102C">
              <w:rPr>
                <w:rFonts w:eastAsia="Times New Roman" w:cs="Times New Roman"/>
                <w:color w:val="000000" w:themeColor="text1"/>
                <w:sz w:val="18"/>
                <w:szCs w:val="18"/>
              </w:rPr>
              <w:t>2</w:t>
            </w:r>
          </w:p>
        </w:tc>
        <w:tc>
          <w:tcPr>
            <w:tcW w:w="663"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rPr>
            </w:pP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rPr>
              <w:t>86</w:t>
            </w:r>
            <w:r w:rsidRPr="00FE7628">
              <w:rPr>
                <w:rFonts w:eastAsia="Times New Roman" w:cs="Times New Roman"/>
                <w:color w:val="000000" w:themeColor="text1"/>
                <w:sz w:val="18"/>
                <w:szCs w:val="18"/>
                <w:lang w:val="en-US"/>
              </w:rPr>
              <w:t>,9%</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rPr>
                <w:rFonts w:eastAsia="Times New Roman" w:cs="Times New Roman"/>
                <w:color w:val="000000"/>
                <w:sz w:val="20"/>
                <w:szCs w:val="20"/>
              </w:rPr>
            </w:pPr>
            <w:r w:rsidRPr="00B4329E">
              <w:rPr>
                <w:rFonts w:eastAsia="Times New Roman" w:cs="Times New Roman"/>
                <w:color w:val="000000"/>
                <w:sz w:val="20"/>
                <w:szCs w:val="20"/>
              </w:rPr>
              <w:t>Вноска в общия бюджет на ЕС</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color w:val="000000" w:themeColor="text1"/>
                <w:sz w:val="18"/>
                <w:szCs w:val="18"/>
                <w:lang w:val="en-US"/>
              </w:rPr>
            </w:pPr>
            <w:r w:rsidRPr="00120003">
              <w:rPr>
                <w:rFonts w:eastAsia="Times New Roman" w:cs="Times New Roman"/>
                <w:color w:val="000000" w:themeColor="text1"/>
                <w:sz w:val="18"/>
                <w:szCs w:val="18"/>
                <w:lang w:val="en-US"/>
              </w:rPr>
              <w:t>888,2</w:t>
            </w:r>
          </w:p>
        </w:tc>
        <w:tc>
          <w:tcPr>
            <w:tcW w:w="473" w:type="pct"/>
            <w:tcBorders>
              <w:top w:val="nil"/>
              <w:left w:val="nil"/>
              <w:bottom w:val="nil"/>
              <w:right w:val="nil"/>
            </w:tcBorders>
            <w:shd w:val="clear" w:color="auto" w:fill="F2F2F2" w:themeFill="background1" w:themeFillShade="F2"/>
            <w:noWrap/>
            <w:vAlign w:val="center"/>
            <w:hideMark/>
          </w:tcPr>
          <w:p w:rsidR="008E49A4" w:rsidRPr="004F32FD" w:rsidRDefault="008E49A4" w:rsidP="009415E2">
            <w:pPr>
              <w:spacing w:after="0"/>
              <w:jc w:val="right"/>
              <w:rPr>
                <w:rFonts w:eastAsia="Times New Roman" w:cs="Times New Roman"/>
                <w:color w:val="000000" w:themeColor="text1"/>
                <w:sz w:val="18"/>
                <w:szCs w:val="18"/>
              </w:rPr>
            </w:pPr>
            <w:r w:rsidRPr="004F32FD">
              <w:rPr>
                <w:rFonts w:eastAsia="Times New Roman" w:cs="Times New Roman"/>
                <w:color w:val="000000" w:themeColor="text1"/>
                <w:sz w:val="18"/>
                <w:szCs w:val="18"/>
              </w:rPr>
              <w:t>1 083</w:t>
            </w:r>
            <w:r w:rsidRPr="004F32FD">
              <w:rPr>
                <w:rFonts w:eastAsia="Times New Roman" w:cs="Times New Roman"/>
                <w:color w:val="000000" w:themeColor="text1"/>
                <w:sz w:val="18"/>
                <w:szCs w:val="18"/>
                <w:lang w:val="en-US"/>
              </w:rPr>
              <w:t>,</w:t>
            </w:r>
            <w:r w:rsidRPr="004F32FD">
              <w:rPr>
                <w:rFonts w:eastAsia="Times New Roman" w:cs="Times New Roman"/>
                <w:color w:val="000000" w:themeColor="text1"/>
                <w:sz w:val="18"/>
                <w:szCs w:val="18"/>
              </w:rPr>
              <w:t>4</w:t>
            </w:r>
          </w:p>
        </w:tc>
        <w:tc>
          <w:tcPr>
            <w:tcW w:w="576" w:type="pct"/>
            <w:tcBorders>
              <w:top w:val="nil"/>
              <w:left w:val="nil"/>
              <w:bottom w:val="nil"/>
              <w:right w:val="nil"/>
            </w:tcBorders>
            <w:shd w:val="clear" w:color="auto" w:fill="F2F2F2" w:themeFill="background1" w:themeFillShade="F2"/>
            <w:noWrap/>
            <w:vAlign w:val="center"/>
            <w:hideMark/>
          </w:tcPr>
          <w:p w:rsidR="008E49A4" w:rsidRPr="00FA4E45" w:rsidRDefault="008E49A4" w:rsidP="009415E2">
            <w:pPr>
              <w:spacing w:after="0"/>
              <w:jc w:val="right"/>
              <w:rPr>
                <w:rFonts w:eastAsia="Times New Roman" w:cs="Times New Roman"/>
                <w:color w:val="000000" w:themeColor="text1"/>
                <w:sz w:val="18"/>
                <w:szCs w:val="18"/>
              </w:rPr>
            </w:pPr>
            <w:r w:rsidRPr="0068102C">
              <w:rPr>
                <w:rFonts w:eastAsia="Times New Roman" w:cs="Times New Roman"/>
                <w:color w:val="000000" w:themeColor="text1"/>
                <w:sz w:val="18"/>
                <w:szCs w:val="18"/>
              </w:rPr>
              <w:t>1 083</w:t>
            </w:r>
            <w:r w:rsidRPr="0068102C">
              <w:rPr>
                <w:rFonts w:eastAsia="Times New Roman" w:cs="Times New Roman"/>
                <w:color w:val="000000" w:themeColor="text1"/>
                <w:sz w:val="18"/>
                <w:szCs w:val="18"/>
                <w:lang w:val="en-US"/>
              </w:rPr>
              <w:t>,</w:t>
            </w:r>
            <w:r>
              <w:rPr>
                <w:rFonts w:eastAsia="Times New Roman" w:cs="Times New Roman"/>
                <w:color w:val="000000" w:themeColor="text1"/>
                <w:sz w:val="18"/>
                <w:szCs w:val="18"/>
              </w:rPr>
              <w:t>4</w:t>
            </w:r>
          </w:p>
        </w:tc>
        <w:tc>
          <w:tcPr>
            <w:tcW w:w="663" w:type="pct"/>
            <w:tcBorders>
              <w:top w:val="nil"/>
              <w:left w:val="nil"/>
              <w:bottom w:val="nil"/>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color w:val="000000" w:themeColor="text1"/>
                <w:sz w:val="18"/>
                <w:szCs w:val="18"/>
                <w:lang w:val="en-US"/>
              </w:rPr>
            </w:pPr>
            <w:r w:rsidRPr="0068102C">
              <w:rPr>
                <w:rFonts w:eastAsia="Times New Roman" w:cs="Times New Roman"/>
                <w:color w:val="000000" w:themeColor="text1"/>
                <w:sz w:val="18"/>
                <w:szCs w:val="18"/>
                <w:lang w:val="en-US"/>
              </w:rPr>
              <w:t> </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color w:val="000000" w:themeColor="text1"/>
                <w:sz w:val="18"/>
                <w:szCs w:val="18"/>
                <w:lang w:val="en-US"/>
              </w:rPr>
            </w:pPr>
            <w:r w:rsidRPr="00FE7628">
              <w:rPr>
                <w:rFonts w:eastAsia="Times New Roman" w:cs="Times New Roman"/>
                <w:color w:val="000000" w:themeColor="text1"/>
                <w:sz w:val="18"/>
                <w:szCs w:val="18"/>
                <w:lang w:val="en-US"/>
              </w:rPr>
              <w:t>1</w:t>
            </w:r>
            <w:r w:rsidRPr="00FE7628">
              <w:rPr>
                <w:rFonts w:eastAsia="Times New Roman" w:cs="Times New Roman"/>
                <w:color w:val="000000" w:themeColor="text1"/>
                <w:sz w:val="18"/>
                <w:szCs w:val="18"/>
              </w:rPr>
              <w:t>22</w:t>
            </w:r>
            <w:r w:rsidRPr="00FE7628">
              <w:rPr>
                <w:rFonts w:eastAsia="Times New Roman" w:cs="Times New Roman"/>
                <w:color w:val="000000" w:themeColor="text1"/>
                <w:sz w:val="18"/>
                <w:szCs w:val="18"/>
                <w:lang w:val="en-US"/>
              </w:rPr>
              <w:t>,</w:t>
            </w:r>
            <w:r w:rsidRPr="00FE7628">
              <w:rPr>
                <w:rFonts w:eastAsia="Times New Roman" w:cs="Times New Roman"/>
                <w:color w:val="000000" w:themeColor="text1"/>
                <w:sz w:val="18"/>
                <w:szCs w:val="18"/>
              </w:rPr>
              <w:t>0</w:t>
            </w:r>
            <w:r w:rsidRPr="00FE7628">
              <w:rPr>
                <w:rFonts w:eastAsia="Times New Roman" w:cs="Times New Roman"/>
                <w:color w:val="000000" w:themeColor="text1"/>
                <w:sz w:val="18"/>
                <w:szCs w:val="18"/>
                <w:lang w:val="en-US"/>
              </w:rPr>
              <w:t>%</w:t>
            </w:r>
          </w:p>
        </w:tc>
      </w:tr>
      <w:tr w:rsidR="008E49A4" w:rsidRPr="00B96BA2" w:rsidTr="00E12C65">
        <w:trPr>
          <w:trHeight w:val="300"/>
        </w:trPr>
        <w:tc>
          <w:tcPr>
            <w:tcW w:w="2196" w:type="pct"/>
            <w:tcBorders>
              <w:top w:val="nil"/>
              <w:left w:val="nil"/>
              <w:bottom w:val="nil"/>
              <w:right w:val="nil"/>
            </w:tcBorders>
            <w:shd w:val="clear" w:color="auto" w:fill="auto"/>
            <w:noWrap/>
            <w:vAlign w:val="center"/>
            <w:hideMark/>
          </w:tcPr>
          <w:p w:rsidR="008E49A4" w:rsidRPr="00B4329E" w:rsidRDefault="008E49A4" w:rsidP="00647705">
            <w:pPr>
              <w:spacing w:after="0"/>
              <w:rPr>
                <w:rFonts w:eastAsia="Times New Roman" w:cs="Times New Roman"/>
                <w:b/>
                <w:bCs/>
                <w:color w:val="000000"/>
                <w:sz w:val="20"/>
                <w:szCs w:val="20"/>
              </w:rPr>
            </w:pPr>
            <w:r w:rsidRPr="00B4329E">
              <w:rPr>
                <w:rFonts w:eastAsia="Times New Roman" w:cs="Times New Roman"/>
                <w:b/>
                <w:bCs/>
                <w:color w:val="000000"/>
                <w:sz w:val="20"/>
                <w:szCs w:val="20"/>
              </w:rPr>
              <w:t>ТРАНСФЕРИ - НЕТО</w:t>
            </w:r>
          </w:p>
        </w:tc>
        <w:tc>
          <w:tcPr>
            <w:tcW w:w="537" w:type="pct"/>
            <w:tcBorders>
              <w:top w:val="nil"/>
              <w:left w:val="nil"/>
              <w:bottom w:val="nil"/>
              <w:right w:val="nil"/>
            </w:tcBorders>
            <w:shd w:val="clear" w:color="auto" w:fill="auto"/>
            <w:noWrap/>
            <w:vAlign w:val="center"/>
            <w:hideMark/>
          </w:tcPr>
          <w:p w:rsidR="008E49A4" w:rsidRPr="00120003" w:rsidRDefault="008E49A4" w:rsidP="009415E2">
            <w:pPr>
              <w:spacing w:after="0"/>
              <w:jc w:val="right"/>
              <w:rPr>
                <w:rFonts w:eastAsia="Times New Roman" w:cs="Times New Roman"/>
                <w:b/>
                <w:bCs/>
                <w:color w:val="000000" w:themeColor="text1"/>
                <w:sz w:val="18"/>
                <w:szCs w:val="18"/>
                <w:lang w:val="en-US"/>
              </w:rPr>
            </w:pPr>
            <w:r w:rsidRPr="00120003">
              <w:rPr>
                <w:rFonts w:eastAsia="Times New Roman" w:cs="Times New Roman"/>
                <w:b/>
                <w:bCs/>
                <w:color w:val="000000" w:themeColor="text1"/>
                <w:sz w:val="18"/>
                <w:szCs w:val="18"/>
                <w:lang w:val="en-US"/>
              </w:rPr>
              <w:t> </w:t>
            </w:r>
          </w:p>
        </w:tc>
        <w:tc>
          <w:tcPr>
            <w:tcW w:w="473" w:type="pct"/>
            <w:tcBorders>
              <w:top w:val="nil"/>
              <w:left w:val="nil"/>
              <w:bottom w:val="nil"/>
              <w:right w:val="nil"/>
            </w:tcBorders>
            <w:shd w:val="clear" w:color="auto" w:fill="F2F2F2" w:themeFill="background1" w:themeFillShade="F2"/>
            <w:noWrap/>
            <w:vAlign w:val="center"/>
            <w:hideMark/>
          </w:tcPr>
          <w:p w:rsidR="008E49A4" w:rsidRPr="004F32FD" w:rsidRDefault="008E49A4" w:rsidP="009415E2">
            <w:pPr>
              <w:spacing w:after="0"/>
              <w:jc w:val="right"/>
              <w:rPr>
                <w:rFonts w:eastAsia="Times New Roman" w:cs="Times New Roman"/>
                <w:b/>
                <w:bCs/>
                <w:color w:val="000000" w:themeColor="text1"/>
                <w:sz w:val="18"/>
                <w:szCs w:val="18"/>
                <w:lang w:val="en-US"/>
              </w:rPr>
            </w:pPr>
            <w:r w:rsidRPr="004F32FD">
              <w:rPr>
                <w:rFonts w:eastAsia="Times New Roman" w:cs="Times New Roman"/>
                <w:b/>
                <w:bCs/>
                <w:color w:val="000000" w:themeColor="text1"/>
                <w:sz w:val="18"/>
                <w:szCs w:val="18"/>
                <w:lang w:val="en-US"/>
              </w:rPr>
              <w:t> </w:t>
            </w:r>
          </w:p>
        </w:tc>
        <w:tc>
          <w:tcPr>
            <w:tcW w:w="576"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b/>
                <w:bCs/>
                <w:color w:val="000000" w:themeColor="text1"/>
                <w:sz w:val="18"/>
                <w:szCs w:val="18"/>
              </w:rPr>
            </w:pPr>
            <w:r w:rsidRPr="0068102C">
              <w:rPr>
                <w:rFonts w:eastAsia="Times New Roman" w:cs="Times New Roman"/>
                <w:b/>
                <w:bCs/>
                <w:color w:val="000000" w:themeColor="text1"/>
                <w:sz w:val="18"/>
                <w:szCs w:val="18"/>
                <w:lang w:val="en-US"/>
              </w:rPr>
              <w:t>-</w:t>
            </w:r>
            <w:r w:rsidRPr="0068102C">
              <w:rPr>
                <w:rFonts w:eastAsia="Times New Roman" w:cs="Times New Roman"/>
                <w:b/>
                <w:bCs/>
                <w:color w:val="000000" w:themeColor="text1"/>
                <w:sz w:val="18"/>
                <w:szCs w:val="18"/>
              </w:rPr>
              <w:t>84</w:t>
            </w:r>
            <w:r>
              <w:rPr>
                <w:rFonts w:eastAsia="Times New Roman" w:cs="Times New Roman"/>
                <w:b/>
                <w:bCs/>
                <w:color w:val="000000" w:themeColor="text1"/>
                <w:sz w:val="18"/>
                <w:szCs w:val="18"/>
              </w:rPr>
              <w:t>5</w:t>
            </w:r>
            <w:r w:rsidRPr="0068102C">
              <w:rPr>
                <w:rFonts w:eastAsia="Times New Roman" w:cs="Times New Roman"/>
                <w:b/>
                <w:bCs/>
                <w:color w:val="000000" w:themeColor="text1"/>
                <w:sz w:val="18"/>
                <w:szCs w:val="18"/>
                <w:lang w:val="en-US"/>
              </w:rPr>
              <w:t>,</w:t>
            </w:r>
            <w:r>
              <w:rPr>
                <w:rFonts w:eastAsia="Times New Roman" w:cs="Times New Roman"/>
                <w:b/>
                <w:bCs/>
                <w:color w:val="000000" w:themeColor="text1"/>
                <w:sz w:val="18"/>
                <w:szCs w:val="18"/>
              </w:rPr>
              <w:t>3</w:t>
            </w:r>
          </w:p>
        </w:tc>
        <w:tc>
          <w:tcPr>
            <w:tcW w:w="663" w:type="pct"/>
            <w:tcBorders>
              <w:top w:val="nil"/>
              <w:left w:val="nil"/>
              <w:bottom w:val="nil"/>
              <w:right w:val="nil"/>
            </w:tcBorders>
            <w:shd w:val="clear" w:color="auto" w:fill="F2F2F2" w:themeFill="background1" w:themeFillShade="F2"/>
            <w:noWrap/>
            <w:vAlign w:val="center"/>
            <w:hideMark/>
          </w:tcPr>
          <w:p w:rsidR="008E49A4" w:rsidRPr="009A168C" w:rsidRDefault="008E49A4" w:rsidP="009415E2">
            <w:pPr>
              <w:spacing w:after="0"/>
              <w:jc w:val="right"/>
              <w:rPr>
                <w:rFonts w:eastAsia="Times New Roman" w:cs="Times New Roman"/>
                <w:b/>
                <w:bCs/>
                <w:color w:val="000000" w:themeColor="text1"/>
                <w:sz w:val="18"/>
                <w:szCs w:val="18"/>
              </w:rPr>
            </w:pPr>
            <w:r w:rsidRPr="0068102C">
              <w:rPr>
                <w:rFonts w:eastAsia="Times New Roman" w:cs="Times New Roman"/>
                <w:b/>
                <w:bCs/>
                <w:color w:val="000000" w:themeColor="text1"/>
                <w:sz w:val="18"/>
                <w:szCs w:val="18"/>
              </w:rPr>
              <w:t>84</w:t>
            </w:r>
            <w:r>
              <w:rPr>
                <w:rFonts w:eastAsia="Times New Roman" w:cs="Times New Roman"/>
                <w:b/>
                <w:bCs/>
                <w:color w:val="000000" w:themeColor="text1"/>
                <w:sz w:val="18"/>
                <w:szCs w:val="18"/>
              </w:rPr>
              <w:t>5</w:t>
            </w:r>
            <w:r w:rsidRPr="0068102C">
              <w:rPr>
                <w:rFonts w:eastAsia="Times New Roman" w:cs="Times New Roman"/>
                <w:b/>
                <w:bCs/>
                <w:color w:val="000000" w:themeColor="text1"/>
                <w:sz w:val="18"/>
                <w:szCs w:val="18"/>
                <w:lang w:val="en-US"/>
              </w:rPr>
              <w:t>,</w:t>
            </w:r>
            <w:r>
              <w:rPr>
                <w:rFonts w:eastAsia="Times New Roman" w:cs="Times New Roman"/>
                <w:b/>
                <w:bCs/>
                <w:color w:val="000000" w:themeColor="text1"/>
                <w:sz w:val="18"/>
                <w:szCs w:val="18"/>
              </w:rPr>
              <w:t>3</w:t>
            </w:r>
          </w:p>
        </w:tc>
        <w:tc>
          <w:tcPr>
            <w:tcW w:w="555" w:type="pct"/>
            <w:tcBorders>
              <w:top w:val="nil"/>
              <w:left w:val="nil"/>
              <w:bottom w:val="nil"/>
              <w:right w:val="nil"/>
            </w:tcBorders>
            <w:shd w:val="clear" w:color="auto" w:fill="auto"/>
            <w:noWrap/>
            <w:vAlign w:val="center"/>
            <w:hideMark/>
          </w:tcPr>
          <w:p w:rsidR="008E49A4" w:rsidRPr="00FE7628" w:rsidRDefault="008E49A4" w:rsidP="009415E2">
            <w:pPr>
              <w:spacing w:after="0"/>
              <w:jc w:val="right"/>
              <w:rPr>
                <w:rFonts w:eastAsia="Times New Roman" w:cs="Times New Roman"/>
                <w:b/>
                <w:bCs/>
                <w:color w:val="000000" w:themeColor="text1"/>
                <w:sz w:val="18"/>
                <w:szCs w:val="18"/>
                <w:lang w:val="en-US"/>
              </w:rPr>
            </w:pPr>
            <w:r w:rsidRPr="00FE7628">
              <w:rPr>
                <w:rFonts w:eastAsia="Times New Roman" w:cs="Times New Roman"/>
                <w:b/>
                <w:bCs/>
                <w:color w:val="000000" w:themeColor="text1"/>
                <w:sz w:val="18"/>
                <w:szCs w:val="18"/>
                <w:lang w:val="en-US"/>
              </w:rPr>
              <w:t> </w:t>
            </w:r>
          </w:p>
        </w:tc>
      </w:tr>
      <w:tr w:rsidR="008E49A4" w:rsidRPr="00647705" w:rsidTr="00E12C65">
        <w:trPr>
          <w:trHeight w:val="300"/>
        </w:trPr>
        <w:tc>
          <w:tcPr>
            <w:tcW w:w="2196" w:type="pct"/>
            <w:tcBorders>
              <w:top w:val="nil"/>
              <w:left w:val="nil"/>
              <w:bottom w:val="single" w:sz="4" w:space="0" w:color="auto"/>
              <w:right w:val="nil"/>
            </w:tcBorders>
            <w:shd w:val="clear" w:color="auto" w:fill="auto"/>
            <w:noWrap/>
            <w:vAlign w:val="center"/>
            <w:hideMark/>
          </w:tcPr>
          <w:p w:rsidR="008E49A4" w:rsidRPr="00B4329E" w:rsidRDefault="008E49A4" w:rsidP="00647705">
            <w:pPr>
              <w:spacing w:after="0"/>
              <w:rPr>
                <w:rFonts w:eastAsia="Times New Roman" w:cs="Times New Roman"/>
                <w:b/>
                <w:bCs/>
                <w:color w:val="000000"/>
                <w:sz w:val="20"/>
                <w:szCs w:val="20"/>
              </w:rPr>
            </w:pPr>
            <w:r w:rsidRPr="00B4329E">
              <w:rPr>
                <w:rFonts w:eastAsia="Times New Roman" w:cs="Times New Roman"/>
                <w:b/>
                <w:bCs/>
                <w:color w:val="000000"/>
                <w:sz w:val="20"/>
                <w:szCs w:val="20"/>
              </w:rPr>
              <w:t>БЮДЖЕТНО  САЛДО</w:t>
            </w:r>
          </w:p>
        </w:tc>
        <w:tc>
          <w:tcPr>
            <w:tcW w:w="537" w:type="pct"/>
            <w:tcBorders>
              <w:top w:val="nil"/>
              <w:left w:val="nil"/>
              <w:bottom w:val="single" w:sz="4" w:space="0" w:color="auto"/>
              <w:right w:val="nil"/>
            </w:tcBorders>
            <w:shd w:val="clear" w:color="auto" w:fill="auto"/>
            <w:noWrap/>
            <w:vAlign w:val="center"/>
            <w:hideMark/>
          </w:tcPr>
          <w:p w:rsidR="008E49A4" w:rsidRPr="00120003" w:rsidRDefault="008E49A4" w:rsidP="009415E2">
            <w:pPr>
              <w:spacing w:after="0"/>
              <w:jc w:val="right"/>
              <w:rPr>
                <w:rFonts w:eastAsia="Times New Roman" w:cs="Times New Roman"/>
                <w:b/>
                <w:bCs/>
                <w:color w:val="000000" w:themeColor="text1"/>
                <w:sz w:val="18"/>
                <w:szCs w:val="18"/>
                <w:lang w:val="en-US"/>
              </w:rPr>
            </w:pPr>
            <w:r w:rsidRPr="00120003">
              <w:rPr>
                <w:rFonts w:eastAsia="Times New Roman" w:cs="Times New Roman"/>
                <w:b/>
                <w:bCs/>
                <w:color w:val="000000" w:themeColor="text1"/>
                <w:sz w:val="18"/>
                <w:szCs w:val="18"/>
              </w:rPr>
              <w:t>845,5</w:t>
            </w:r>
          </w:p>
        </w:tc>
        <w:tc>
          <w:tcPr>
            <w:tcW w:w="473" w:type="pct"/>
            <w:tcBorders>
              <w:top w:val="nil"/>
              <w:left w:val="nil"/>
              <w:bottom w:val="single" w:sz="4" w:space="0" w:color="auto"/>
              <w:right w:val="nil"/>
            </w:tcBorders>
            <w:shd w:val="clear" w:color="auto" w:fill="F2F2F2" w:themeFill="background1" w:themeFillShade="F2"/>
            <w:noWrap/>
            <w:vAlign w:val="center"/>
            <w:hideMark/>
          </w:tcPr>
          <w:p w:rsidR="008E49A4" w:rsidRPr="004F32FD" w:rsidRDefault="008E49A4" w:rsidP="009415E2">
            <w:pPr>
              <w:spacing w:after="0"/>
              <w:jc w:val="right"/>
              <w:rPr>
                <w:rFonts w:eastAsia="Times New Roman" w:cs="Times New Roman"/>
                <w:b/>
                <w:bCs/>
                <w:color w:val="000000" w:themeColor="text1"/>
                <w:sz w:val="18"/>
                <w:szCs w:val="18"/>
                <w:lang w:val="en-US"/>
              </w:rPr>
            </w:pPr>
            <w:r w:rsidRPr="004F32FD">
              <w:rPr>
                <w:rFonts w:eastAsia="Times New Roman" w:cs="Times New Roman"/>
                <w:b/>
                <w:bCs/>
                <w:color w:val="000000" w:themeColor="text1"/>
                <w:sz w:val="18"/>
                <w:szCs w:val="18"/>
              </w:rPr>
              <w:t>135,</w:t>
            </w:r>
            <w:r>
              <w:rPr>
                <w:rFonts w:eastAsia="Times New Roman" w:cs="Times New Roman"/>
                <w:b/>
                <w:bCs/>
                <w:color w:val="000000" w:themeColor="text1"/>
                <w:sz w:val="18"/>
                <w:szCs w:val="18"/>
              </w:rPr>
              <w:t>1</w:t>
            </w:r>
          </w:p>
        </w:tc>
        <w:tc>
          <w:tcPr>
            <w:tcW w:w="576" w:type="pct"/>
            <w:tcBorders>
              <w:top w:val="nil"/>
              <w:left w:val="nil"/>
              <w:bottom w:val="single" w:sz="4" w:space="0" w:color="auto"/>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b/>
                <w:bCs/>
                <w:color w:val="000000" w:themeColor="text1"/>
                <w:sz w:val="18"/>
                <w:szCs w:val="18"/>
                <w:lang w:val="en-US"/>
              </w:rPr>
            </w:pPr>
            <w:r w:rsidRPr="0068102C">
              <w:rPr>
                <w:rFonts w:eastAsia="Times New Roman" w:cs="Times New Roman"/>
                <w:b/>
                <w:bCs/>
                <w:color w:val="000000" w:themeColor="text1"/>
                <w:sz w:val="18"/>
                <w:szCs w:val="18"/>
              </w:rPr>
              <w:t>25</w:t>
            </w:r>
            <w:r>
              <w:rPr>
                <w:rFonts w:eastAsia="Times New Roman" w:cs="Times New Roman"/>
                <w:b/>
                <w:bCs/>
                <w:color w:val="000000" w:themeColor="text1"/>
                <w:sz w:val="18"/>
                <w:szCs w:val="18"/>
              </w:rPr>
              <w:t>0</w:t>
            </w:r>
            <w:r w:rsidRPr="0068102C">
              <w:rPr>
                <w:rFonts w:eastAsia="Times New Roman" w:cs="Times New Roman"/>
                <w:b/>
                <w:bCs/>
                <w:color w:val="000000" w:themeColor="text1"/>
                <w:sz w:val="18"/>
                <w:szCs w:val="18"/>
              </w:rPr>
              <w:t>,</w:t>
            </w:r>
            <w:r>
              <w:rPr>
                <w:rFonts w:eastAsia="Times New Roman" w:cs="Times New Roman"/>
                <w:b/>
                <w:bCs/>
                <w:color w:val="000000" w:themeColor="text1"/>
                <w:sz w:val="18"/>
                <w:szCs w:val="18"/>
              </w:rPr>
              <w:t>3</w:t>
            </w:r>
          </w:p>
        </w:tc>
        <w:tc>
          <w:tcPr>
            <w:tcW w:w="663" w:type="pct"/>
            <w:tcBorders>
              <w:top w:val="nil"/>
              <w:left w:val="nil"/>
              <w:bottom w:val="single" w:sz="4" w:space="0" w:color="auto"/>
              <w:right w:val="nil"/>
            </w:tcBorders>
            <w:shd w:val="clear" w:color="auto" w:fill="F2F2F2" w:themeFill="background1" w:themeFillShade="F2"/>
            <w:noWrap/>
            <w:vAlign w:val="center"/>
            <w:hideMark/>
          </w:tcPr>
          <w:p w:rsidR="008E49A4" w:rsidRPr="0068102C" w:rsidRDefault="008E49A4" w:rsidP="009415E2">
            <w:pPr>
              <w:spacing w:after="0"/>
              <w:jc w:val="right"/>
              <w:rPr>
                <w:rFonts w:eastAsia="Times New Roman" w:cs="Times New Roman"/>
                <w:b/>
                <w:bCs/>
                <w:color w:val="000000" w:themeColor="text1"/>
                <w:sz w:val="18"/>
                <w:szCs w:val="18"/>
                <w:lang w:val="en-US"/>
              </w:rPr>
            </w:pPr>
            <w:r w:rsidRPr="0068102C">
              <w:rPr>
                <w:rFonts w:eastAsia="Times New Roman" w:cs="Times New Roman"/>
                <w:b/>
                <w:bCs/>
                <w:color w:val="000000" w:themeColor="text1"/>
                <w:sz w:val="18"/>
                <w:szCs w:val="18"/>
              </w:rPr>
              <w:t>-11</w:t>
            </w:r>
            <w:r>
              <w:rPr>
                <w:rFonts w:eastAsia="Times New Roman" w:cs="Times New Roman"/>
                <w:b/>
                <w:bCs/>
                <w:color w:val="000000" w:themeColor="text1"/>
                <w:sz w:val="18"/>
                <w:szCs w:val="18"/>
              </w:rPr>
              <w:t>5</w:t>
            </w:r>
            <w:r w:rsidRPr="0068102C">
              <w:rPr>
                <w:rFonts w:eastAsia="Times New Roman" w:cs="Times New Roman"/>
                <w:b/>
                <w:bCs/>
                <w:color w:val="000000" w:themeColor="text1"/>
                <w:sz w:val="18"/>
                <w:szCs w:val="18"/>
              </w:rPr>
              <w:t>,</w:t>
            </w:r>
            <w:r>
              <w:rPr>
                <w:rFonts w:eastAsia="Times New Roman" w:cs="Times New Roman"/>
                <w:b/>
                <w:bCs/>
                <w:color w:val="000000" w:themeColor="text1"/>
                <w:sz w:val="18"/>
                <w:szCs w:val="18"/>
              </w:rPr>
              <w:t>2</w:t>
            </w:r>
          </w:p>
        </w:tc>
        <w:tc>
          <w:tcPr>
            <w:tcW w:w="555" w:type="pct"/>
            <w:tcBorders>
              <w:top w:val="nil"/>
              <w:left w:val="nil"/>
              <w:bottom w:val="single" w:sz="4" w:space="0" w:color="auto"/>
              <w:right w:val="nil"/>
            </w:tcBorders>
            <w:shd w:val="clear" w:color="auto" w:fill="auto"/>
            <w:noWrap/>
            <w:vAlign w:val="center"/>
            <w:hideMark/>
          </w:tcPr>
          <w:p w:rsidR="008E49A4" w:rsidRPr="00325714" w:rsidRDefault="008E49A4" w:rsidP="009415E2">
            <w:pPr>
              <w:spacing w:after="0"/>
              <w:jc w:val="right"/>
              <w:rPr>
                <w:rFonts w:eastAsia="Times New Roman" w:cs="Times New Roman"/>
                <w:b/>
                <w:bCs/>
                <w:color w:val="FE8637" w:themeColor="accent1"/>
                <w:sz w:val="18"/>
                <w:szCs w:val="18"/>
                <w:lang w:val="en-US"/>
              </w:rPr>
            </w:pPr>
            <w:r w:rsidRPr="00325714">
              <w:rPr>
                <w:rFonts w:eastAsia="Times New Roman" w:cs="Times New Roman"/>
                <w:b/>
                <w:bCs/>
                <w:color w:val="FE8637" w:themeColor="accent1"/>
                <w:sz w:val="18"/>
                <w:szCs w:val="18"/>
                <w:lang w:val="en-US"/>
              </w:rPr>
              <w:t> </w:t>
            </w:r>
          </w:p>
        </w:tc>
      </w:tr>
    </w:tbl>
    <w:p w:rsidR="00647705" w:rsidRPr="00647705" w:rsidRDefault="00647705" w:rsidP="00647705">
      <w:pPr>
        <w:rPr>
          <w:lang w:val="en-US"/>
        </w:rPr>
        <w:sectPr w:rsidR="00647705" w:rsidRPr="00647705" w:rsidSect="00FF16A0">
          <w:headerReference w:type="even" r:id="rId52"/>
          <w:type w:val="continuous"/>
          <w:pgSz w:w="16838" w:h="11906" w:orient="landscape" w:code="9"/>
          <w:pgMar w:top="1418" w:right="1134" w:bottom="851" w:left="1134" w:header="709" w:footer="709" w:gutter="0"/>
          <w:cols w:space="708"/>
          <w:titlePg/>
          <w:docGrid w:linePitch="360"/>
        </w:sectPr>
      </w:pPr>
    </w:p>
    <w:p w:rsidR="00B4329E" w:rsidRPr="00B4329E" w:rsidRDefault="00B4329E" w:rsidP="00B4329E">
      <w:pPr>
        <w:spacing w:before="60" w:after="360"/>
        <w:ind w:left="34"/>
        <w:jc w:val="left"/>
        <w:rPr>
          <w:rFonts w:eastAsia="Batang"/>
          <w:sz w:val="18"/>
          <w:szCs w:val="18"/>
        </w:rPr>
      </w:pPr>
      <w:r w:rsidRPr="00B4329E">
        <w:rPr>
          <w:rFonts w:eastAsia="Batang"/>
          <w:sz w:val="18"/>
          <w:szCs w:val="18"/>
        </w:rPr>
        <w:t xml:space="preserve">* </w:t>
      </w:r>
      <w:r w:rsidRPr="00E22A97">
        <w:rPr>
          <w:rFonts w:eastAsia="Batang"/>
          <w:sz w:val="18"/>
          <w:szCs w:val="18"/>
          <w:lang w:val="ru-RU"/>
        </w:rPr>
        <w:t xml:space="preserve">  </w:t>
      </w:r>
      <w:r w:rsidRPr="00B4329E">
        <w:rPr>
          <w:rFonts w:eastAsia="Batang"/>
          <w:sz w:val="18"/>
          <w:szCs w:val="18"/>
        </w:rPr>
        <w:t>Вкл. постъпленията от такси върху производството на за</w:t>
      </w:r>
      <w:r w:rsidR="00DB74F8">
        <w:rPr>
          <w:rFonts w:eastAsia="Batang"/>
          <w:sz w:val="18"/>
          <w:szCs w:val="18"/>
        </w:rPr>
        <w:t xml:space="preserve">хар и изоглюкоза за 2017 г.    </w:t>
      </w:r>
      <w:r w:rsidRPr="00B4329E">
        <w:rPr>
          <w:rFonts w:eastAsia="Batang"/>
          <w:sz w:val="18"/>
          <w:szCs w:val="18"/>
        </w:rPr>
        <w:t>** Вкл. нетен прираст на държавния резерв</w:t>
      </w:r>
    </w:p>
    <w:p w:rsidR="00574A2C" w:rsidRPr="00664F93" w:rsidRDefault="00574A2C" w:rsidP="00766ED6">
      <w:pPr>
        <w:suppressAutoHyphens/>
        <w:autoSpaceDE w:val="0"/>
        <w:autoSpaceDN w:val="0"/>
        <w:adjustRightInd w:val="0"/>
        <w:spacing w:after="360" w:line="276" w:lineRule="auto"/>
        <w:rPr>
          <w:rFonts w:eastAsia="Batang"/>
          <w:szCs w:val="24"/>
          <w:lang w:val="ru-RU"/>
        </w:rPr>
        <w:sectPr w:rsidR="00574A2C" w:rsidRPr="00664F93" w:rsidSect="00FF16A0">
          <w:headerReference w:type="even" r:id="rId53"/>
          <w:type w:val="continuous"/>
          <w:pgSz w:w="16838" w:h="11906" w:orient="landscape" w:code="9"/>
          <w:pgMar w:top="1418" w:right="1134" w:bottom="851" w:left="1134" w:header="709" w:footer="709" w:gutter="0"/>
          <w:cols w:space="708"/>
          <w:titlePg/>
          <w:docGrid w:linePitch="360"/>
        </w:sectPr>
      </w:pPr>
    </w:p>
    <w:p w:rsidR="00574A2C" w:rsidRPr="00297250" w:rsidRDefault="00574A2C" w:rsidP="00574A2C">
      <w:pPr>
        <w:suppressAutoHyphens/>
        <w:autoSpaceDE w:val="0"/>
        <w:autoSpaceDN w:val="0"/>
        <w:adjustRightInd w:val="0"/>
        <w:spacing w:after="120" w:line="276" w:lineRule="auto"/>
        <w:rPr>
          <w:b/>
          <w:color w:val="943634"/>
          <w:sz w:val="22"/>
        </w:rPr>
      </w:pPr>
      <w:r w:rsidRPr="00297250">
        <w:rPr>
          <w:b/>
          <w:color w:val="943634"/>
          <w:sz w:val="22"/>
        </w:rPr>
        <w:t>Изпълнение на приходите по КФП</w:t>
      </w:r>
    </w:p>
    <w:p w:rsidR="009415E2" w:rsidRPr="009415E2" w:rsidRDefault="009415E2" w:rsidP="009415E2">
      <w:pPr>
        <w:autoSpaceDE w:val="0"/>
        <w:autoSpaceDN w:val="0"/>
        <w:adjustRightInd w:val="0"/>
        <w:spacing w:after="120"/>
        <w:rPr>
          <w:rFonts w:cs="Times New Roman"/>
          <w:sz w:val="22"/>
        </w:rPr>
      </w:pPr>
      <w:r w:rsidRPr="009415E2">
        <w:rPr>
          <w:rFonts w:cs="Times New Roman"/>
          <w:b/>
          <w:sz w:val="22"/>
        </w:rPr>
        <w:t>Приходите, помощите и даренията</w:t>
      </w:r>
      <w:r w:rsidRPr="009415E2">
        <w:rPr>
          <w:rFonts w:cs="Times New Roman"/>
          <w:sz w:val="22"/>
        </w:rPr>
        <w:t xml:space="preserve"> по консолидираната фискална програма за 2018 г. са в размер на </w:t>
      </w:r>
      <w:r w:rsidRPr="00E22A97">
        <w:rPr>
          <w:rFonts w:cs="Times New Roman"/>
          <w:bCs/>
          <w:sz w:val="22"/>
          <w:lang w:val="ru-RU"/>
        </w:rPr>
        <w:t>3</w:t>
      </w:r>
      <w:r w:rsidRPr="009415E2">
        <w:rPr>
          <w:rFonts w:cs="Times New Roman"/>
          <w:bCs/>
          <w:sz w:val="22"/>
        </w:rPr>
        <w:t>9 650,9 </w:t>
      </w:r>
      <w:r w:rsidRPr="009415E2">
        <w:rPr>
          <w:rFonts w:cs="Times New Roman"/>
          <w:sz w:val="22"/>
        </w:rPr>
        <w:t>млн. лв.</w:t>
      </w:r>
      <w:r w:rsidRPr="009415E2">
        <w:rPr>
          <w:rFonts w:cs="Times New Roman"/>
          <w:bCs/>
          <w:sz w:val="22"/>
        </w:rPr>
        <w:t xml:space="preserve">, което представлява 103,8% спрямо годишните разчети към ЗДБРБ за 2018 година. </w:t>
      </w:r>
      <w:r w:rsidRPr="009415E2">
        <w:rPr>
          <w:rFonts w:cs="Times New Roman"/>
          <w:sz w:val="22"/>
        </w:rPr>
        <w:t>Съпоставени с предходната година, данъчните и неданъчните приходи нарастват с 3 741,8</w:t>
      </w:r>
      <w:r>
        <w:rPr>
          <w:rFonts w:cs="Times New Roman"/>
          <w:sz w:val="22"/>
        </w:rPr>
        <w:t xml:space="preserve"> млн. лв. (11,1</w:t>
      </w:r>
      <w:r w:rsidRPr="009415E2">
        <w:rPr>
          <w:rFonts w:cs="Times New Roman"/>
          <w:sz w:val="22"/>
        </w:rPr>
        <w:t>%), а постъпленията от помощи н</w:t>
      </w:r>
      <w:r w:rsidR="00B225AF">
        <w:rPr>
          <w:rFonts w:cs="Times New Roman"/>
          <w:sz w:val="22"/>
        </w:rPr>
        <w:t>арастват с 592,4 млн. лв. (39,0</w:t>
      </w:r>
      <w:r w:rsidRPr="009415E2">
        <w:rPr>
          <w:rFonts w:cs="Times New Roman"/>
          <w:sz w:val="22"/>
        </w:rPr>
        <w:t xml:space="preserve">%). </w:t>
      </w:r>
    </w:p>
    <w:p w:rsidR="009415E2" w:rsidRPr="009415E2" w:rsidRDefault="009415E2" w:rsidP="009415E2">
      <w:pPr>
        <w:autoSpaceDE w:val="0"/>
        <w:autoSpaceDN w:val="0"/>
        <w:adjustRightInd w:val="0"/>
        <w:spacing w:after="120"/>
        <w:rPr>
          <w:rFonts w:cs="Times New Roman"/>
          <w:sz w:val="22"/>
        </w:rPr>
      </w:pPr>
      <w:r w:rsidRPr="009415E2">
        <w:rPr>
          <w:rFonts w:cs="Times New Roman"/>
          <w:sz w:val="22"/>
        </w:rPr>
        <w:t xml:space="preserve">Общата сума на </w:t>
      </w:r>
      <w:r w:rsidRPr="009415E2">
        <w:rPr>
          <w:rFonts w:cs="Times New Roman"/>
          <w:b/>
          <w:i/>
          <w:sz w:val="22"/>
        </w:rPr>
        <w:t>данъчните постъпления</w:t>
      </w:r>
      <w:r w:rsidRPr="009415E2">
        <w:rPr>
          <w:rFonts w:cs="Times New Roman"/>
          <w:sz w:val="22"/>
        </w:rPr>
        <w:t xml:space="preserve"> (вкл. прих</w:t>
      </w:r>
      <w:r w:rsidR="00652B3F">
        <w:rPr>
          <w:rFonts w:cs="Times New Roman"/>
          <w:sz w:val="22"/>
        </w:rPr>
        <w:t>одите от осигурителни вноски) е</w:t>
      </w:r>
      <w:r w:rsidRPr="009415E2">
        <w:rPr>
          <w:rFonts w:cs="Times New Roman"/>
          <w:sz w:val="22"/>
        </w:rPr>
        <w:t xml:space="preserve"> в размер на </w:t>
      </w:r>
      <w:r w:rsidRPr="00E22A97">
        <w:rPr>
          <w:rFonts w:cs="Times New Roman"/>
          <w:i/>
          <w:sz w:val="22"/>
          <w:lang w:val="ru-RU"/>
        </w:rPr>
        <w:t>32</w:t>
      </w:r>
      <w:r w:rsidRPr="009415E2">
        <w:rPr>
          <w:rFonts w:cs="Times New Roman"/>
          <w:i/>
          <w:sz w:val="22"/>
          <w:lang w:val="en-US"/>
        </w:rPr>
        <w:t> </w:t>
      </w:r>
      <w:r w:rsidRPr="00E22A97">
        <w:rPr>
          <w:rFonts w:cs="Times New Roman"/>
          <w:i/>
          <w:sz w:val="22"/>
          <w:lang w:val="ru-RU"/>
        </w:rPr>
        <w:t>235</w:t>
      </w:r>
      <w:r w:rsidRPr="009415E2">
        <w:rPr>
          <w:rFonts w:cs="Times New Roman"/>
          <w:i/>
          <w:sz w:val="22"/>
        </w:rPr>
        <w:t>,</w:t>
      </w:r>
      <w:r w:rsidRPr="00E22A97">
        <w:rPr>
          <w:rFonts w:cs="Times New Roman"/>
          <w:i/>
          <w:sz w:val="22"/>
          <w:lang w:val="ru-RU"/>
        </w:rPr>
        <w:t>5</w:t>
      </w:r>
      <w:r w:rsidRPr="009415E2">
        <w:rPr>
          <w:rFonts w:cs="Times New Roman"/>
          <w:i/>
          <w:sz w:val="22"/>
        </w:rPr>
        <w:t xml:space="preserve"> млн. лв.</w:t>
      </w:r>
      <w:r w:rsidRPr="009415E2">
        <w:rPr>
          <w:rFonts w:cs="Times New Roman"/>
          <w:sz w:val="22"/>
        </w:rPr>
        <w:t xml:space="preserve">, което представлява </w:t>
      </w:r>
      <w:r w:rsidRPr="00E22A97">
        <w:rPr>
          <w:rFonts w:cs="Times New Roman"/>
          <w:sz w:val="22"/>
          <w:lang w:val="ru-RU"/>
        </w:rPr>
        <w:t>103</w:t>
      </w:r>
      <w:r w:rsidRPr="009415E2">
        <w:rPr>
          <w:rFonts w:cs="Times New Roman"/>
          <w:sz w:val="22"/>
        </w:rPr>
        <w:t>,</w:t>
      </w:r>
      <w:r w:rsidRPr="00E22A97">
        <w:rPr>
          <w:rFonts w:cs="Times New Roman"/>
          <w:sz w:val="22"/>
          <w:lang w:val="ru-RU"/>
        </w:rPr>
        <w:t>5</w:t>
      </w:r>
      <w:r w:rsidRPr="009415E2">
        <w:rPr>
          <w:rFonts w:cs="Times New Roman"/>
          <w:sz w:val="22"/>
        </w:rPr>
        <w:t>% изпълнение на разчетите към ЗДБРБ за 201</w:t>
      </w:r>
      <w:r w:rsidRPr="00E22A97">
        <w:rPr>
          <w:rFonts w:cs="Times New Roman"/>
          <w:sz w:val="22"/>
          <w:lang w:val="ru-RU"/>
        </w:rPr>
        <w:t>8</w:t>
      </w:r>
      <w:r w:rsidRPr="009415E2">
        <w:rPr>
          <w:rFonts w:cs="Times New Roman"/>
          <w:sz w:val="22"/>
        </w:rPr>
        <w:t xml:space="preserve"> година. </w:t>
      </w:r>
    </w:p>
    <w:p w:rsidR="009415E2" w:rsidRPr="009415E2" w:rsidRDefault="009415E2" w:rsidP="009415E2">
      <w:pPr>
        <w:autoSpaceDE w:val="0"/>
        <w:autoSpaceDN w:val="0"/>
        <w:adjustRightInd w:val="0"/>
        <w:spacing w:after="120"/>
        <w:rPr>
          <w:rFonts w:cs="Times New Roman"/>
          <w:sz w:val="22"/>
        </w:rPr>
      </w:pPr>
      <w:r w:rsidRPr="009415E2">
        <w:rPr>
          <w:rFonts w:cs="Times New Roman"/>
          <w:sz w:val="22"/>
        </w:rPr>
        <w:t xml:space="preserve">Приходите в частта на </w:t>
      </w:r>
      <w:r w:rsidRPr="009415E2">
        <w:rPr>
          <w:rFonts w:cs="Times New Roman"/>
          <w:i/>
          <w:sz w:val="22"/>
        </w:rPr>
        <w:t xml:space="preserve">преките данъци </w:t>
      </w:r>
      <w:r w:rsidRPr="009415E2">
        <w:rPr>
          <w:rFonts w:cs="Times New Roman"/>
          <w:sz w:val="22"/>
        </w:rPr>
        <w:t xml:space="preserve">възлизат на </w:t>
      </w:r>
      <w:r w:rsidRPr="00E22A97">
        <w:rPr>
          <w:rFonts w:cs="Times New Roman"/>
          <w:i/>
          <w:sz w:val="22"/>
          <w:lang w:val="ru-RU"/>
        </w:rPr>
        <w:t>6</w:t>
      </w:r>
      <w:r w:rsidRPr="009415E2">
        <w:rPr>
          <w:rFonts w:cs="Times New Roman"/>
          <w:i/>
          <w:sz w:val="22"/>
          <w:lang w:val="en-US"/>
        </w:rPr>
        <w:t> </w:t>
      </w:r>
      <w:r w:rsidRPr="00E22A97">
        <w:rPr>
          <w:rFonts w:cs="Times New Roman"/>
          <w:i/>
          <w:sz w:val="22"/>
          <w:lang w:val="ru-RU"/>
        </w:rPr>
        <w:t>132</w:t>
      </w:r>
      <w:r w:rsidRPr="009415E2">
        <w:rPr>
          <w:rFonts w:cs="Times New Roman"/>
          <w:i/>
          <w:sz w:val="22"/>
        </w:rPr>
        <w:t>,</w:t>
      </w:r>
      <w:r w:rsidRPr="00E22A97">
        <w:rPr>
          <w:rFonts w:cs="Times New Roman"/>
          <w:i/>
          <w:sz w:val="22"/>
          <w:lang w:val="ru-RU"/>
        </w:rPr>
        <w:t>5</w:t>
      </w:r>
      <w:r w:rsidRPr="009415E2">
        <w:rPr>
          <w:rFonts w:cs="Times New Roman"/>
          <w:i/>
          <w:sz w:val="22"/>
        </w:rPr>
        <w:t xml:space="preserve"> млн. лв.</w:t>
      </w:r>
      <w:r w:rsidRPr="009415E2">
        <w:rPr>
          <w:rFonts w:cs="Times New Roman"/>
          <w:sz w:val="22"/>
        </w:rPr>
        <w:t xml:space="preserve">, което представлява </w:t>
      </w:r>
      <w:r w:rsidRPr="00E22A97">
        <w:rPr>
          <w:rFonts w:cs="Times New Roman"/>
          <w:sz w:val="22"/>
          <w:lang w:val="ru-RU"/>
        </w:rPr>
        <w:t>106</w:t>
      </w:r>
      <w:r w:rsidRPr="009415E2">
        <w:rPr>
          <w:rFonts w:cs="Times New Roman"/>
          <w:sz w:val="22"/>
        </w:rPr>
        <w:t>,</w:t>
      </w:r>
      <w:r w:rsidRPr="00E22A97">
        <w:rPr>
          <w:rFonts w:cs="Times New Roman"/>
          <w:sz w:val="22"/>
          <w:lang w:val="ru-RU"/>
        </w:rPr>
        <w:t>5</w:t>
      </w:r>
      <w:r w:rsidRPr="009415E2">
        <w:rPr>
          <w:rFonts w:cs="Times New Roman"/>
          <w:sz w:val="22"/>
        </w:rPr>
        <w:t>% спрямо разчета за 201</w:t>
      </w:r>
      <w:r w:rsidRPr="00E22A97">
        <w:rPr>
          <w:rFonts w:cs="Times New Roman"/>
          <w:sz w:val="22"/>
          <w:lang w:val="ru-RU"/>
        </w:rPr>
        <w:t>8</w:t>
      </w:r>
      <w:r w:rsidRPr="009415E2">
        <w:rPr>
          <w:rFonts w:cs="Times New Roman"/>
          <w:sz w:val="22"/>
        </w:rPr>
        <w:t> година. Съпоставени с 201</w:t>
      </w:r>
      <w:r w:rsidRPr="00E22A97">
        <w:rPr>
          <w:rFonts w:cs="Times New Roman"/>
          <w:sz w:val="22"/>
          <w:lang w:val="ru-RU"/>
        </w:rPr>
        <w:t>7</w:t>
      </w:r>
      <w:r w:rsidRPr="009415E2">
        <w:rPr>
          <w:rFonts w:cs="Times New Roman"/>
          <w:sz w:val="22"/>
        </w:rPr>
        <w:t xml:space="preserve"> г., преките данъци нарастват с </w:t>
      </w:r>
      <w:r w:rsidRPr="00E22A97">
        <w:rPr>
          <w:rFonts w:cs="Times New Roman"/>
          <w:sz w:val="22"/>
          <w:lang w:val="ru-RU"/>
        </w:rPr>
        <w:t>8</w:t>
      </w:r>
      <w:r w:rsidRPr="009415E2">
        <w:rPr>
          <w:rFonts w:cs="Times New Roman"/>
          <w:sz w:val="22"/>
        </w:rPr>
        <w:t>,</w:t>
      </w:r>
      <w:r w:rsidRPr="00E22A97">
        <w:rPr>
          <w:rFonts w:cs="Times New Roman"/>
          <w:sz w:val="22"/>
          <w:lang w:val="ru-RU"/>
        </w:rPr>
        <w:t>6</w:t>
      </w:r>
      <w:r w:rsidRPr="009415E2">
        <w:rPr>
          <w:rFonts w:cs="Times New Roman"/>
          <w:sz w:val="22"/>
        </w:rPr>
        <w:t xml:space="preserve">% (488,2 млн. лв.). </w:t>
      </w:r>
    </w:p>
    <w:p w:rsidR="009415E2" w:rsidRDefault="009415E2" w:rsidP="006B7C81">
      <w:pPr>
        <w:autoSpaceDE w:val="0"/>
        <w:autoSpaceDN w:val="0"/>
        <w:adjustRightInd w:val="0"/>
        <w:spacing w:after="120"/>
        <w:rPr>
          <w:rFonts w:cs="Times New Roman"/>
          <w:b/>
          <w:sz w:val="22"/>
          <w:highlight w:val="yellow"/>
        </w:rPr>
      </w:pPr>
    </w:p>
    <w:p w:rsidR="009415E2" w:rsidRDefault="009415E2" w:rsidP="006B7C81">
      <w:pPr>
        <w:autoSpaceDE w:val="0"/>
        <w:autoSpaceDN w:val="0"/>
        <w:adjustRightInd w:val="0"/>
        <w:spacing w:after="120"/>
        <w:rPr>
          <w:rFonts w:cs="Times New Roman"/>
          <w:b/>
          <w:sz w:val="22"/>
          <w:highlight w:val="yellow"/>
        </w:rPr>
      </w:pPr>
    </w:p>
    <w:p w:rsidR="009415E2" w:rsidRPr="009415E2" w:rsidRDefault="009415E2" w:rsidP="009415E2">
      <w:pPr>
        <w:spacing w:after="120"/>
        <w:rPr>
          <w:rFonts w:cs="Times New Roman"/>
          <w:sz w:val="22"/>
        </w:rPr>
      </w:pPr>
      <w:r w:rsidRPr="009415E2">
        <w:rPr>
          <w:rFonts w:cs="Times New Roman"/>
          <w:sz w:val="22"/>
        </w:rPr>
        <w:t xml:space="preserve">Приходите от </w:t>
      </w:r>
      <w:r w:rsidRPr="009415E2">
        <w:rPr>
          <w:rFonts w:cs="Times New Roman"/>
          <w:i/>
          <w:sz w:val="22"/>
        </w:rPr>
        <w:t>косвени данъци</w:t>
      </w:r>
      <w:r w:rsidRPr="009415E2">
        <w:rPr>
          <w:rFonts w:cs="Times New Roman"/>
          <w:sz w:val="22"/>
        </w:rPr>
        <w:t xml:space="preserve"> са в размер на </w:t>
      </w:r>
      <w:r w:rsidRPr="009415E2">
        <w:rPr>
          <w:rFonts w:cs="Times New Roman"/>
          <w:i/>
          <w:sz w:val="22"/>
        </w:rPr>
        <w:t>15 531,0 млн. лв.</w:t>
      </w:r>
      <w:r w:rsidRPr="009415E2">
        <w:rPr>
          <w:rFonts w:cs="Times New Roman"/>
          <w:sz w:val="22"/>
        </w:rPr>
        <w:t xml:space="preserve">, което представлява </w:t>
      </w:r>
      <w:r w:rsidRPr="00E22A97">
        <w:rPr>
          <w:rFonts w:cs="Times New Roman"/>
          <w:sz w:val="22"/>
          <w:lang w:val="ru-RU"/>
        </w:rPr>
        <w:t>10</w:t>
      </w:r>
      <w:r w:rsidRPr="009415E2">
        <w:rPr>
          <w:rFonts w:cs="Times New Roman"/>
          <w:sz w:val="22"/>
        </w:rPr>
        <w:t xml:space="preserve">2,5% спрямо годишния разчет. Съпоставени с отчетените през 2017 г., косвените данъци бележат ръст от 6,9% (998,5 млн. лв.). </w:t>
      </w:r>
    </w:p>
    <w:p w:rsidR="009415E2" w:rsidRPr="009415E2" w:rsidRDefault="009415E2" w:rsidP="009415E2">
      <w:pPr>
        <w:spacing w:after="120"/>
        <w:rPr>
          <w:rFonts w:cs="Times New Roman"/>
          <w:sz w:val="22"/>
        </w:rPr>
      </w:pPr>
      <w:r w:rsidRPr="009415E2">
        <w:rPr>
          <w:rFonts w:cs="Times New Roman"/>
          <w:sz w:val="22"/>
        </w:rPr>
        <w:t xml:space="preserve">Постъпленията от </w:t>
      </w:r>
      <w:r w:rsidRPr="009415E2">
        <w:rPr>
          <w:rFonts w:cs="Times New Roman"/>
          <w:i/>
          <w:sz w:val="22"/>
        </w:rPr>
        <w:t>други данъци</w:t>
      </w:r>
      <w:r w:rsidRPr="009415E2">
        <w:rPr>
          <w:rFonts w:cs="Times New Roman"/>
          <w:sz w:val="22"/>
        </w:rPr>
        <w:t xml:space="preserve"> (включват други данъци по ЗКПО, имуществени данъци и др.) са в размер на </w:t>
      </w:r>
      <w:r w:rsidRPr="009415E2">
        <w:rPr>
          <w:rFonts w:cs="Times New Roman"/>
          <w:i/>
          <w:sz w:val="22"/>
        </w:rPr>
        <w:t>1 113,8 млн. лв</w:t>
      </w:r>
      <w:r w:rsidRPr="009415E2">
        <w:rPr>
          <w:rFonts w:cs="Times New Roman"/>
          <w:sz w:val="22"/>
        </w:rPr>
        <w:t xml:space="preserve">., което представлява 101,4% спрямо разчетите към ЗДБРБ за 2018 г. и нарастват със 7,2% (74,4 млн. лв.) спрямо 2017 година. </w:t>
      </w:r>
    </w:p>
    <w:p w:rsidR="009415E2" w:rsidRPr="009415E2" w:rsidRDefault="009415E2" w:rsidP="009415E2">
      <w:pPr>
        <w:spacing w:after="120"/>
        <w:rPr>
          <w:rFonts w:cs="Times New Roman"/>
          <w:sz w:val="22"/>
        </w:rPr>
      </w:pPr>
      <w:r w:rsidRPr="009415E2">
        <w:rPr>
          <w:rFonts w:cs="Times New Roman"/>
          <w:sz w:val="22"/>
        </w:rPr>
        <w:t xml:space="preserve">Приходите от </w:t>
      </w:r>
      <w:r w:rsidRPr="009415E2">
        <w:rPr>
          <w:rFonts w:cs="Times New Roman"/>
          <w:i/>
          <w:sz w:val="22"/>
        </w:rPr>
        <w:t>социалноосигурителни и здравни вноски</w:t>
      </w:r>
      <w:r w:rsidRPr="009415E2">
        <w:rPr>
          <w:rFonts w:cs="Times New Roman"/>
          <w:b/>
          <w:sz w:val="22"/>
        </w:rPr>
        <w:t xml:space="preserve"> </w:t>
      </w:r>
      <w:r w:rsidRPr="009415E2">
        <w:rPr>
          <w:rFonts w:cs="Times New Roman"/>
          <w:sz w:val="22"/>
        </w:rPr>
        <w:t xml:space="preserve">към 31.12.2018 г. са в размер на </w:t>
      </w:r>
      <w:r w:rsidRPr="009415E2">
        <w:rPr>
          <w:rFonts w:cs="Times New Roman"/>
          <w:i/>
          <w:sz w:val="22"/>
        </w:rPr>
        <w:t>9 458,3 млн. лв.</w:t>
      </w:r>
      <w:r w:rsidR="00B225AF">
        <w:rPr>
          <w:rFonts w:cs="Times New Roman"/>
          <w:sz w:val="22"/>
        </w:rPr>
        <w:t xml:space="preserve"> или 103,6</w:t>
      </w:r>
      <w:r w:rsidRPr="009415E2">
        <w:rPr>
          <w:rFonts w:cs="Times New Roman"/>
          <w:sz w:val="22"/>
        </w:rPr>
        <w:t xml:space="preserve">% спрямо планираните за годината, като спрямо предходната година нарастват с 1 093,1 млн. лв. (13,1%). </w:t>
      </w:r>
    </w:p>
    <w:p w:rsidR="009415E2" w:rsidRPr="009415E2" w:rsidRDefault="009415E2" w:rsidP="009415E2">
      <w:pPr>
        <w:spacing w:after="120"/>
        <w:rPr>
          <w:rFonts w:cs="Times New Roman"/>
          <w:sz w:val="22"/>
        </w:rPr>
      </w:pPr>
      <w:r w:rsidRPr="009415E2">
        <w:rPr>
          <w:rFonts w:cs="Times New Roman"/>
          <w:b/>
          <w:bCs/>
          <w:i/>
          <w:iCs/>
          <w:sz w:val="22"/>
        </w:rPr>
        <w:t xml:space="preserve">Неданъчните приходи </w:t>
      </w:r>
      <w:r w:rsidRPr="009415E2">
        <w:rPr>
          <w:rFonts w:cs="Times New Roman"/>
          <w:sz w:val="22"/>
        </w:rPr>
        <w:t xml:space="preserve">са в размер на </w:t>
      </w:r>
      <w:r w:rsidRPr="009415E2">
        <w:rPr>
          <w:rFonts w:cs="Times New Roman"/>
          <w:b/>
          <w:sz w:val="22"/>
        </w:rPr>
        <w:t>5 302,3 млн. лв</w:t>
      </w:r>
      <w:r w:rsidRPr="009415E2">
        <w:rPr>
          <w:rFonts w:cs="Times New Roman"/>
          <w:sz w:val="22"/>
        </w:rPr>
        <w:t>., к</w:t>
      </w:r>
      <w:r w:rsidR="00B225AF">
        <w:rPr>
          <w:rFonts w:cs="Times New Roman"/>
          <w:sz w:val="22"/>
        </w:rPr>
        <w:t>оето представлява 112,7</w:t>
      </w:r>
      <w:r w:rsidRPr="009415E2">
        <w:rPr>
          <w:rFonts w:cs="Times New Roman"/>
          <w:sz w:val="22"/>
        </w:rPr>
        <w:t xml:space="preserve">% изпълнение на годишните разчети. </w:t>
      </w:r>
    </w:p>
    <w:p w:rsidR="009415E2" w:rsidRPr="009415E2" w:rsidRDefault="009415E2" w:rsidP="009415E2">
      <w:pPr>
        <w:spacing w:after="120"/>
        <w:rPr>
          <w:rFonts w:cs="Times New Roman"/>
          <w:sz w:val="22"/>
        </w:rPr>
      </w:pPr>
      <w:r w:rsidRPr="009415E2">
        <w:rPr>
          <w:rFonts w:cs="Times New Roman"/>
          <w:sz w:val="22"/>
        </w:rPr>
        <w:t xml:space="preserve">Постъпленията от </w:t>
      </w:r>
      <w:r w:rsidRPr="009415E2">
        <w:rPr>
          <w:rFonts w:cs="Times New Roman"/>
          <w:b/>
          <w:i/>
          <w:sz w:val="22"/>
        </w:rPr>
        <w:t>помощи и дарения</w:t>
      </w:r>
      <w:r w:rsidRPr="009415E2">
        <w:rPr>
          <w:rFonts w:cs="Times New Roman"/>
          <w:sz w:val="22"/>
        </w:rPr>
        <w:t xml:space="preserve"> от страната и чужбина (основно помощи от фондовете на ЕС) са в размер на </w:t>
      </w:r>
      <w:r w:rsidRPr="009415E2">
        <w:rPr>
          <w:rFonts w:cs="Times New Roman"/>
          <w:b/>
          <w:sz w:val="22"/>
        </w:rPr>
        <w:t>2 113,0 млн. лв.</w:t>
      </w:r>
      <w:r w:rsidRPr="009415E2">
        <w:rPr>
          <w:rFonts w:cs="Times New Roman"/>
          <w:sz w:val="22"/>
        </w:rPr>
        <w:t xml:space="preserve">, или 89,2% от разчета за 2018 година. </w:t>
      </w:r>
    </w:p>
    <w:p w:rsidR="00297250" w:rsidRPr="00297250" w:rsidRDefault="00297250" w:rsidP="006B7C81">
      <w:pPr>
        <w:spacing w:after="120"/>
        <w:rPr>
          <w:rFonts w:cs="Times New Roman"/>
          <w:sz w:val="22"/>
        </w:rPr>
      </w:pPr>
    </w:p>
    <w:p w:rsidR="008F74EC" w:rsidRDefault="008F74EC" w:rsidP="00CF6105">
      <w:pPr>
        <w:pStyle w:val="Caption"/>
        <w:rPr>
          <w:rFonts w:eastAsia="Times New Roman"/>
          <w:sz w:val="22"/>
          <w:szCs w:val="22"/>
        </w:rPr>
      </w:pPr>
      <w:r w:rsidRPr="00DB7108">
        <w:rPr>
          <w:sz w:val="22"/>
          <w:szCs w:val="22"/>
        </w:rPr>
        <w:t>Граф.</w:t>
      </w:r>
      <w:r w:rsidR="00BB1D58">
        <w:rPr>
          <w:sz w:val="22"/>
          <w:szCs w:val="22"/>
        </w:rPr>
        <w:t>: Данъчно-осигурителни</w:t>
      </w:r>
      <w:r w:rsidR="00574A2C" w:rsidRPr="00DB7108">
        <w:rPr>
          <w:sz w:val="22"/>
          <w:szCs w:val="22"/>
        </w:rPr>
        <w:t xml:space="preserve"> приходи по </w:t>
      </w:r>
      <w:r w:rsidR="00574A2C" w:rsidRPr="009415E2">
        <w:rPr>
          <w:sz w:val="22"/>
          <w:szCs w:val="22"/>
        </w:rPr>
        <w:t>КФП за 201</w:t>
      </w:r>
      <w:r w:rsidR="009415E2" w:rsidRPr="009415E2">
        <w:rPr>
          <w:sz w:val="22"/>
          <w:szCs w:val="22"/>
        </w:rPr>
        <w:t>7</w:t>
      </w:r>
      <w:r w:rsidR="00574A2C" w:rsidRPr="009415E2">
        <w:rPr>
          <w:sz w:val="22"/>
          <w:szCs w:val="22"/>
        </w:rPr>
        <w:t> г. и 201</w:t>
      </w:r>
      <w:r w:rsidR="009415E2" w:rsidRPr="009415E2">
        <w:rPr>
          <w:sz w:val="22"/>
          <w:szCs w:val="22"/>
        </w:rPr>
        <w:t>8</w:t>
      </w:r>
      <w:r w:rsidR="00574A2C" w:rsidRPr="009415E2">
        <w:rPr>
          <w:sz w:val="22"/>
          <w:szCs w:val="22"/>
        </w:rPr>
        <w:t> г.</w:t>
      </w:r>
    </w:p>
    <w:p w:rsidR="004B2CB5" w:rsidRPr="004B2CB5" w:rsidRDefault="004B2CB5" w:rsidP="004B2CB5">
      <w:pPr>
        <w:rPr>
          <w:sz w:val="22"/>
        </w:rPr>
      </w:pPr>
      <w:r>
        <w:rPr>
          <w:sz w:val="22"/>
        </w:rPr>
        <w:t xml:space="preserve">             </w:t>
      </w:r>
      <w:r w:rsidRPr="004B2CB5">
        <w:rPr>
          <w:sz w:val="22"/>
        </w:rPr>
        <w:t>(млн. лв.)</w:t>
      </w:r>
    </w:p>
    <w:p w:rsidR="00574A2C" w:rsidRPr="00CB3A36" w:rsidRDefault="00574A2C" w:rsidP="00574A2C">
      <w:pPr>
        <w:tabs>
          <w:tab w:val="num" w:pos="540"/>
          <w:tab w:val="num" w:pos="1080"/>
        </w:tabs>
        <w:spacing w:after="120"/>
        <w:rPr>
          <w:rFonts w:eastAsia="Times New Roman"/>
          <w:b/>
          <w:color w:val="4F81BD"/>
          <w:szCs w:val="20"/>
        </w:rPr>
      </w:pPr>
      <w:r>
        <w:rPr>
          <w:noProof/>
          <w:color w:val="4F81BD"/>
        </w:rPr>
        <w:drawing>
          <wp:inline distT="0" distB="0" distL="0" distR="0" wp14:anchorId="7CA224A8" wp14:editId="7365443A">
            <wp:extent cx="4320000" cy="2700000"/>
            <wp:effectExtent l="0" t="0" r="4445" b="5715"/>
            <wp:docPr id="48"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574A2C" w:rsidRPr="009D2915" w:rsidRDefault="00574A2C" w:rsidP="00574A2C">
      <w:pPr>
        <w:autoSpaceDE w:val="0"/>
        <w:autoSpaceDN w:val="0"/>
        <w:adjustRightInd w:val="0"/>
        <w:spacing w:after="120" w:line="276" w:lineRule="auto"/>
        <w:rPr>
          <w:rFonts w:eastAsia="Batang"/>
          <w:b/>
          <w:bCs/>
          <w:color w:val="943634"/>
          <w:szCs w:val="24"/>
        </w:rPr>
      </w:pPr>
      <w:r w:rsidRPr="009D2915">
        <w:rPr>
          <w:rFonts w:eastAsia="Batang"/>
          <w:b/>
          <w:bCs/>
          <w:color w:val="943634"/>
          <w:szCs w:val="24"/>
        </w:rPr>
        <w:t>Изпълнение на разходите</w:t>
      </w:r>
    </w:p>
    <w:p w:rsidR="00C117C9" w:rsidRPr="00C117C9" w:rsidRDefault="00C117C9" w:rsidP="00C117C9">
      <w:pPr>
        <w:spacing w:before="120" w:after="120"/>
        <w:rPr>
          <w:rFonts w:cs="Times New Roman"/>
          <w:sz w:val="22"/>
        </w:rPr>
      </w:pPr>
      <w:r w:rsidRPr="00C117C9">
        <w:rPr>
          <w:rFonts w:cs="Times New Roman"/>
          <w:b/>
          <w:sz w:val="22"/>
        </w:rPr>
        <w:t>Разходите</w:t>
      </w:r>
      <w:r w:rsidRPr="00C117C9">
        <w:rPr>
          <w:rFonts w:cs="Times New Roman"/>
          <w:sz w:val="22"/>
        </w:rPr>
        <w:t xml:space="preserve"> по консолидираната фискална програма (вкл. вноската на Република България в общия бюджет на ЕС) за 2018 г. </w:t>
      </w:r>
      <w:r w:rsidRPr="00C117C9">
        <w:rPr>
          <w:rFonts w:cs="Times New Roman"/>
          <w:b/>
          <w:sz w:val="22"/>
        </w:rPr>
        <w:t>са в размер на 39 515,7 млн. лв.</w:t>
      </w:r>
      <w:r w:rsidRPr="00C117C9">
        <w:rPr>
          <w:rFonts w:cs="Times New Roman"/>
          <w:sz w:val="22"/>
        </w:rPr>
        <w:t>, което представлява 100,5% спрямо годишния разчет. За сравнение разходите по КФП за 2017 г. б</w:t>
      </w:r>
      <w:r w:rsidR="00AA2D68">
        <w:rPr>
          <w:rFonts w:cs="Times New Roman"/>
          <w:sz w:val="22"/>
        </w:rPr>
        <w:t>яха в размер на 34 471,1 млн. лв</w:t>
      </w:r>
      <w:r w:rsidRPr="00C117C9">
        <w:rPr>
          <w:rFonts w:cs="Times New Roman"/>
          <w:sz w:val="22"/>
        </w:rPr>
        <w:t xml:space="preserve">. Номиналното нарастване се дължи както на по-високия размер на разходите по националния бюджет, така и на нарастването на разходите по сметките за средствата от Европейския съюз. Ръстът на разходите по националния бюджет се дължи основно на по-високия размер на капиталовите разходи (основно свързани с изграждането на приоритетни инфраструктурни проекти, инвестиционни проекти в сферата на отбраната и др.), нарастване на здравноосигурителните и социалните плащания (базов ефект при разходите за пенсии от увеличението от юли 2017 г. и увеличението на две стъпки през 2017 г. на размера на минималната пенсия от юли и октомври, както и новото увеличение на пенсиите от юли 2018 г.), по-високите разходи за персонал основно поради увеличението на възнагражденията на педагогическия персонал в системата на средното образование и др., нарастване на разходите за субсидии (основно свързани с промените в Закона за енергетиката от 01.07.2018 г., с които бе променен механизмът на събиране на приходи и извършването на разходи към производителите на електроенергия чрез бюджета на Фонд „Сигурност на електроенергийната система“) и други, докато по сметките за средства от ЕС нарастват основно капиталовите разходи.  </w:t>
      </w:r>
    </w:p>
    <w:p w:rsidR="00C117C9" w:rsidRDefault="00C117C9" w:rsidP="00C117C9">
      <w:pPr>
        <w:spacing w:before="120" w:after="120"/>
        <w:rPr>
          <w:rFonts w:cs="Times New Roman"/>
          <w:sz w:val="22"/>
        </w:rPr>
      </w:pPr>
      <w:r w:rsidRPr="00C117C9">
        <w:rPr>
          <w:rFonts w:cs="Times New Roman"/>
          <w:b/>
          <w:i/>
          <w:sz w:val="22"/>
        </w:rPr>
        <w:t>Нелихвените разходи</w:t>
      </w:r>
      <w:r w:rsidRPr="00C117C9">
        <w:rPr>
          <w:rFonts w:cs="Times New Roman"/>
          <w:sz w:val="22"/>
        </w:rPr>
        <w:t xml:space="preserve"> са в размер на 37 744,1 млн. лв., което представлява 100,8% спрямо годишния разчет. </w:t>
      </w:r>
      <w:r w:rsidRPr="00C117C9">
        <w:rPr>
          <w:rFonts w:cs="Times New Roman"/>
          <w:i/>
          <w:sz w:val="22"/>
        </w:rPr>
        <w:t>Текущите нелихвени разходи</w:t>
      </w:r>
      <w:r w:rsidRPr="00C117C9">
        <w:rPr>
          <w:rFonts w:cs="Times New Roman"/>
          <w:sz w:val="22"/>
        </w:rPr>
        <w:t xml:space="preserve"> за 2018 г. са в размер на 32 363,9 млн. лв. (103,7% спрямо разчета за годината). </w:t>
      </w:r>
      <w:r w:rsidRPr="00C117C9">
        <w:rPr>
          <w:rFonts w:cs="Times New Roman"/>
          <w:i/>
          <w:sz w:val="22"/>
        </w:rPr>
        <w:t>Капиталовите разходи</w:t>
      </w:r>
      <w:r w:rsidRPr="00C117C9">
        <w:rPr>
          <w:rFonts w:cs="Times New Roman"/>
          <w:sz w:val="22"/>
        </w:rPr>
        <w:t xml:space="preserve"> (вкл. нетния прираст на държавния резерв) възлизат на 5 325,7 млн. лв. (88,3% от разчетите към ЗДБРБ за 2018 г.). </w:t>
      </w:r>
      <w:r w:rsidRPr="00C117C9">
        <w:rPr>
          <w:rFonts w:cs="Times New Roman"/>
          <w:i/>
          <w:sz w:val="22"/>
        </w:rPr>
        <w:t>Предоставените текущи и капиталови трансфери за чужбина</w:t>
      </w:r>
      <w:r w:rsidR="00AA2D68">
        <w:rPr>
          <w:rFonts w:cs="Times New Roman"/>
          <w:sz w:val="22"/>
        </w:rPr>
        <w:t xml:space="preserve"> са в размер на 54,5 млн. лв</w:t>
      </w:r>
      <w:r w:rsidRPr="00C117C9">
        <w:rPr>
          <w:rFonts w:cs="Times New Roman"/>
          <w:sz w:val="22"/>
        </w:rPr>
        <w:t xml:space="preserve">. </w:t>
      </w:r>
    </w:p>
    <w:p w:rsidR="00C117C9" w:rsidRPr="00E22A97" w:rsidRDefault="00C117C9" w:rsidP="00C117C9">
      <w:pPr>
        <w:spacing w:before="120" w:after="120"/>
        <w:rPr>
          <w:rFonts w:cs="Times New Roman"/>
          <w:sz w:val="22"/>
          <w:lang w:val="ru-RU"/>
        </w:rPr>
      </w:pPr>
      <w:r w:rsidRPr="00C117C9">
        <w:rPr>
          <w:rFonts w:cs="Times New Roman"/>
          <w:b/>
          <w:i/>
          <w:sz w:val="22"/>
        </w:rPr>
        <w:t>Лихвените плащания</w:t>
      </w:r>
      <w:r w:rsidRPr="00C117C9">
        <w:rPr>
          <w:rFonts w:cs="Times New Roman"/>
          <w:sz w:val="22"/>
        </w:rPr>
        <w:t xml:space="preserve"> са в размер на 688,2 млн. лв. (95,3% от планираните за 2018 г.).</w:t>
      </w:r>
    </w:p>
    <w:p w:rsidR="00C117C9" w:rsidRPr="00C117C9" w:rsidRDefault="00C117C9" w:rsidP="00C117C9">
      <w:pPr>
        <w:spacing w:before="120" w:after="120"/>
        <w:rPr>
          <w:rFonts w:cs="Times New Roman"/>
          <w:sz w:val="22"/>
        </w:rPr>
      </w:pPr>
      <w:r w:rsidRPr="00766ED6">
        <w:rPr>
          <w:rFonts w:cs="Times New Roman"/>
          <w:b/>
          <w:sz w:val="22"/>
        </w:rPr>
        <w:t>Частта от вноската на Република България в общия бюджет на ЕС</w:t>
      </w:r>
      <w:r w:rsidRPr="00C117C9">
        <w:rPr>
          <w:rFonts w:cs="Times New Roman"/>
          <w:sz w:val="22"/>
        </w:rPr>
        <w:t>, изплатена за 2018 г. от централния бюджет, възлиза на 1 083,4 млн. лв., което е в изпълнение на действащото към момента законодателство в областта на собствените ресурси на ЕС - Решение на Съвета 2014/335/ЕС, Евратом относно системата на собствените ресурси на Европейския съюз, Регламент (ЕС, Евратом) № 608/2014 на Съвета от 26 май 2014 г. за определяне на мерки за прилагане на системата на собствените ресурси на ЕС и Регламент (EС, Евратом) № 609/2014 на Съвета от 26 май 2014 г. относно методите и процедурата за предоставяне на традиционните собствени ресурси, собствените ресурси на база ДДС и на база БНД и относно мерките за удовлетворяване на потребностите от парични средства, изменен с Регламент (EС, Евратом) 2016/804 на Съвета от 17 май 2016 година.</w:t>
      </w:r>
    </w:p>
    <w:p w:rsidR="00C117C9" w:rsidRDefault="00C117C9" w:rsidP="00064A27">
      <w:pPr>
        <w:spacing w:before="120" w:after="120"/>
        <w:rPr>
          <w:rFonts w:cs="Times New Roman"/>
          <w:b/>
          <w:sz w:val="22"/>
          <w:highlight w:val="yellow"/>
        </w:rPr>
      </w:pPr>
    </w:p>
    <w:p w:rsidR="00F36BF9" w:rsidRDefault="00F36BF9" w:rsidP="00F36BF9">
      <w:pPr>
        <w:spacing w:after="0"/>
        <w:rPr>
          <w:rStyle w:val="CaptionChar"/>
        </w:rPr>
        <w:sectPr w:rsidR="00F36BF9" w:rsidSect="00FF16A0">
          <w:headerReference w:type="default" r:id="rId55"/>
          <w:type w:val="continuous"/>
          <w:pgSz w:w="16838" w:h="11906" w:orient="landscape" w:code="9"/>
          <w:pgMar w:top="1418" w:right="1134" w:bottom="851" w:left="1134" w:header="709" w:footer="709" w:gutter="0"/>
          <w:cols w:num="2" w:space="708"/>
          <w:titlePg/>
          <w:docGrid w:linePitch="360"/>
        </w:sectPr>
      </w:pPr>
    </w:p>
    <w:p w:rsidR="00F36BF9" w:rsidRDefault="00F36BF9" w:rsidP="00F36BF9">
      <w:pPr>
        <w:spacing w:after="0"/>
        <w:rPr>
          <w:rStyle w:val="CaptionChar"/>
        </w:rPr>
        <w:sectPr w:rsidR="00F36BF9" w:rsidSect="00FF16A0">
          <w:type w:val="continuous"/>
          <w:pgSz w:w="16838" w:h="11906" w:orient="landscape" w:code="9"/>
          <w:pgMar w:top="1418" w:right="1134" w:bottom="851" w:left="1134" w:header="709" w:footer="709" w:gutter="0"/>
          <w:cols w:space="708"/>
          <w:titlePg/>
          <w:docGrid w:linePitch="360"/>
        </w:sectPr>
      </w:pPr>
    </w:p>
    <w:p w:rsidR="00DB7108" w:rsidRPr="002E3B36" w:rsidRDefault="00574A2C" w:rsidP="00F36BF9">
      <w:pPr>
        <w:spacing w:after="0"/>
        <w:rPr>
          <w:rFonts w:eastAsia="Times New Roman"/>
          <w:sz w:val="22"/>
        </w:rPr>
      </w:pPr>
      <w:r w:rsidRPr="00DB7108">
        <w:rPr>
          <w:rStyle w:val="CaptionChar"/>
          <w:sz w:val="22"/>
          <w:szCs w:val="22"/>
        </w:rPr>
        <w:t>Г</w:t>
      </w:r>
      <w:r w:rsidR="008F74EC" w:rsidRPr="00DB7108">
        <w:rPr>
          <w:rStyle w:val="CaptionChar"/>
          <w:sz w:val="22"/>
          <w:szCs w:val="22"/>
        </w:rPr>
        <w:t>раф.</w:t>
      </w:r>
      <w:r w:rsidRPr="00DB7108">
        <w:rPr>
          <w:rStyle w:val="CaptionChar"/>
          <w:sz w:val="22"/>
          <w:szCs w:val="22"/>
        </w:rPr>
        <w:t xml:space="preserve">: Основни разходни показатели по КФП </w:t>
      </w:r>
      <w:r w:rsidRPr="002E3B36">
        <w:rPr>
          <w:rStyle w:val="CaptionChar"/>
          <w:sz w:val="22"/>
          <w:szCs w:val="22"/>
        </w:rPr>
        <w:t>за 201</w:t>
      </w:r>
      <w:r w:rsidR="002E3B36" w:rsidRPr="002E3B36">
        <w:rPr>
          <w:rStyle w:val="CaptionChar"/>
          <w:sz w:val="22"/>
          <w:szCs w:val="22"/>
        </w:rPr>
        <w:t>7 г. и 2018</w:t>
      </w:r>
      <w:r w:rsidRPr="002E3B36">
        <w:rPr>
          <w:rStyle w:val="CaptionChar"/>
          <w:sz w:val="22"/>
          <w:szCs w:val="22"/>
        </w:rPr>
        <w:t> г</w:t>
      </w:r>
      <w:r w:rsidRPr="002E3B36">
        <w:rPr>
          <w:rFonts w:eastAsia="Times New Roman"/>
          <w:sz w:val="22"/>
        </w:rPr>
        <w:t>.</w:t>
      </w:r>
      <w:r w:rsidR="009C2619" w:rsidRPr="002E3B36">
        <w:rPr>
          <w:rFonts w:eastAsia="Times New Roman"/>
          <w:sz w:val="22"/>
        </w:rPr>
        <w:t xml:space="preserve"> </w:t>
      </w:r>
    </w:p>
    <w:p w:rsidR="00F36BF9" w:rsidRPr="00903869" w:rsidRDefault="008F74EC" w:rsidP="007E1F9D">
      <w:pPr>
        <w:spacing w:after="0"/>
        <w:ind w:firstLine="709"/>
        <w:rPr>
          <w:sz w:val="22"/>
        </w:rPr>
      </w:pPr>
      <w:r w:rsidRPr="002E3B36">
        <w:rPr>
          <w:sz w:val="22"/>
        </w:rPr>
        <w:t>(млн.</w:t>
      </w:r>
      <w:r w:rsidR="00BC56A4" w:rsidRPr="002E3B36">
        <w:rPr>
          <w:sz w:val="22"/>
        </w:rPr>
        <w:t xml:space="preserve"> </w:t>
      </w:r>
      <w:r w:rsidRPr="002E3B36">
        <w:rPr>
          <w:sz w:val="22"/>
        </w:rPr>
        <w:t>лв.)</w:t>
      </w:r>
    </w:p>
    <w:p w:rsidR="00207518" w:rsidRPr="00903869" w:rsidRDefault="00207518" w:rsidP="00F36BF9">
      <w:pPr>
        <w:spacing w:after="0"/>
        <w:rPr>
          <w:sz w:val="22"/>
        </w:rPr>
      </w:pPr>
    </w:p>
    <w:p w:rsidR="00207518" w:rsidRPr="00903869" w:rsidRDefault="00207518" w:rsidP="00F36BF9">
      <w:pPr>
        <w:spacing w:after="0"/>
      </w:pPr>
    </w:p>
    <w:p w:rsidR="00207518" w:rsidRPr="00903869" w:rsidRDefault="00207518" w:rsidP="00F36BF9">
      <w:pPr>
        <w:spacing w:after="0"/>
      </w:pPr>
    </w:p>
    <w:p w:rsidR="001A67A5" w:rsidRPr="00903869" w:rsidRDefault="00207518" w:rsidP="001A67A5">
      <w:pPr>
        <w:spacing w:after="0"/>
        <w:rPr>
          <w:rFonts w:eastAsia="Times New Roman" w:cs="Times New Roman"/>
          <w:bCs/>
          <w:iCs/>
          <w:sz w:val="16"/>
          <w:szCs w:val="16"/>
        </w:rPr>
      </w:pPr>
      <w:r w:rsidRPr="008F74EC">
        <w:rPr>
          <w:noProof/>
        </w:rPr>
        <w:drawing>
          <wp:anchor distT="0" distB="508" distL="114300" distR="114300" simplePos="0" relativeHeight="251650048" behindDoc="0" locked="0" layoutInCell="1" allowOverlap="1" wp14:anchorId="0EF76760" wp14:editId="44457C8E">
            <wp:simplePos x="0" y="0"/>
            <wp:positionH relativeFrom="margin">
              <wp:posOffset>66040</wp:posOffset>
            </wp:positionH>
            <wp:positionV relativeFrom="paragraph">
              <wp:posOffset>35560</wp:posOffset>
            </wp:positionV>
            <wp:extent cx="4381500" cy="2231390"/>
            <wp:effectExtent l="0" t="0" r="0" b="0"/>
            <wp:wrapTopAndBottom/>
            <wp:docPr id="50"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14:sizeRelH relativeFrom="page">
              <wp14:pctWidth>0</wp14:pctWidth>
            </wp14:sizeRelH>
            <wp14:sizeRelV relativeFrom="page">
              <wp14:pctHeight>0</wp14:pctHeight>
            </wp14:sizeRelV>
          </wp:anchor>
        </w:drawing>
      </w:r>
    </w:p>
    <w:p w:rsidR="001A67A5" w:rsidRPr="00AA72E4" w:rsidRDefault="001A67A5" w:rsidP="001A67A5">
      <w:pPr>
        <w:spacing w:after="0"/>
        <w:rPr>
          <w:rFonts w:eastAsia="Times New Roman" w:cs="Times New Roman"/>
          <w:bCs/>
          <w:iCs/>
          <w:sz w:val="16"/>
          <w:szCs w:val="16"/>
        </w:rPr>
      </w:pPr>
      <w:r w:rsidRPr="00AA72E4">
        <w:rPr>
          <w:rFonts w:eastAsia="Times New Roman" w:cs="Times New Roman"/>
          <w:bCs/>
          <w:iCs/>
          <w:sz w:val="16"/>
          <w:szCs w:val="16"/>
        </w:rPr>
        <w:t>*</w:t>
      </w:r>
      <w:r w:rsidRPr="00903869">
        <w:rPr>
          <w:rFonts w:eastAsia="Times New Roman" w:cs="Times New Roman"/>
          <w:bCs/>
          <w:iCs/>
          <w:sz w:val="16"/>
          <w:szCs w:val="16"/>
        </w:rPr>
        <w:t xml:space="preserve"> </w:t>
      </w:r>
      <w:r>
        <w:rPr>
          <w:rFonts w:eastAsia="Times New Roman" w:cs="Times New Roman"/>
          <w:bCs/>
          <w:iCs/>
          <w:sz w:val="16"/>
          <w:szCs w:val="16"/>
        </w:rPr>
        <w:t xml:space="preserve">  </w:t>
      </w:r>
      <w:r w:rsidRPr="00AA72E4">
        <w:rPr>
          <w:rFonts w:eastAsia="Times New Roman" w:cs="Times New Roman"/>
          <w:bCs/>
          <w:iCs/>
          <w:sz w:val="16"/>
          <w:szCs w:val="16"/>
        </w:rPr>
        <w:t xml:space="preserve">Вкл. </w:t>
      </w:r>
      <w:r w:rsidRPr="00903869">
        <w:rPr>
          <w:rFonts w:eastAsia="Times New Roman" w:cs="Times New Roman"/>
          <w:bCs/>
          <w:iCs/>
          <w:sz w:val="16"/>
          <w:szCs w:val="16"/>
        </w:rPr>
        <w:t xml:space="preserve"> </w:t>
      </w:r>
      <w:r>
        <w:rPr>
          <w:rFonts w:eastAsia="Times New Roman" w:cs="Times New Roman"/>
          <w:bCs/>
          <w:iCs/>
          <w:sz w:val="16"/>
          <w:szCs w:val="16"/>
        </w:rPr>
        <w:t>Предоставени текущи и капиталови трансфери за чужбина</w:t>
      </w:r>
    </w:p>
    <w:p w:rsidR="001A67A5" w:rsidRPr="00AA72E4" w:rsidRDefault="001A67A5" w:rsidP="001A67A5">
      <w:pPr>
        <w:spacing w:after="0"/>
        <w:rPr>
          <w:rFonts w:eastAsia="Times New Roman" w:cs="Times New Roman"/>
          <w:bCs/>
          <w:iCs/>
          <w:sz w:val="16"/>
          <w:szCs w:val="16"/>
        </w:rPr>
      </w:pPr>
      <w:r w:rsidRPr="00AA72E4">
        <w:rPr>
          <w:rFonts w:eastAsia="Times New Roman" w:cs="Times New Roman"/>
          <w:bCs/>
          <w:iCs/>
          <w:sz w:val="16"/>
          <w:szCs w:val="16"/>
        </w:rPr>
        <w:t>*</w:t>
      </w:r>
      <w:r w:rsidRPr="00903869">
        <w:rPr>
          <w:rFonts w:eastAsia="Times New Roman" w:cs="Times New Roman"/>
          <w:bCs/>
          <w:iCs/>
          <w:sz w:val="16"/>
          <w:szCs w:val="16"/>
        </w:rPr>
        <w:t>*</w:t>
      </w:r>
      <w:r>
        <w:rPr>
          <w:rFonts w:eastAsia="Times New Roman" w:cs="Times New Roman"/>
          <w:bCs/>
          <w:iCs/>
          <w:sz w:val="16"/>
          <w:szCs w:val="16"/>
        </w:rPr>
        <w:t xml:space="preserve"> </w:t>
      </w:r>
      <w:r w:rsidRPr="00AA72E4">
        <w:rPr>
          <w:rFonts w:eastAsia="Times New Roman" w:cs="Times New Roman"/>
          <w:bCs/>
          <w:iCs/>
          <w:sz w:val="16"/>
          <w:szCs w:val="16"/>
        </w:rPr>
        <w:t xml:space="preserve">Вкл. </w:t>
      </w:r>
      <w:r>
        <w:rPr>
          <w:rFonts w:eastAsia="Times New Roman" w:cs="Times New Roman"/>
          <w:bCs/>
          <w:iCs/>
          <w:sz w:val="16"/>
          <w:szCs w:val="16"/>
        </w:rPr>
        <w:t xml:space="preserve"> Н</w:t>
      </w:r>
      <w:r w:rsidRPr="00AA72E4">
        <w:rPr>
          <w:rFonts w:eastAsia="Times New Roman" w:cs="Times New Roman"/>
          <w:bCs/>
          <w:iCs/>
          <w:sz w:val="16"/>
          <w:szCs w:val="16"/>
        </w:rPr>
        <w:t>етен прираст на държавния резерв</w:t>
      </w:r>
    </w:p>
    <w:p w:rsidR="009C2619" w:rsidRDefault="009C2619" w:rsidP="00E64CE8">
      <w:pPr>
        <w:autoSpaceDE w:val="0"/>
        <w:autoSpaceDN w:val="0"/>
        <w:adjustRightInd w:val="0"/>
        <w:spacing w:after="120" w:line="276" w:lineRule="auto"/>
        <w:jc w:val="left"/>
        <w:rPr>
          <w:rFonts w:eastAsia="Batang"/>
          <w:b/>
          <w:bCs/>
          <w:i/>
          <w:color w:val="943634"/>
          <w:szCs w:val="24"/>
        </w:rPr>
      </w:pPr>
    </w:p>
    <w:p w:rsidR="00574A2C" w:rsidRPr="009D2915" w:rsidRDefault="00574A2C" w:rsidP="00E64CE8">
      <w:pPr>
        <w:autoSpaceDE w:val="0"/>
        <w:autoSpaceDN w:val="0"/>
        <w:adjustRightInd w:val="0"/>
        <w:spacing w:after="120" w:line="276" w:lineRule="auto"/>
        <w:jc w:val="left"/>
        <w:rPr>
          <w:rFonts w:eastAsia="Batang"/>
          <w:b/>
          <w:bCs/>
          <w:i/>
          <w:color w:val="943634"/>
          <w:szCs w:val="24"/>
        </w:rPr>
      </w:pPr>
      <w:r w:rsidRPr="009D2915">
        <w:rPr>
          <w:rFonts w:eastAsia="Batang"/>
          <w:b/>
          <w:bCs/>
          <w:i/>
          <w:color w:val="943634"/>
          <w:szCs w:val="24"/>
        </w:rPr>
        <w:t>Разходи по държавния бюджет, бюджетите на социалноосигурителните фондове и бюджетите на общините</w:t>
      </w:r>
    </w:p>
    <w:p w:rsidR="00574A2C" w:rsidRPr="00D10242" w:rsidRDefault="00574A2C" w:rsidP="00B21B45">
      <w:pPr>
        <w:numPr>
          <w:ilvl w:val="0"/>
          <w:numId w:val="2"/>
        </w:numPr>
        <w:autoSpaceDE w:val="0"/>
        <w:autoSpaceDN w:val="0"/>
        <w:adjustRightInd w:val="0"/>
        <w:spacing w:after="120" w:line="276" w:lineRule="auto"/>
        <w:ind w:left="426" w:hanging="426"/>
        <w:rPr>
          <w:rFonts w:eastAsia="Batang"/>
          <w:b/>
          <w:bCs/>
          <w:color w:val="943634"/>
          <w:szCs w:val="24"/>
        </w:rPr>
      </w:pPr>
      <w:r w:rsidRPr="00D10242">
        <w:rPr>
          <w:rFonts w:eastAsia="Batang"/>
          <w:b/>
          <w:bCs/>
          <w:color w:val="943634"/>
          <w:szCs w:val="24"/>
        </w:rPr>
        <w:t>Държавен бюджет</w:t>
      </w:r>
    </w:p>
    <w:p w:rsidR="00944A40" w:rsidRPr="00944A40" w:rsidRDefault="00944A40" w:rsidP="00944A40">
      <w:pPr>
        <w:autoSpaceDE w:val="0"/>
        <w:autoSpaceDN w:val="0"/>
        <w:adjustRightInd w:val="0"/>
        <w:spacing w:after="120"/>
        <w:rPr>
          <w:rFonts w:eastAsia="Batang"/>
          <w:sz w:val="22"/>
        </w:rPr>
      </w:pPr>
      <w:r w:rsidRPr="00944A40">
        <w:rPr>
          <w:rFonts w:eastAsia="Batang"/>
          <w:sz w:val="22"/>
        </w:rPr>
        <w:t xml:space="preserve">Общият размер на </w:t>
      </w:r>
      <w:r w:rsidRPr="00944A40">
        <w:rPr>
          <w:rFonts w:eastAsia="Batang"/>
          <w:b/>
          <w:sz w:val="22"/>
        </w:rPr>
        <w:t>разходите по държавния бюджет</w:t>
      </w:r>
      <w:r w:rsidRPr="00944A40">
        <w:rPr>
          <w:rFonts w:eastAsia="Batang"/>
          <w:sz w:val="22"/>
        </w:rPr>
        <w:t xml:space="preserve"> (вкл. трансферите за др. бюджети и вноската в бюджета на ЕС) за 2018 г. е </w:t>
      </w:r>
      <w:r w:rsidRPr="00944A40">
        <w:rPr>
          <w:rFonts w:eastAsia="Batang"/>
          <w:b/>
          <w:sz w:val="22"/>
        </w:rPr>
        <w:t>23 820,6 млн. лв.</w:t>
      </w:r>
      <w:r>
        <w:rPr>
          <w:rFonts w:eastAsia="Batang"/>
          <w:sz w:val="22"/>
        </w:rPr>
        <w:t xml:space="preserve"> или 98,7</w:t>
      </w:r>
      <w:r w:rsidRPr="00944A40">
        <w:rPr>
          <w:rFonts w:eastAsia="Batang"/>
          <w:sz w:val="22"/>
        </w:rPr>
        <w:t>% от предвидените със ЗДБРБ за 2018 година.</w:t>
      </w:r>
    </w:p>
    <w:p w:rsidR="00944A40" w:rsidRPr="00E22A97" w:rsidRDefault="00944A40" w:rsidP="00944A40">
      <w:pPr>
        <w:autoSpaceDE w:val="0"/>
        <w:autoSpaceDN w:val="0"/>
        <w:adjustRightInd w:val="0"/>
        <w:spacing w:after="120"/>
        <w:rPr>
          <w:rFonts w:eastAsia="Batang"/>
          <w:bCs/>
          <w:sz w:val="22"/>
          <w:lang w:val="ru-RU"/>
        </w:rPr>
      </w:pPr>
      <w:r w:rsidRPr="00944A40">
        <w:rPr>
          <w:rFonts w:eastAsia="Batang"/>
          <w:b/>
          <w:bCs/>
          <w:i/>
          <w:sz w:val="22"/>
        </w:rPr>
        <w:t>Нелихвените разходи</w:t>
      </w:r>
      <w:r w:rsidRPr="00944A40">
        <w:rPr>
          <w:rFonts w:eastAsia="Batang"/>
          <w:bCs/>
          <w:sz w:val="22"/>
        </w:rPr>
        <w:t xml:space="preserve"> по държавния бюджет (без трансферите за др. бюджети) за 2018</w:t>
      </w:r>
      <w:r w:rsidRPr="00944A40">
        <w:rPr>
          <w:rFonts w:eastAsia="Batang"/>
          <w:bCs/>
          <w:sz w:val="22"/>
          <w:lang w:val="en-US"/>
        </w:rPr>
        <w:t> </w:t>
      </w:r>
      <w:r w:rsidRPr="00944A40">
        <w:rPr>
          <w:rFonts w:eastAsia="Batang"/>
          <w:bCs/>
          <w:sz w:val="22"/>
        </w:rPr>
        <w:t xml:space="preserve">г. са в размер на </w:t>
      </w:r>
      <w:r w:rsidRPr="00944A40">
        <w:rPr>
          <w:rFonts w:eastAsia="Batang"/>
          <w:b/>
          <w:bCs/>
          <w:i/>
          <w:sz w:val="22"/>
        </w:rPr>
        <w:t>11 050,0 млн. лв</w:t>
      </w:r>
      <w:r w:rsidRPr="00944A40">
        <w:rPr>
          <w:rFonts w:eastAsia="Batang"/>
          <w:bCs/>
          <w:i/>
          <w:sz w:val="22"/>
        </w:rPr>
        <w:t>.,</w:t>
      </w:r>
      <w:r w:rsidRPr="00944A40">
        <w:rPr>
          <w:rFonts w:eastAsia="Batang"/>
          <w:bCs/>
          <w:sz w:val="22"/>
        </w:rPr>
        <w:t xml:space="preserve"> което представлява 98,3% от годишния разчет. Съпоставени с данните за 2017 г., нелихвените разходи нарастват с 1 509,0 млн. лв. (15,8%). </w:t>
      </w:r>
    </w:p>
    <w:p w:rsidR="00944A40" w:rsidRPr="00944A40" w:rsidRDefault="00944A40" w:rsidP="00944A40">
      <w:pPr>
        <w:autoSpaceDE w:val="0"/>
        <w:autoSpaceDN w:val="0"/>
        <w:adjustRightInd w:val="0"/>
        <w:spacing w:after="120"/>
        <w:rPr>
          <w:rFonts w:eastAsia="Batang"/>
          <w:bCs/>
          <w:sz w:val="22"/>
        </w:rPr>
      </w:pPr>
      <w:r w:rsidRPr="00944A40">
        <w:rPr>
          <w:rFonts w:eastAsia="Batang"/>
          <w:bCs/>
          <w:sz w:val="22"/>
        </w:rPr>
        <w:t xml:space="preserve">Разходите за </w:t>
      </w:r>
      <w:r w:rsidRPr="00944A40">
        <w:rPr>
          <w:rFonts w:eastAsia="Batang"/>
          <w:bCs/>
          <w:i/>
          <w:sz w:val="22"/>
        </w:rPr>
        <w:t>персонал</w:t>
      </w:r>
      <w:r w:rsidRPr="00944A40">
        <w:rPr>
          <w:rFonts w:eastAsia="Batang"/>
          <w:bCs/>
          <w:sz w:val="22"/>
        </w:rPr>
        <w:t xml:space="preserve"> (заплати и възнаграждения, други възнаграждения и плащания за персонала и осигурителни вноски) са в общ размер на </w:t>
      </w:r>
      <w:r w:rsidR="00A86766">
        <w:rPr>
          <w:rFonts w:eastAsia="Batang"/>
          <w:bCs/>
          <w:sz w:val="22"/>
        </w:rPr>
        <w:t xml:space="preserve">                 4 637,7 млн. лв. или 100,6</w:t>
      </w:r>
      <w:r w:rsidRPr="00944A40">
        <w:rPr>
          <w:rFonts w:eastAsia="Batang"/>
          <w:bCs/>
          <w:sz w:val="22"/>
        </w:rPr>
        <w:t xml:space="preserve">% спрямо планираните за 2018 г. Разходите за </w:t>
      </w:r>
      <w:r w:rsidRPr="00944A40">
        <w:rPr>
          <w:rFonts w:eastAsia="Batang"/>
          <w:bCs/>
          <w:i/>
          <w:sz w:val="22"/>
        </w:rPr>
        <w:t>издръжка</w:t>
      </w:r>
      <w:r w:rsidRPr="00944A40">
        <w:rPr>
          <w:rFonts w:eastAsia="Batang"/>
          <w:bCs/>
          <w:sz w:val="22"/>
        </w:rPr>
        <w:t xml:space="preserve"> (вкл. разходи за членски внос и участие в нетърговски организации и дейности и платени данъци, такси и административни санкции) са в разм</w:t>
      </w:r>
      <w:r w:rsidR="00A86766">
        <w:rPr>
          <w:rFonts w:eastAsia="Batang"/>
          <w:bCs/>
          <w:sz w:val="22"/>
        </w:rPr>
        <w:t>ер на 2 000,2 млн. лв. или 90,0</w:t>
      </w:r>
      <w:r w:rsidRPr="00944A40">
        <w:rPr>
          <w:rFonts w:eastAsia="Batang"/>
          <w:bCs/>
          <w:sz w:val="22"/>
        </w:rPr>
        <w:t xml:space="preserve">% от планираните за годината. </w:t>
      </w:r>
      <w:r w:rsidRPr="00944A40">
        <w:rPr>
          <w:rFonts w:eastAsia="Batang"/>
          <w:bCs/>
          <w:i/>
          <w:sz w:val="22"/>
        </w:rPr>
        <w:t>Социалните разходи</w:t>
      </w:r>
      <w:r w:rsidRPr="00944A40">
        <w:rPr>
          <w:rFonts w:eastAsia="Batang"/>
          <w:bCs/>
          <w:sz w:val="22"/>
        </w:rPr>
        <w:t xml:space="preserve"> (вкл. разходите за стипендии) са в размер на 959,7 млн. </w:t>
      </w:r>
      <w:r w:rsidR="00A86766">
        <w:rPr>
          <w:rFonts w:eastAsia="Batang"/>
          <w:bCs/>
          <w:sz w:val="22"/>
        </w:rPr>
        <w:t>лв. или 84,4</w:t>
      </w:r>
      <w:r w:rsidRPr="00944A40">
        <w:rPr>
          <w:rFonts w:eastAsia="Batang"/>
          <w:bCs/>
          <w:sz w:val="22"/>
        </w:rPr>
        <w:t xml:space="preserve">% от предвидените за годината и са основно разходи по бюджета на МТСП за помощи по Закона за социално подпомагане, Закона за интеграция на хората с увреждания, Закона за семейни помощи за деца и др. Разходите за </w:t>
      </w:r>
      <w:r w:rsidRPr="00944A40">
        <w:rPr>
          <w:rFonts w:eastAsia="Batang"/>
          <w:bCs/>
          <w:i/>
          <w:sz w:val="22"/>
        </w:rPr>
        <w:t xml:space="preserve">субсидии </w:t>
      </w:r>
      <w:r w:rsidRPr="00944A40">
        <w:rPr>
          <w:rFonts w:eastAsia="Batang"/>
          <w:bCs/>
          <w:sz w:val="22"/>
        </w:rPr>
        <w:t>са в раз</w:t>
      </w:r>
      <w:r w:rsidR="00A86766">
        <w:rPr>
          <w:rFonts w:eastAsia="Batang"/>
          <w:bCs/>
          <w:sz w:val="22"/>
        </w:rPr>
        <w:t>мер на 939,9 млн. лв. или 101,6</w:t>
      </w:r>
      <w:r w:rsidRPr="00944A40">
        <w:rPr>
          <w:rFonts w:eastAsia="Batang"/>
          <w:bCs/>
          <w:sz w:val="22"/>
        </w:rPr>
        <w:t>% спрямо планираните за годината. От тях 174,4 млн. лв. са субсидиите за „БДЖ – Пътнически превози</w:t>
      </w:r>
      <w:r w:rsidR="00B26DE1">
        <w:rPr>
          <w:rFonts w:eastAsia="Batang"/>
          <w:bCs/>
          <w:sz w:val="22"/>
        </w:rPr>
        <w:t>“</w:t>
      </w:r>
      <w:r w:rsidRPr="00944A40">
        <w:rPr>
          <w:rFonts w:eastAsia="Batang"/>
          <w:bCs/>
          <w:sz w:val="22"/>
        </w:rPr>
        <w:t xml:space="preserve"> ЕООД; 145,96 млн. лв. (в т. ч. 0,96 млн. лв. за предотвратяване, овладяване и преодоляване на последиците от бедствия) са субсидиите за Национална компания „Железопътна инфраструктура</w:t>
      </w:r>
      <w:r w:rsidR="00B26DE1">
        <w:rPr>
          <w:rFonts w:eastAsia="Batang"/>
          <w:bCs/>
          <w:sz w:val="22"/>
        </w:rPr>
        <w:t>“</w:t>
      </w:r>
      <w:r w:rsidRPr="00944A40">
        <w:rPr>
          <w:rFonts w:eastAsia="Batang"/>
          <w:bCs/>
          <w:sz w:val="22"/>
        </w:rPr>
        <w:t xml:space="preserve"> и 17,6 млн. лв. за „Български пощи” ЕАД. През 2018 г. ДФ „Земеделие“ e изплатил субсидии в общ размер на 281,0 млн. лв., от които 127,0 млн. лв. държавна помощ, 64,7 млн. лв. преходна национална помощ за сектор „Животновъдство“, 84,4 млн. лв. преходна национална помощ за тютюн и 3,9 млн. лв. средства за ДДС по схеми „Училищен плод“ и „Училищно мляко“. </w:t>
      </w:r>
      <w:r w:rsidRPr="00944A40">
        <w:rPr>
          <w:rFonts w:eastAsia="Batang"/>
          <w:bCs/>
          <w:i/>
          <w:sz w:val="22"/>
        </w:rPr>
        <w:t>Предоставените текущи и капиталови трансфери за чужбина</w:t>
      </w:r>
      <w:r w:rsidRPr="00944A40">
        <w:rPr>
          <w:rFonts w:eastAsia="Batang"/>
          <w:bCs/>
          <w:sz w:val="22"/>
        </w:rPr>
        <w:t xml:space="preserve"> са в размер на 20,1 млн. лв. при планирани с разчетите к</w:t>
      </w:r>
      <w:r w:rsidR="008A1F07">
        <w:rPr>
          <w:rFonts w:eastAsia="Batang"/>
          <w:bCs/>
          <w:sz w:val="22"/>
        </w:rPr>
        <w:t>ъм ЗДБРБ за 2018 г. 14,4 млн. лв</w:t>
      </w:r>
      <w:r w:rsidRPr="00944A40">
        <w:rPr>
          <w:rFonts w:eastAsia="Batang"/>
          <w:bCs/>
          <w:sz w:val="22"/>
        </w:rPr>
        <w:t xml:space="preserve">. </w:t>
      </w:r>
      <w:r w:rsidRPr="00944A40">
        <w:rPr>
          <w:rFonts w:eastAsia="Batang"/>
          <w:bCs/>
          <w:i/>
          <w:sz w:val="22"/>
        </w:rPr>
        <w:t>Капиталовите разходи</w:t>
      </w:r>
      <w:r w:rsidRPr="00944A40">
        <w:rPr>
          <w:rFonts w:eastAsia="Batang"/>
          <w:bCs/>
          <w:sz w:val="22"/>
        </w:rPr>
        <w:t xml:space="preserve"> </w:t>
      </w:r>
      <w:r w:rsidRPr="00E22A97">
        <w:rPr>
          <w:rFonts w:eastAsia="Batang"/>
          <w:bCs/>
          <w:sz w:val="22"/>
          <w:lang w:val="ru-RU"/>
        </w:rPr>
        <w:t>(</w:t>
      </w:r>
      <w:r w:rsidRPr="00944A40">
        <w:rPr>
          <w:rFonts w:eastAsia="Batang"/>
          <w:bCs/>
          <w:sz w:val="22"/>
        </w:rPr>
        <w:t>вкл. нетния прираст на държавния резерв)</w:t>
      </w:r>
      <w:r w:rsidRPr="00944A40">
        <w:rPr>
          <w:rFonts w:eastAsia="Batang"/>
          <w:bCs/>
          <w:i/>
          <w:sz w:val="22"/>
        </w:rPr>
        <w:t xml:space="preserve"> </w:t>
      </w:r>
      <w:r w:rsidR="008A1F07">
        <w:rPr>
          <w:rFonts w:eastAsia="Batang"/>
          <w:bCs/>
          <w:sz w:val="22"/>
        </w:rPr>
        <w:t>възлизат на 2 492,4 млн. лв</w:t>
      </w:r>
      <w:r w:rsidRPr="00E22A97">
        <w:rPr>
          <w:rFonts w:eastAsia="Batang"/>
          <w:bCs/>
          <w:sz w:val="22"/>
          <w:lang w:val="ru-RU"/>
        </w:rPr>
        <w:t>.</w:t>
      </w:r>
    </w:p>
    <w:p w:rsidR="00944A40" w:rsidRPr="00944A40" w:rsidRDefault="00944A40" w:rsidP="00944A40">
      <w:pPr>
        <w:autoSpaceDE w:val="0"/>
        <w:autoSpaceDN w:val="0"/>
        <w:adjustRightInd w:val="0"/>
        <w:spacing w:after="120"/>
        <w:rPr>
          <w:rFonts w:eastAsia="Batang"/>
          <w:bCs/>
          <w:sz w:val="22"/>
        </w:rPr>
      </w:pPr>
      <w:r w:rsidRPr="00944A40">
        <w:rPr>
          <w:rFonts w:eastAsia="Batang"/>
          <w:b/>
          <w:bCs/>
          <w:i/>
          <w:sz w:val="22"/>
        </w:rPr>
        <w:t xml:space="preserve">Лихвените плащания </w:t>
      </w:r>
      <w:r w:rsidRPr="00944A40">
        <w:rPr>
          <w:rFonts w:eastAsia="Batang"/>
          <w:bCs/>
          <w:sz w:val="22"/>
        </w:rPr>
        <w:t xml:space="preserve">по държавния бюджет за 2018 г. са в общ размер на </w:t>
      </w:r>
      <w:r w:rsidRPr="00944A40">
        <w:rPr>
          <w:rFonts w:eastAsia="Batang"/>
          <w:b/>
          <w:i/>
          <w:sz w:val="22"/>
        </w:rPr>
        <w:t>649,8 млн. лв</w:t>
      </w:r>
      <w:r w:rsidRPr="00944A40">
        <w:rPr>
          <w:rFonts w:eastAsia="Batang"/>
          <w:i/>
          <w:sz w:val="22"/>
        </w:rPr>
        <w:t>.</w:t>
      </w:r>
      <w:r w:rsidRPr="00944A40">
        <w:rPr>
          <w:rFonts w:eastAsia="Batang"/>
          <w:sz w:val="22"/>
        </w:rPr>
        <w:t xml:space="preserve"> или 95,0% от предвидените в годишните разчети.</w:t>
      </w:r>
    </w:p>
    <w:p w:rsidR="00944A40" w:rsidRDefault="00944A40" w:rsidP="00944A40">
      <w:pPr>
        <w:autoSpaceDE w:val="0"/>
        <w:autoSpaceDN w:val="0"/>
        <w:adjustRightInd w:val="0"/>
        <w:spacing w:after="120"/>
        <w:rPr>
          <w:rFonts w:eastAsia="Batang"/>
          <w:b/>
          <w:bCs/>
          <w:sz w:val="22"/>
        </w:rPr>
      </w:pPr>
      <w:r w:rsidRPr="00944A40">
        <w:rPr>
          <w:rFonts w:eastAsia="Batang"/>
          <w:bCs/>
          <w:sz w:val="22"/>
        </w:rPr>
        <w:t xml:space="preserve">Нетният размер на </w:t>
      </w:r>
      <w:r w:rsidRPr="00944A40">
        <w:rPr>
          <w:rFonts w:eastAsia="Batang"/>
          <w:b/>
          <w:bCs/>
          <w:sz w:val="22"/>
        </w:rPr>
        <w:t xml:space="preserve">трансферите </w:t>
      </w:r>
      <w:r w:rsidRPr="00944A40">
        <w:rPr>
          <w:rFonts w:eastAsia="Batang"/>
          <w:bCs/>
          <w:sz w:val="22"/>
        </w:rPr>
        <w:t xml:space="preserve">по държавния бюджет за 2018 г. е </w:t>
      </w:r>
      <w:r w:rsidR="008A1F07">
        <w:rPr>
          <w:rFonts w:eastAsia="Batang"/>
          <w:b/>
          <w:bCs/>
          <w:sz w:val="22"/>
        </w:rPr>
        <w:t>11 037,4 млн. л</w:t>
      </w:r>
      <w:r w:rsidRPr="00944A40">
        <w:rPr>
          <w:rFonts w:eastAsia="Batang"/>
          <w:b/>
          <w:bCs/>
          <w:sz w:val="22"/>
        </w:rPr>
        <w:t>в.</w:t>
      </w:r>
    </w:p>
    <w:p w:rsidR="00B26DE1" w:rsidRDefault="00B26DE1" w:rsidP="00944A40">
      <w:pPr>
        <w:autoSpaceDE w:val="0"/>
        <w:autoSpaceDN w:val="0"/>
        <w:adjustRightInd w:val="0"/>
        <w:spacing w:after="120"/>
        <w:rPr>
          <w:rFonts w:eastAsia="Batang"/>
          <w:b/>
          <w:bCs/>
          <w:sz w:val="22"/>
        </w:rPr>
      </w:pPr>
    </w:p>
    <w:p w:rsidR="00B26DE1" w:rsidRPr="00944A40" w:rsidRDefault="00B26DE1" w:rsidP="00944A40">
      <w:pPr>
        <w:autoSpaceDE w:val="0"/>
        <w:autoSpaceDN w:val="0"/>
        <w:adjustRightInd w:val="0"/>
        <w:spacing w:after="120"/>
        <w:rPr>
          <w:rFonts w:eastAsia="Batang"/>
          <w:bCs/>
          <w:sz w:val="22"/>
        </w:rPr>
      </w:pPr>
    </w:p>
    <w:p w:rsidR="00806F12" w:rsidRPr="00903869" w:rsidRDefault="00806F12" w:rsidP="005566BC">
      <w:pPr>
        <w:autoSpaceDE w:val="0"/>
        <w:autoSpaceDN w:val="0"/>
        <w:adjustRightInd w:val="0"/>
        <w:spacing w:after="120"/>
        <w:rPr>
          <w:rFonts w:eastAsia="Batang"/>
        </w:rPr>
      </w:pPr>
    </w:p>
    <w:p w:rsidR="00207518" w:rsidRPr="008F0A44" w:rsidRDefault="00574A2C" w:rsidP="008F0A44">
      <w:pPr>
        <w:numPr>
          <w:ilvl w:val="0"/>
          <w:numId w:val="2"/>
        </w:numPr>
        <w:autoSpaceDE w:val="0"/>
        <w:autoSpaceDN w:val="0"/>
        <w:adjustRightInd w:val="0"/>
        <w:spacing w:after="120" w:line="276" w:lineRule="auto"/>
        <w:ind w:left="426" w:hanging="426"/>
        <w:rPr>
          <w:rFonts w:eastAsia="Batang"/>
          <w:b/>
          <w:bCs/>
          <w:color w:val="943634"/>
          <w:szCs w:val="24"/>
        </w:rPr>
      </w:pPr>
      <w:r w:rsidRPr="009D2915">
        <w:rPr>
          <w:rFonts w:eastAsia="Batang"/>
          <w:b/>
          <w:bCs/>
          <w:color w:val="943634"/>
          <w:szCs w:val="24"/>
        </w:rPr>
        <w:t>Разходи по бюджетите на социалноосигурителните фондове</w:t>
      </w:r>
    </w:p>
    <w:p w:rsidR="001A439C" w:rsidRDefault="001A439C" w:rsidP="002425D0">
      <w:pPr>
        <w:autoSpaceDE w:val="0"/>
        <w:autoSpaceDN w:val="0"/>
        <w:adjustRightInd w:val="0"/>
        <w:spacing w:after="120"/>
        <w:rPr>
          <w:rFonts w:eastAsia="Batang" w:cs="Times New Roman"/>
          <w:bCs/>
          <w:sz w:val="22"/>
          <w:highlight w:val="yellow"/>
        </w:rPr>
      </w:pPr>
      <w:r w:rsidRPr="001A439C">
        <w:rPr>
          <w:rFonts w:eastAsia="Batang" w:cs="Times New Roman"/>
          <w:bCs/>
          <w:sz w:val="22"/>
        </w:rPr>
        <w:t>Извършените разходи по бюджетите на социално и здравноосигурителните фондове (НОИ, НЗОК, УПФ и ФГВРС) за 2018 г. са в размер на 15 061,2 млн</w:t>
      </w:r>
      <w:r>
        <w:rPr>
          <w:rFonts w:eastAsia="Batang" w:cs="Times New Roman"/>
          <w:bCs/>
          <w:sz w:val="22"/>
        </w:rPr>
        <w:t>. лв., което представлява 100,7</w:t>
      </w:r>
      <w:r w:rsidRPr="001A439C">
        <w:rPr>
          <w:rFonts w:eastAsia="Batang" w:cs="Times New Roman"/>
          <w:bCs/>
          <w:sz w:val="22"/>
        </w:rPr>
        <w:t>% спрямо разчета за годината, в т.ч. пенсии, помощи и обезщетения по КСО в размер на 11 142,8 млн. лв. и здравноосигурителни плащ</w:t>
      </w:r>
      <w:r w:rsidR="008A1F07">
        <w:rPr>
          <w:rFonts w:eastAsia="Batang" w:cs="Times New Roman"/>
          <w:bCs/>
          <w:sz w:val="22"/>
        </w:rPr>
        <w:t>ания в размер на 3 757,8 млн. лв</w:t>
      </w:r>
      <w:r w:rsidRPr="001A439C">
        <w:rPr>
          <w:rFonts w:eastAsia="Batang" w:cs="Times New Roman"/>
          <w:bCs/>
          <w:sz w:val="22"/>
        </w:rPr>
        <w:t>. Превишението на разчета за годината се дължи на увеличението на пенсиите от юли 2018 г., на изплатените т.нар. великденска и коледна добавка към пенсиите на пенсионерите с най-ниски пенсии, на одобрените за сметка на преизпълнението на приходите от здравно-осигурителни вноски допълнителни разходи по бюджета на НЗОК и други.</w:t>
      </w:r>
    </w:p>
    <w:p w:rsidR="00574A2C" w:rsidRPr="008F0A44" w:rsidRDefault="00574A2C" w:rsidP="008F0A44">
      <w:pPr>
        <w:numPr>
          <w:ilvl w:val="0"/>
          <w:numId w:val="2"/>
        </w:numPr>
        <w:autoSpaceDE w:val="0"/>
        <w:autoSpaceDN w:val="0"/>
        <w:adjustRightInd w:val="0"/>
        <w:spacing w:after="120" w:line="276" w:lineRule="auto"/>
        <w:ind w:left="426" w:hanging="426"/>
        <w:rPr>
          <w:rFonts w:eastAsia="Batang"/>
          <w:b/>
          <w:bCs/>
          <w:color w:val="943634"/>
          <w:szCs w:val="24"/>
        </w:rPr>
      </w:pPr>
      <w:r w:rsidRPr="008F0A44">
        <w:rPr>
          <w:rFonts w:eastAsia="Batang"/>
          <w:b/>
          <w:bCs/>
          <w:color w:val="943634"/>
          <w:szCs w:val="24"/>
        </w:rPr>
        <w:t>Разходи по бюджетите на общините</w:t>
      </w:r>
    </w:p>
    <w:p w:rsidR="001A439C" w:rsidRPr="00726889" w:rsidRDefault="001A439C" w:rsidP="001A439C">
      <w:pPr>
        <w:autoSpaceDE w:val="0"/>
        <w:autoSpaceDN w:val="0"/>
        <w:adjustRightInd w:val="0"/>
        <w:spacing w:after="120"/>
        <w:rPr>
          <w:rFonts w:eastAsia="Batang"/>
          <w:sz w:val="22"/>
        </w:rPr>
      </w:pPr>
      <w:r w:rsidRPr="00726889">
        <w:rPr>
          <w:rFonts w:eastAsia="Batang"/>
          <w:bCs/>
          <w:sz w:val="22"/>
        </w:rPr>
        <w:t>Извършените разходи по общинските бюджети, включително и за сметка на предоставените целеви трансфери от други бюджети са в размер на 6 20</w:t>
      </w:r>
      <w:r w:rsidRPr="00E22A97">
        <w:rPr>
          <w:rFonts w:eastAsia="Batang"/>
          <w:bCs/>
          <w:sz w:val="22"/>
          <w:lang w:val="ru-RU"/>
        </w:rPr>
        <w:t>5</w:t>
      </w:r>
      <w:r w:rsidRPr="00726889">
        <w:rPr>
          <w:rFonts w:eastAsia="Batang"/>
          <w:bCs/>
          <w:sz w:val="22"/>
        </w:rPr>
        <w:t>,</w:t>
      </w:r>
      <w:r w:rsidRPr="00E22A97">
        <w:rPr>
          <w:rFonts w:eastAsia="Batang"/>
          <w:bCs/>
          <w:sz w:val="22"/>
          <w:lang w:val="ru-RU"/>
        </w:rPr>
        <w:t>1</w:t>
      </w:r>
      <w:r w:rsidRPr="00726889">
        <w:rPr>
          <w:rFonts w:eastAsia="Batang"/>
          <w:sz w:val="22"/>
        </w:rPr>
        <w:t xml:space="preserve"> млн. лв., които представляват 113,4% спрямо разчетите към ЗДБРБ за 2018 г. Текущите нелихвени разходи възлизат на 5 295,</w:t>
      </w:r>
      <w:r w:rsidRPr="00E22A97">
        <w:rPr>
          <w:rFonts w:eastAsia="Batang"/>
          <w:sz w:val="22"/>
          <w:lang w:val="ru-RU"/>
        </w:rPr>
        <w:t>3</w:t>
      </w:r>
      <w:r w:rsidR="008C7C58">
        <w:rPr>
          <w:rFonts w:eastAsia="Batang"/>
          <w:sz w:val="22"/>
        </w:rPr>
        <w:t> </w:t>
      </w:r>
      <w:r w:rsidRPr="00726889">
        <w:rPr>
          <w:rFonts w:eastAsia="Batang"/>
          <w:sz w:val="22"/>
        </w:rPr>
        <w:t>млн. лв. или 115,1% спрямо годишния разчет. Разходите за персонал (</w:t>
      </w:r>
      <w:r w:rsidRPr="00726889">
        <w:rPr>
          <w:rFonts w:eastAsia="Batang"/>
          <w:bCs/>
          <w:sz w:val="22"/>
        </w:rPr>
        <w:t>заплати и възнаграждения, други възнаграждения и плащания за персонала и осигурителни вноски)</w:t>
      </w:r>
      <w:r w:rsidRPr="00726889">
        <w:rPr>
          <w:rFonts w:eastAsia="Batang"/>
          <w:sz w:val="22"/>
        </w:rPr>
        <w:t xml:space="preserve"> са в размер на 3 064,9 млн. лв. и заемат най-голям относителен дял в текущите нелихвени разходи на общините – 57,9</w:t>
      </w:r>
      <w:r w:rsidR="00726889">
        <w:rPr>
          <w:rFonts w:eastAsia="Batang"/>
          <w:sz w:val="22"/>
        </w:rPr>
        <w:t>%</w:t>
      </w:r>
      <w:r w:rsidRPr="00726889">
        <w:rPr>
          <w:rFonts w:eastAsia="Batang"/>
          <w:sz w:val="22"/>
        </w:rPr>
        <w:t xml:space="preserve">. Разходите за издръжка </w:t>
      </w:r>
      <w:r w:rsidRPr="00726889">
        <w:rPr>
          <w:rFonts w:eastAsia="Batang"/>
          <w:bCs/>
          <w:sz w:val="22"/>
        </w:rPr>
        <w:t>(вкл. разходи за членски внос и участие в нетърговски организации и дейности, платени данъци, такси и административни санкции)</w:t>
      </w:r>
      <w:r w:rsidRPr="00726889">
        <w:rPr>
          <w:rFonts w:eastAsia="Batang"/>
          <w:sz w:val="22"/>
        </w:rPr>
        <w:t xml:space="preserve"> са в размер на 1 853,</w:t>
      </w:r>
      <w:r w:rsidRPr="00E22A97">
        <w:rPr>
          <w:rFonts w:eastAsia="Batang"/>
          <w:sz w:val="22"/>
          <w:lang w:val="ru-RU"/>
        </w:rPr>
        <w:t>0</w:t>
      </w:r>
      <w:r w:rsidRPr="00726889">
        <w:rPr>
          <w:rFonts w:eastAsia="Batang"/>
          <w:sz w:val="22"/>
        </w:rPr>
        <w:t xml:space="preserve"> млн. лв., 11</w:t>
      </w:r>
      <w:r w:rsidRPr="00E22A97">
        <w:rPr>
          <w:rFonts w:eastAsia="Batang"/>
          <w:sz w:val="22"/>
          <w:lang w:val="ru-RU"/>
        </w:rPr>
        <w:t>8</w:t>
      </w:r>
      <w:r w:rsidRPr="00726889">
        <w:rPr>
          <w:rFonts w:eastAsia="Batang"/>
          <w:sz w:val="22"/>
        </w:rPr>
        <w:t>,</w:t>
      </w:r>
      <w:r w:rsidRPr="00E22A97">
        <w:rPr>
          <w:rFonts w:eastAsia="Batang"/>
          <w:sz w:val="22"/>
          <w:lang w:val="ru-RU"/>
        </w:rPr>
        <w:t>6</w:t>
      </w:r>
      <w:r w:rsidRPr="00726889">
        <w:rPr>
          <w:rFonts w:eastAsia="Batang"/>
          <w:sz w:val="22"/>
        </w:rPr>
        <w:t>% спрямо годишния разчет. Разходите за субсидии с</w:t>
      </w:r>
      <w:r w:rsidR="008A1F07">
        <w:rPr>
          <w:rFonts w:eastAsia="Batang"/>
          <w:sz w:val="22"/>
        </w:rPr>
        <w:t>а в размер на 187,4 млн. лв</w:t>
      </w:r>
      <w:r w:rsidRPr="00726889">
        <w:rPr>
          <w:rFonts w:eastAsia="Batang"/>
          <w:sz w:val="22"/>
        </w:rPr>
        <w:t>. Тук се отчитат предоставените от общините субсидии за вътрешноградски и междуселищни превози на транспортните фирми и дружества, които се планират в централния бюджет. Текущите трансфери, обезщетения и помощи за домакинствата са в размер на 171,7</w:t>
      </w:r>
      <w:r w:rsidR="008C7C58">
        <w:rPr>
          <w:rFonts w:eastAsia="Batang"/>
          <w:sz w:val="22"/>
        </w:rPr>
        <w:t> </w:t>
      </w:r>
      <w:r w:rsidRPr="00726889">
        <w:rPr>
          <w:rFonts w:eastAsia="Batang"/>
          <w:sz w:val="22"/>
        </w:rPr>
        <w:t>млн. лв., което е 161,2% спрямо разчетите към ЗДБРБ за 2018 г. Предоставените текущи и капиталови трансфери за чу</w:t>
      </w:r>
      <w:r w:rsidR="008A1F07">
        <w:rPr>
          <w:rFonts w:eastAsia="Batang"/>
          <w:sz w:val="22"/>
        </w:rPr>
        <w:t>жбина са в размер на 0,3 млн. лв</w:t>
      </w:r>
      <w:r w:rsidRPr="00726889">
        <w:rPr>
          <w:rFonts w:eastAsia="Batang"/>
          <w:sz w:val="22"/>
        </w:rPr>
        <w:t>.  Капиталовите разходи са в размер на 87</w:t>
      </w:r>
      <w:r w:rsidRPr="00E22A97">
        <w:rPr>
          <w:rFonts w:eastAsia="Batang"/>
          <w:sz w:val="22"/>
          <w:lang w:val="ru-RU"/>
        </w:rPr>
        <w:t>1</w:t>
      </w:r>
      <w:r w:rsidRPr="00726889">
        <w:rPr>
          <w:rFonts w:eastAsia="Batang"/>
          <w:sz w:val="22"/>
        </w:rPr>
        <w:t>,</w:t>
      </w:r>
      <w:r w:rsidRPr="00E22A97">
        <w:rPr>
          <w:rFonts w:eastAsia="Batang"/>
          <w:sz w:val="22"/>
          <w:lang w:val="ru-RU"/>
        </w:rPr>
        <w:t>7</w:t>
      </w:r>
      <w:r w:rsidRPr="00726889">
        <w:rPr>
          <w:rFonts w:eastAsia="Batang"/>
          <w:sz w:val="22"/>
        </w:rPr>
        <w:t> млн. лв. или 104,</w:t>
      </w:r>
      <w:r w:rsidRPr="00E22A97">
        <w:rPr>
          <w:rFonts w:eastAsia="Batang"/>
          <w:sz w:val="22"/>
          <w:lang w:val="ru-RU"/>
        </w:rPr>
        <w:t>9</w:t>
      </w:r>
      <w:r w:rsidRPr="00726889">
        <w:rPr>
          <w:rFonts w:eastAsia="Batang"/>
          <w:sz w:val="22"/>
        </w:rPr>
        <w:t>% спрямо разчетите към ЗДБРБ за 2018 година.</w:t>
      </w:r>
    </w:p>
    <w:p w:rsidR="001A439C" w:rsidRPr="001952C1" w:rsidRDefault="001A439C" w:rsidP="00207518">
      <w:pPr>
        <w:autoSpaceDE w:val="0"/>
        <w:autoSpaceDN w:val="0"/>
        <w:adjustRightInd w:val="0"/>
        <w:spacing w:after="120"/>
        <w:rPr>
          <w:rFonts w:eastAsia="Batang"/>
          <w:sz w:val="22"/>
        </w:rPr>
      </w:pPr>
      <w:r w:rsidRPr="00726889">
        <w:rPr>
          <w:rFonts w:eastAsia="Batang"/>
          <w:sz w:val="22"/>
        </w:rPr>
        <w:t xml:space="preserve">Разходите за лихви възлизат на </w:t>
      </w:r>
      <w:r w:rsidRPr="00E22A97">
        <w:rPr>
          <w:rFonts w:eastAsia="Batang"/>
          <w:sz w:val="22"/>
          <w:lang w:val="ru-RU"/>
        </w:rPr>
        <w:t>37</w:t>
      </w:r>
      <w:r w:rsidRPr="00726889">
        <w:rPr>
          <w:rFonts w:eastAsia="Batang"/>
          <w:sz w:val="22"/>
        </w:rPr>
        <w:t xml:space="preserve">,8 млн. лв., 99,3% от разчета за 2018 година. </w:t>
      </w:r>
    </w:p>
    <w:p w:rsidR="00AD5FB7" w:rsidRPr="00391247" w:rsidRDefault="00AD5FB7" w:rsidP="00AD5FB7">
      <w:pPr>
        <w:numPr>
          <w:ilvl w:val="0"/>
          <w:numId w:val="2"/>
        </w:numPr>
        <w:autoSpaceDE w:val="0"/>
        <w:autoSpaceDN w:val="0"/>
        <w:adjustRightInd w:val="0"/>
        <w:spacing w:after="120" w:line="276" w:lineRule="auto"/>
        <w:ind w:left="426" w:hanging="426"/>
        <w:rPr>
          <w:rFonts w:eastAsia="Batang"/>
          <w:b/>
          <w:bCs/>
          <w:color w:val="943634"/>
          <w:szCs w:val="24"/>
        </w:rPr>
      </w:pPr>
      <w:r w:rsidRPr="00AD5FB7">
        <w:rPr>
          <w:rFonts w:eastAsia="Batang"/>
          <w:b/>
          <w:bCs/>
          <w:color w:val="943634"/>
          <w:szCs w:val="24"/>
        </w:rPr>
        <w:t xml:space="preserve">Бюджетно салдо по консолидираната фискална програма </w:t>
      </w:r>
      <w:r w:rsidRPr="00391247">
        <w:rPr>
          <w:rFonts w:eastAsia="Batang"/>
          <w:b/>
          <w:bCs/>
          <w:color w:val="943634"/>
          <w:szCs w:val="24"/>
        </w:rPr>
        <w:t xml:space="preserve">за </w:t>
      </w:r>
      <w:r w:rsidR="00391247" w:rsidRPr="00391247">
        <w:rPr>
          <w:rFonts w:eastAsia="Batang"/>
          <w:b/>
          <w:bCs/>
          <w:color w:val="943634"/>
          <w:szCs w:val="24"/>
        </w:rPr>
        <w:t>2018</w:t>
      </w:r>
      <w:r w:rsidRPr="00391247">
        <w:rPr>
          <w:rFonts w:eastAsia="Batang"/>
          <w:b/>
          <w:bCs/>
          <w:color w:val="943634"/>
          <w:szCs w:val="24"/>
        </w:rPr>
        <w:t xml:space="preserve"> г.</w:t>
      </w:r>
    </w:p>
    <w:p w:rsidR="00391247" w:rsidRPr="00391247" w:rsidRDefault="00391247" w:rsidP="00391247">
      <w:pPr>
        <w:autoSpaceDE w:val="0"/>
        <w:autoSpaceDN w:val="0"/>
        <w:adjustRightInd w:val="0"/>
        <w:spacing w:after="120"/>
        <w:rPr>
          <w:rFonts w:eastAsia="Batang"/>
          <w:sz w:val="22"/>
        </w:rPr>
      </w:pPr>
      <w:r w:rsidRPr="00391247">
        <w:rPr>
          <w:rFonts w:eastAsia="Batang"/>
          <w:b/>
          <w:sz w:val="22"/>
        </w:rPr>
        <w:t xml:space="preserve">Бюджетното салдо по КФП за 2018 г. </w:t>
      </w:r>
      <w:r w:rsidRPr="00391247">
        <w:rPr>
          <w:rFonts w:eastAsia="Batang"/>
          <w:sz w:val="22"/>
        </w:rPr>
        <w:t xml:space="preserve">е положително в размер </w:t>
      </w:r>
      <w:r w:rsidR="00EA1ACE">
        <w:rPr>
          <w:rFonts w:eastAsia="Batang"/>
          <w:sz w:val="22"/>
        </w:rPr>
        <w:t>на 135,1 млн. лв. (0,1</w:t>
      </w:r>
      <w:r>
        <w:rPr>
          <w:rFonts w:eastAsia="Batang"/>
          <w:sz w:val="22"/>
        </w:rPr>
        <w:t>% от БВП</w:t>
      </w:r>
      <w:r w:rsidRPr="00391247">
        <w:rPr>
          <w:rFonts w:eastAsia="Batang"/>
          <w:sz w:val="22"/>
        </w:rPr>
        <w:t>) и се формира от излишък по националния бюджет в размер на 250,3 млн. лв. и дефицит по европейските ср</w:t>
      </w:r>
      <w:r w:rsidR="008A1F07">
        <w:rPr>
          <w:rFonts w:eastAsia="Batang"/>
          <w:sz w:val="22"/>
        </w:rPr>
        <w:t>едства в размер на 115,2 млн. лв</w:t>
      </w:r>
      <w:r w:rsidRPr="00391247">
        <w:rPr>
          <w:rFonts w:eastAsia="Batang"/>
          <w:sz w:val="22"/>
        </w:rPr>
        <w:t>. За сравнение в разчетите към Закона за държавния бюджет на Република България за 2018  г. е заложен дефицит за годината в размер на 1 100,0 млн. лв., което означава, че спрямо заложеното в програмата за годината се отчита номинално подобрение на бюд</w:t>
      </w:r>
      <w:r w:rsidR="008A1F07">
        <w:rPr>
          <w:rFonts w:eastAsia="Batang"/>
          <w:sz w:val="22"/>
        </w:rPr>
        <w:t>жетното салдо с над 1,2 млрд. лв</w:t>
      </w:r>
      <w:r w:rsidRPr="00391247">
        <w:rPr>
          <w:rFonts w:eastAsia="Batang"/>
          <w:sz w:val="22"/>
        </w:rPr>
        <w:t>.</w:t>
      </w:r>
    </w:p>
    <w:p w:rsidR="00391247" w:rsidRPr="00391247" w:rsidRDefault="00391247" w:rsidP="00391247">
      <w:pPr>
        <w:autoSpaceDE w:val="0"/>
        <w:autoSpaceDN w:val="0"/>
        <w:adjustRightInd w:val="0"/>
        <w:spacing w:after="120"/>
        <w:rPr>
          <w:rFonts w:eastAsia="Batang"/>
          <w:sz w:val="22"/>
        </w:rPr>
      </w:pPr>
      <w:r w:rsidRPr="00391247">
        <w:rPr>
          <w:rFonts w:eastAsia="Batang"/>
          <w:b/>
          <w:sz w:val="22"/>
        </w:rPr>
        <w:t>Общият размер на касовите постъпления от ЕС</w:t>
      </w:r>
      <w:r w:rsidRPr="00391247">
        <w:rPr>
          <w:rFonts w:eastAsia="Batang"/>
          <w:sz w:val="22"/>
        </w:rPr>
        <w:t xml:space="preserve"> (от </w:t>
      </w:r>
      <w:r w:rsidR="004070A4" w:rsidRPr="00391247">
        <w:rPr>
          <w:rFonts w:eastAsia="Batang"/>
          <w:sz w:val="22"/>
        </w:rPr>
        <w:t xml:space="preserve">Кохезионния </w:t>
      </w:r>
      <w:r w:rsidR="004070A4">
        <w:rPr>
          <w:rFonts w:eastAsia="Batang"/>
          <w:sz w:val="22"/>
        </w:rPr>
        <w:t xml:space="preserve">и </w:t>
      </w:r>
      <w:r w:rsidRPr="00391247">
        <w:rPr>
          <w:rFonts w:eastAsia="Batang"/>
          <w:sz w:val="22"/>
        </w:rPr>
        <w:t xml:space="preserve">Структурните фондове, от ЕЗФРСР и ЕФР, от средства за директни плащания към земеделските производители и плащания по пазарни мерки и др.) за 2018 г. е 3 812,8 млн. лв. </w:t>
      </w:r>
      <w:r w:rsidRPr="00391247">
        <w:rPr>
          <w:rFonts w:eastAsia="Batang"/>
          <w:b/>
          <w:sz w:val="22"/>
        </w:rPr>
        <w:t>Нетните постъпления от ЕС</w:t>
      </w:r>
      <w:r w:rsidRPr="00391247">
        <w:rPr>
          <w:rFonts w:eastAsia="Batang"/>
          <w:sz w:val="22"/>
        </w:rPr>
        <w:t xml:space="preserve"> за 2018 г. (касови постъпления от ЕС, намалени с вноската в общия бюджет на ЕС) са положит</w:t>
      </w:r>
      <w:r w:rsidR="008A1F07">
        <w:rPr>
          <w:rFonts w:eastAsia="Batang"/>
          <w:sz w:val="22"/>
        </w:rPr>
        <w:t>елни в размер на 2 729,4 млн. лв</w:t>
      </w:r>
      <w:r w:rsidRPr="00391247">
        <w:rPr>
          <w:rFonts w:eastAsia="Batang"/>
          <w:sz w:val="22"/>
        </w:rPr>
        <w:t xml:space="preserve">. </w:t>
      </w:r>
    </w:p>
    <w:p w:rsidR="00AD5FB7" w:rsidRPr="00D01ABC" w:rsidRDefault="00391247" w:rsidP="00EF78AA">
      <w:pPr>
        <w:autoSpaceDE w:val="0"/>
        <w:autoSpaceDN w:val="0"/>
        <w:adjustRightInd w:val="0"/>
        <w:spacing w:after="120"/>
        <w:rPr>
          <w:rFonts w:eastAsia="Batang"/>
          <w:sz w:val="22"/>
          <w:highlight w:val="yellow"/>
        </w:rPr>
      </w:pPr>
      <w:r w:rsidRPr="00391247">
        <w:rPr>
          <w:rFonts w:eastAsia="Batang"/>
          <w:sz w:val="22"/>
        </w:rPr>
        <w:t>Размерът на</w:t>
      </w:r>
      <w:r w:rsidRPr="00391247">
        <w:rPr>
          <w:rFonts w:eastAsia="Batang"/>
          <w:b/>
          <w:sz w:val="22"/>
        </w:rPr>
        <w:t xml:space="preserve"> фискалния резерв</w:t>
      </w:r>
      <w:r>
        <w:rPr>
          <w:rStyle w:val="FootnoteReference"/>
          <w:rFonts w:eastAsia="Batang"/>
          <w:b/>
        </w:rPr>
        <w:footnoteReference w:id="36"/>
      </w:r>
      <w:r w:rsidRPr="00391247">
        <w:rPr>
          <w:rFonts w:eastAsia="Batang"/>
          <w:sz w:val="22"/>
        </w:rPr>
        <w:t xml:space="preserve"> към 31.12.2018 г. е 9,4 млрд. лв., в т.ч. 9,0 млрд. лв. депозити на фискалния резерв в БНБ и банки и 0,4 млрд. лв. вземания от фондовете на Европейския съюз за сертифицирани разходи, аванси и други.</w:t>
      </w:r>
    </w:p>
    <w:p w:rsidR="00806F12" w:rsidRPr="00903869" w:rsidRDefault="00806F12" w:rsidP="00EF78AA">
      <w:pPr>
        <w:autoSpaceDE w:val="0"/>
        <w:autoSpaceDN w:val="0"/>
        <w:adjustRightInd w:val="0"/>
        <w:spacing w:after="120"/>
        <w:rPr>
          <w:rFonts w:eastAsia="Batang" w:cs="Times New Roman"/>
          <w:bCs/>
          <w:color w:val="000000" w:themeColor="text1"/>
          <w:szCs w:val="24"/>
        </w:rPr>
        <w:sectPr w:rsidR="00806F12" w:rsidRPr="00903869" w:rsidSect="00FF16A0">
          <w:type w:val="continuous"/>
          <w:pgSz w:w="16838" w:h="11906" w:orient="landscape" w:code="9"/>
          <w:pgMar w:top="1418" w:right="1134" w:bottom="851" w:left="1134" w:header="709" w:footer="709" w:gutter="0"/>
          <w:cols w:num="2" w:space="708"/>
          <w:titlePg/>
          <w:docGrid w:linePitch="360"/>
        </w:sectPr>
      </w:pPr>
    </w:p>
    <w:p w:rsidR="00574A2C" w:rsidRDefault="00931F81" w:rsidP="00DE2BDB">
      <w:pPr>
        <w:pStyle w:val="Heading2"/>
      </w:pPr>
      <w:bookmarkStart w:id="787" w:name="_Toc465205585"/>
      <w:bookmarkStart w:id="788" w:name="_Toc465206050"/>
      <w:bookmarkStart w:id="789" w:name="_Toc23337500"/>
      <w:r>
        <w:t xml:space="preserve">преглед на текущото </w:t>
      </w:r>
      <w:r w:rsidR="00574A2C" w:rsidRPr="00E64CE8">
        <w:t xml:space="preserve">Изпълнение на КФП </w:t>
      </w:r>
      <w:bookmarkEnd w:id="787"/>
      <w:bookmarkEnd w:id="788"/>
      <w:r>
        <w:t>за 2019 г.</w:t>
      </w:r>
      <w:bookmarkEnd w:id="789"/>
      <w:r w:rsidR="00574A2C" w:rsidRPr="00E64CE8">
        <w:t xml:space="preserve"> </w:t>
      </w:r>
    </w:p>
    <w:p w:rsidR="003C0431" w:rsidRPr="000D0089" w:rsidRDefault="003C0431" w:rsidP="003C0431">
      <w:pPr>
        <w:autoSpaceDE w:val="0"/>
        <w:autoSpaceDN w:val="0"/>
        <w:adjustRightInd w:val="0"/>
        <w:spacing w:after="0"/>
        <w:ind w:firstLine="1134"/>
        <w:jc w:val="right"/>
        <w:rPr>
          <w:rFonts w:eastAsia="Batang"/>
          <w:sz w:val="18"/>
          <w:szCs w:val="18"/>
        </w:rPr>
      </w:pPr>
      <w:r w:rsidRPr="000D0089">
        <w:rPr>
          <w:rFonts w:eastAsia="Times New Roman" w:cs="Calibri"/>
          <w:bCs/>
          <w:sz w:val="18"/>
          <w:szCs w:val="18"/>
        </w:rPr>
        <w:t>(в млн. лв.)</w:t>
      </w:r>
    </w:p>
    <w:tbl>
      <w:tblPr>
        <w:tblW w:w="4928" w:type="pct"/>
        <w:tblCellMar>
          <w:left w:w="70" w:type="dxa"/>
          <w:right w:w="70" w:type="dxa"/>
        </w:tblCellMar>
        <w:tblLook w:val="04A0" w:firstRow="1" w:lastRow="0" w:firstColumn="1" w:lastColumn="0" w:noHBand="0" w:noVBand="1"/>
      </w:tblPr>
      <w:tblGrid>
        <w:gridCol w:w="5653"/>
        <w:gridCol w:w="60"/>
        <w:gridCol w:w="2125"/>
        <w:gridCol w:w="1223"/>
        <w:gridCol w:w="158"/>
        <w:gridCol w:w="1913"/>
        <w:gridCol w:w="106"/>
        <w:gridCol w:w="1594"/>
        <w:gridCol w:w="52"/>
        <w:gridCol w:w="1476"/>
      </w:tblGrid>
      <w:tr w:rsidR="003C0431" w:rsidRPr="003620D0" w:rsidTr="003620D0">
        <w:trPr>
          <w:trHeight w:val="300"/>
        </w:trPr>
        <w:tc>
          <w:tcPr>
            <w:tcW w:w="1989" w:type="pct"/>
            <w:gridSpan w:val="2"/>
            <w:vMerge w:val="restart"/>
            <w:tcBorders>
              <w:top w:val="single" w:sz="4" w:space="0" w:color="auto"/>
              <w:left w:val="nil"/>
              <w:bottom w:val="nil"/>
              <w:right w:val="nil"/>
            </w:tcBorders>
            <w:shd w:val="clear" w:color="auto" w:fill="auto"/>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ПОКАЗАТЕЛИ</w:t>
            </w:r>
          </w:p>
        </w:tc>
        <w:tc>
          <w:tcPr>
            <w:tcW w:w="740" w:type="pct"/>
            <w:tcBorders>
              <w:top w:val="single" w:sz="4" w:space="0" w:color="auto"/>
              <w:left w:val="nil"/>
              <w:bottom w:val="nil"/>
              <w:right w:val="nil"/>
            </w:tcBorders>
            <w:shd w:val="clear" w:color="auto" w:fill="auto"/>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 xml:space="preserve">Ревизирана </w:t>
            </w:r>
          </w:p>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оценка</w:t>
            </w:r>
            <w:r w:rsidRPr="003620D0">
              <w:rPr>
                <w:rStyle w:val="FootnoteReference"/>
                <w:rFonts w:eastAsia="Times New Roman"/>
                <w:b/>
                <w:bCs/>
                <w:szCs w:val="18"/>
              </w:rPr>
              <w:t xml:space="preserve"> </w:t>
            </w:r>
          </w:p>
        </w:tc>
        <w:tc>
          <w:tcPr>
            <w:tcW w:w="1739" w:type="pct"/>
            <w:gridSpan w:val="5"/>
            <w:tcBorders>
              <w:top w:val="single" w:sz="4" w:space="0" w:color="auto"/>
              <w:left w:val="nil"/>
              <w:bottom w:val="nil"/>
              <w:right w:val="nil"/>
            </w:tcBorders>
            <w:shd w:val="clear" w:color="auto" w:fill="F2F2F2" w:themeFill="background1" w:themeFillShade="F2"/>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Отчет 3</w:t>
            </w:r>
            <w:r w:rsidRPr="003620D0">
              <w:rPr>
                <w:rFonts w:eastAsia="Times New Roman" w:cs="Times New Roman"/>
                <w:b/>
                <w:bCs/>
                <w:color w:val="000000"/>
                <w:sz w:val="18"/>
                <w:szCs w:val="18"/>
                <w:lang w:val="en-US"/>
              </w:rPr>
              <w:t>0</w:t>
            </w:r>
            <w:r w:rsidRPr="003620D0">
              <w:rPr>
                <w:rFonts w:eastAsia="Times New Roman" w:cs="Times New Roman"/>
                <w:b/>
                <w:bCs/>
                <w:color w:val="000000"/>
                <w:sz w:val="18"/>
                <w:szCs w:val="18"/>
              </w:rPr>
              <w:t>.0</w:t>
            </w:r>
            <w:r w:rsidRPr="003620D0">
              <w:rPr>
                <w:rFonts w:eastAsia="Times New Roman" w:cs="Times New Roman"/>
                <w:b/>
                <w:bCs/>
                <w:color w:val="000000"/>
                <w:sz w:val="18"/>
                <w:szCs w:val="18"/>
                <w:lang w:val="en-US"/>
              </w:rPr>
              <w:t>9</w:t>
            </w:r>
            <w:r w:rsidRPr="003620D0">
              <w:rPr>
                <w:rFonts w:eastAsia="Times New Roman" w:cs="Times New Roman"/>
                <w:b/>
                <w:bCs/>
                <w:color w:val="000000"/>
                <w:sz w:val="18"/>
                <w:szCs w:val="18"/>
              </w:rPr>
              <w:t>.2019 г.</w:t>
            </w:r>
          </w:p>
        </w:tc>
        <w:tc>
          <w:tcPr>
            <w:tcW w:w="533" w:type="pct"/>
            <w:gridSpan w:val="2"/>
            <w:tcBorders>
              <w:top w:val="single" w:sz="4" w:space="0" w:color="auto"/>
              <w:left w:val="nil"/>
              <w:bottom w:val="nil"/>
              <w:right w:val="nil"/>
            </w:tcBorders>
            <w:shd w:val="clear" w:color="auto" w:fill="auto"/>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Изпълнение</w:t>
            </w:r>
          </w:p>
        </w:tc>
      </w:tr>
      <w:tr w:rsidR="003620D0" w:rsidRPr="003620D0" w:rsidTr="003620D0">
        <w:trPr>
          <w:trHeight w:val="251"/>
        </w:trPr>
        <w:tc>
          <w:tcPr>
            <w:tcW w:w="1989" w:type="pct"/>
            <w:gridSpan w:val="2"/>
            <w:vMerge/>
            <w:tcBorders>
              <w:top w:val="single" w:sz="4" w:space="0" w:color="auto"/>
              <w:left w:val="nil"/>
              <w:bottom w:val="nil"/>
              <w:right w:val="nil"/>
            </w:tcBorders>
            <w:vAlign w:val="center"/>
            <w:hideMark/>
          </w:tcPr>
          <w:p w:rsidR="003C0431" w:rsidRPr="003620D0" w:rsidRDefault="003C0431" w:rsidP="00AD2E9D">
            <w:pPr>
              <w:spacing w:after="0"/>
              <w:jc w:val="left"/>
              <w:rPr>
                <w:rFonts w:eastAsia="Times New Roman" w:cs="Times New Roman"/>
                <w:b/>
                <w:bCs/>
                <w:color w:val="000000"/>
                <w:sz w:val="18"/>
                <w:szCs w:val="18"/>
              </w:rPr>
            </w:pPr>
          </w:p>
        </w:tc>
        <w:tc>
          <w:tcPr>
            <w:tcW w:w="740" w:type="pct"/>
            <w:tcBorders>
              <w:top w:val="nil"/>
              <w:left w:val="nil"/>
              <w:bottom w:val="nil"/>
              <w:right w:val="nil"/>
            </w:tcBorders>
            <w:shd w:val="clear" w:color="auto" w:fill="auto"/>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2019 г.</w:t>
            </w:r>
          </w:p>
        </w:tc>
        <w:tc>
          <w:tcPr>
            <w:tcW w:w="426" w:type="pct"/>
            <w:tcBorders>
              <w:top w:val="nil"/>
              <w:left w:val="nil"/>
              <w:bottom w:val="nil"/>
              <w:right w:val="nil"/>
            </w:tcBorders>
            <w:shd w:val="clear" w:color="auto" w:fill="F2F2F2" w:themeFill="background1" w:themeFillShade="F2"/>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КФП*</w:t>
            </w:r>
          </w:p>
        </w:tc>
        <w:tc>
          <w:tcPr>
            <w:tcW w:w="721" w:type="pct"/>
            <w:gridSpan w:val="2"/>
            <w:tcBorders>
              <w:top w:val="nil"/>
              <w:left w:val="nil"/>
              <w:bottom w:val="nil"/>
              <w:right w:val="nil"/>
            </w:tcBorders>
            <w:shd w:val="clear" w:color="auto" w:fill="F2F2F2" w:themeFill="background1" w:themeFillShade="F2"/>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 xml:space="preserve">Национален </w:t>
            </w:r>
          </w:p>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бюджет</w:t>
            </w:r>
          </w:p>
        </w:tc>
        <w:tc>
          <w:tcPr>
            <w:tcW w:w="592" w:type="pct"/>
            <w:gridSpan w:val="2"/>
            <w:tcBorders>
              <w:top w:val="nil"/>
              <w:left w:val="nil"/>
              <w:bottom w:val="nil"/>
              <w:right w:val="nil"/>
            </w:tcBorders>
            <w:shd w:val="clear" w:color="auto" w:fill="F2F2F2" w:themeFill="background1" w:themeFillShade="F2"/>
            <w:vAlign w:val="center"/>
            <w:hideMark/>
          </w:tcPr>
          <w:p w:rsidR="003C0431" w:rsidRPr="003620D0" w:rsidRDefault="00984FBC" w:rsidP="00AD2E9D">
            <w:pPr>
              <w:spacing w:after="0"/>
              <w:jc w:val="center"/>
              <w:rPr>
                <w:rFonts w:eastAsia="Times New Roman" w:cs="Times New Roman"/>
                <w:b/>
                <w:bCs/>
                <w:color w:val="000000"/>
                <w:sz w:val="18"/>
                <w:szCs w:val="18"/>
              </w:rPr>
            </w:pPr>
            <w:hyperlink r:id="rId57" w:anchor="RANGE!_ftn1" w:history="1">
              <w:r w:rsidR="003C0431" w:rsidRPr="003620D0">
                <w:rPr>
                  <w:rFonts w:eastAsia="Times New Roman" w:cs="Times New Roman"/>
                  <w:b/>
                  <w:bCs/>
                  <w:color w:val="000000"/>
                  <w:sz w:val="18"/>
                  <w:szCs w:val="18"/>
                </w:rPr>
                <w:t>Европейски средства</w:t>
              </w:r>
              <w:r w:rsidR="003C0431" w:rsidRPr="003620D0">
                <w:rPr>
                  <w:rStyle w:val="FootnoteReference"/>
                  <w:rFonts w:eastAsia="Times New Roman"/>
                  <w:b/>
                  <w:bCs/>
                  <w:szCs w:val="18"/>
                </w:rPr>
                <w:footnoteReference w:id="37"/>
              </w:r>
            </w:hyperlink>
          </w:p>
        </w:tc>
        <w:tc>
          <w:tcPr>
            <w:tcW w:w="533" w:type="pct"/>
            <w:gridSpan w:val="2"/>
            <w:tcBorders>
              <w:top w:val="nil"/>
              <w:left w:val="nil"/>
              <w:bottom w:val="nil"/>
              <w:right w:val="nil"/>
            </w:tcBorders>
            <w:shd w:val="clear" w:color="auto" w:fill="auto"/>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отчет/разчет</w:t>
            </w:r>
          </w:p>
        </w:tc>
      </w:tr>
      <w:tr w:rsidR="003620D0" w:rsidRPr="003620D0" w:rsidTr="003620D0">
        <w:trPr>
          <w:trHeight w:val="300"/>
        </w:trPr>
        <w:tc>
          <w:tcPr>
            <w:tcW w:w="1989" w:type="pct"/>
            <w:gridSpan w:val="2"/>
            <w:tcBorders>
              <w:top w:val="nil"/>
              <w:left w:val="nil"/>
              <w:bottom w:val="single" w:sz="4" w:space="0" w:color="auto"/>
              <w:right w:val="nil"/>
            </w:tcBorders>
            <w:shd w:val="clear" w:color="auto" w:fill="auto"/>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к.1</w:t>
            </w:r>
          </w:p>
        </w:tc>
        <w:tc>
          <w:tcPr>
            <w:tcW w:w="740" w:type="pct"/>
            <w:tcBorders>
              <w:top w:val="nil"/>
              <w:left w:val="nil"/>
              <w:bottom w:val="single" w:sz="4" w:space="0" w:color="auto"/>
              <w:right w:val="nil"/>
            </w:tcBorders>
            <w:shd w:val="clear" w:color="auto" w:fill="auto"/>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к.2</w:t>
            </w:r>
          </w:p>
        </w:tc>
        <w:tc>
          <w:tcPr>
            <w:tcW w:w="426" w:type="pct"/>
            <w:tcBorders>
              <w:top w:val="nil"/>
              <w:left w:val="nil"/>
              <w:bottom w:val="single" w:sz="4" w:space="0" w:color="auto"/>
              <w:right w:val="nil"/>
            </w:tcBorders>
            <w:shd w:val="clear" w:color="auto" w:fill="F2F2F2" w:themeFill="background1" w:themeFillShade="F2"/>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к.3=к.4+к.5</w:t>
            </w:r>
          </w:p>
        </w:tc>
        <w:tc>
          <w:tcPr>
            <w:tcW w:w="721" w:type="pct"/>
            <w:gridSpan w:val="2"/>
            <w:tcBorders>
              <w:top w:val="nil"/>
              <w:left w:val="nil"/>
              <w:bottom w:val="single" w:sz="4" w:space="0" w:color="auto"/>
              <w:right w:val="nil"/>
            </w:tcBorders>
            <w:shd w:val="clear" w:color="auto" w:fill="F2F2F2" w:themeFill="background1" w:themeFillShade="F2"/>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к.4</w:t>
            </w:r>
          </w:p>
        </w:tc>
        <w:tc>
          <w:tcPr>
            <w:tcW w:w="592" w:type="pct"/>
            <w:gridSpan w:val="2"/>
            <w:tcBorders>
              <w:top w:val="nil"/>
              <w:left w:val="nil"/>
              <w:bottom w:val="single" w:sz="4" w:space="0" w:color="auto"/>
              <w:right w:val="nil"/>
            </w:tcBorders>
            <w:shd w:val="clear" w:color="auto" w:fill="F2F2F2" w:themeFill="background1" w:themeFillShade="F2"/>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к.5</w:t>
            </w:r>
          </w:p>
        </w:tc>
        <w:tc>
          <w:tcPr>
            <w:tcW w:w="533" w:type="pct"/>
            <w:gridSpan w:val="2"/>
            <w:tcBorders>
              <w:top w:val="nil"/>
              <w:left w:val="nil"/>
              <w:bottom w:val="single" w:sz="4" w:space="0" w:color="auto"/>
              <w:right w:val="nil"/>
            </w:tcBorders>
            <w:shd w:val="clear" w:color="auto" w:fill="auto"/>
            <w:noWrap/>
            <w:vAlign w:val="center"/>
            <w:hideMark/>
          </w:tcPr>
          <w:p w:rsidR="003C0431" w:rsidRPr="003620D0" w:rsidRDefault="003C0431" w:rsidP="00AD2E9D">
            <w:pPr>
              <w:spacing w:after="0"/>
              <w:jc w:val="center"/>
              <w:rPr>
                <w:rFonts w:eastAsia="Times New Roman" w:cs="Times New Roman"/>
                <w:b/>
                <w:bCs/>
                <w:color w:val="000000"/>
                <w:sz w:val="18"/>
                <w:szCs w:val="18"/>
              </w:rPr>
            </w:pPr>
            <w:r w:rsidRPr="003620D0">
              <w:rPr>
                <w:rFonts w:eastAsia="Times New Roman" w:cs="Times New Roman"/>
                <w:b/>
                <w:bCs/>
                <w:color w:val="000000"/>
                <w:sz w:val="18"/>
                <w:szCs w:val="18"/>
              </w:rPr>
              <w:t>к.6=к.3:к.2</w:t>
            </w:r>
          </w:p>
        </w:tc>
      </w:tr>
      <w:tr w:rsidR="003C0431" w:rsidRPr="003620D0" w:rsidTr="003620D0">
        <w:trPr>
          <w:trHeight w:val="300"/>
        </w:trPr>
        <w:tc>
          <w:tcPr>
            <w:tcW w:w="1968" w:type="pct"/>
            <w:tcBorders>
              <w:top w:val="single" w:sz="4" w:space="0" w:color="auto"/>
              <w:left w:val="nil"/>
              <w:bottom w:val="nil"/>
              <w:right w:val="nil"/>
            </w:tcBorders>
            <w:shd w:val="clear" w:color="auto" w:fill="auto"/>
            <w:noWrap/>
            <w:vAlign w:val="center"/>
            <w:hideMark/>
          </w:tcPr>
          <w:p w:rsidR="003C0431" w:rsidRPr="003620D0" w:rsidRDefault="003C0431" w:rsidP="00AD2E9D">
            <w:pPr>
              <w:spacing w:after="0"/>
              <w:jc w:val="left"/>
              <w:rPr>
                <w:rFonts w:eastAsia="Times New Roman" w:cs="Times New Roman"/>
                <w:b/>
                <w:bCs/>
                <w:color w:val="000000"/>
                <w:sz w:val="18"/>
                <w:szCs w:val="18"/>
              </w:rPr>
            </w:pPr>
            <w:r w:rsidRPr="003620D0">
              <w:rPr>
                <w:rFonts w:eastAsia="Times New Roman" w:cs="Times New Roman"/>
                <w:b/>
                <w:bCs/>
                <w:color w:val="000000"/>
                <w:sz w:val="18"/>
                <w:szCs w:val="18"/>
              </w:rPr>
              <w:t>ПРИХОДИ, ПОМОЩИ И ДАРЕНИЯ</w:t>
            </w:r>
          </w:p>
        </w:tc>
        <w:tc>
          <w:tcPr>
            <w:tcW w:w="760" w:type="pct"/>
            <w:gridSpan w:val="2"/>
            <w:tcBorders>
              <w:top w:val="single" w:sz="4" w:space="0" w:color="auto"/>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rPr>
            </w:pPr>
            <w:r w:rsidRPr="003620D0">
              <w:rPr>
                <w:rFonts w:eastAsia="Times New Roman" w:cs="Times New Roman"/>
                <w:b/>
                <w:bCs/>
                <w:sz w:val="18"/>
                <w:szCs w:val="18"/>
              </w:rPr>
              <w:t>43 857,0</w:t>
            </w:r>
          </w:p>
        </w:tc>
        <w:tc>
          <w:tcPr>
            <w:tcW w:w="481" w:type="pct"/>
            <w:gridSpan w:val="2"/>
            <w:tcBorders>
              <w:top w:val="single" w:sz="4" w:space="0" w:color="auto"/>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rPr>
            </w:pPr>
            <w:r w:rsidRPr="003620D0">
              <w:rPr>
                <w:rFonts w:eastAsia="Times New Roman" w:cs="Times New Roman"/>
                <w:b/>
                <w:bCs/>
                <w:sz w:val="18"/>
                <w:szCs w:val="18"/>
                <w:lang w:val="en-US"/>
              </w:rPr>
              <w:t>32 797</w:t>
            </w:r>
            <w:r w:rsidRPr="003620D0">
              <w:rPr>
                <w:rFonts w:eastAsia="Times New Roman" w:cs="Times New Roman"/>
                <w:b/>
                <w:bCs/>
                <w:sz w:val="18"/>
                <w:szCs w:val="18"/>
              </w:rPr>
              <w:t>,9</w:t>
            </w:r>
          </w:p>
        </w:tc>
        <w:tc>
          <w:tcPr>
            <w:tcW w:w="703" w:type="pct"/>
            <w:gridSpan w:val="2"/>
            <w:tcBorders>
              <w:top w:val="single" w:sz="4" w:space="0" w:color="auto"/>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lang w:val="en-US"/>
              </w:rPr>
            </w:pPr>
            <w:r w:rsidRPr="003620D0">
              <w:rPr>
                <w:rFonts w:eastAsia="Times New Roman" w:cs="Times New Roman"/>
                <w:b/>
                <w:bCs/>
                <w:sz w:val="18"/>
                <w:szCs w:val="18"/>
                <w:lang w:val="en-US"/>
              </w:rPr>
              <w:t>31</w:t>
            </w:r>
            <w:r w:rsidRPr="003620D0">
              <w:rPr>
                <w:rFonts w:eastAsia="Times New Roman" w:cs="Times New Roman"/>
                <w:b/>
                <w:bCs/>
                <w:sz w:val="18"/>
                <w:szCs w:val="18"/>
              </w:rPr>
              <w:t xml:space="preserve"> </w:t>
            </w:r>
            <w:r w:rsidRPr="003620D0">
              <w:rPr>
                <w:rFonts w:eastAsia="Times New Roman" w:cs="Times New Roman"/>
                <w:b/>
                <w:bCs/>
                <w:sz w:val="18"/>
                <w:szCs w:val="18"/>
                <w:lang w:val="en-US"/>
              </w:rPr>
              <w:t>080</w:t>
            </w:r>
            <w:r w:rsidRPr="003620D0">
              <w:rPr>
                <w:rFonts w:eastAsia="Times New Roman" w:cs="Times New Roman"/>
                <w:b/>
                <w:bCs/>
                <w:sz w:val="18"/>
                <w:szCs w:val="18"/>
              </w:rPr>
              <w:t>,</w:t>
            </w:r>
            <w:r w:rsidRPr="003620D0">
              <w:rPr>
                <w:rFonts w:eastAsia="Times New Roman" w:cs="Times New Roman"/>
                <w:b/>
                <w:bCs/>
                <w:sz w:val="18"/>
                <w:szCs w:val="18"/>
                <w:lang w:val="en-US"/>
              </w:rPr>
              <w:t>7</w:t>
            </w:r>
          </w:p>
        </w:tc>
        <w:tc>
          <w:tcPr>
            <w:tcW w:w="573" w:type="pct"/>
            <w:gridSpan w:val="2"/>
            <w:tcBorders>
              <w:top w:val="single" w:sz="4" w:space="0" w:color="auto"/>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lang w:val="en-US"/>
              </w:rPr>
            </w:pPr>
            <w:r w:rsidRPr="003620D0">
              <w:rPr>
                <w:rFonts w:eastAsia="Times New Roman" w:cs="Times New Roman"/>
                <w:b/>
                <w:bCs/>
                <w:sz w:val="18"/>
                <w:szCs w:val="18"/>
              </w:rPr>
              <w:t xml:space="preserve">1 </w:t>
            </w:r>
            <w:r w:rsidRPr="003620D0">
              <w:rPr>
                <w:rFonts w:eastAsia="Times New Roman" w:cs="Times New Roman"/>
                <w:b/>
                <w:bCs/>
                <w:sz w:val="18"/>
                <w:szCs w:val="18"/>
                <w:lang w:val="en-US"/>
              </w:rPr>
              <w:t>717</w:t>
            </w:r>
            <w:r w:rsidRPr="003620D0">
              <w:rPr>
                <w:rFonts w:eastAsia="Times New Roman" w:cs="Times New Roman"/>
                <w:b/>
                <w:bCs/>
                <w:sz w:val="18"/>
                <w:szCs w:val="18"/>
              </w:rPr>
              <w:t>,</w:t>
            </w:r>
            <w:r w:rsidRPr="003620D0">
              <w:rPr>
                <w:rFonts w:eastAsia="Times New Roman" w:cs="Times New Roman"/>
                <w:b/>
                <w:bCs/>
                <w:sz w:val="18"/>
                <w:szCs w:val="18"/>
                <w:lang w:val="en-US"/>
              </w:rPr>
              <w:t>2</w:t>
            </w:r>
          </w:p>
        </w:tc>
        <w:tc>
          <w:tcPr>
            <w:tcW w:w="515" w:type="pct"/>
            <w:tcBorders>
              <w:top w:val="single" w:sz="4" w:space="0" w:color="auto"/>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rPr>
            </w:pPr>
            <w:r w:rsidRPr="003620D0">
              <w:rPr>
                <w:rFonts w:eastAsia="Times New Roman" w:cs="Times New Roman"/>
                <w:b/>
                <w:bCs/>
                <w:sz w:val="18"/>
                <w:szCs w:val="18"/>
                <w:lang w:val="en-US"/>
              </w:rPr>
              <w:t>74</w:t>
            </w:r>
            <w:r w:rsidRPr="003620D0">
              <w:rPr>
                <w:rFonts w:eastAsia="Times New Roman" w:cs="Times New Roman"/>
                <w:b/>
                <w:bCs/>
                <w:sz w:val="18"/>
                <w:szCs w:val="18"/>
              </w:rPr>
              <w:t>,</w:t>
            </w:r>
            <w:r w:rsidRPr="003620D0">
              <w:rPr>
                <w:rFonts w:eastAsia="Times New Roman" w:cs="Times New Roman"/>
                <w:b/>
                <w:bCs/>
                <w:sz w:val="18"/>
                <w:szCs w:val="18"/>
                <w:lang w:val="en-US"/>
              </w:rPr>
              <w:t>8</w:t>
            </w:r>
            <w:r w:rsidRPr="003620D0">
              <w:rPr>
                <w:rFonts w:eastAsia="Times New Roman" w:cs="Times New Roman"/>
                <w:b/>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jc w:val="left"/>
              <w:rPr>
                <w:rFonts w:eastAsia="Times New Roman" w:cs="Times New Roman"/>
                <w:color w:val="000000"/>
                <w:sz w:val="18"/>
                <w:szCs w:val="18"/>
              </w:rPr>
            </w:pPr>
            <w:r w:rsidRPr="003620D0">
              <w:rPr>
                <w:rFonts w:eastAsia="Times New Roman" w:cs="Times New Roman"/>
                <w:color w:val="000000"/>
                <w:sz w:val="18"/>
                <w:szCs w:val="18"/>
              </w:rPr>
              <w:t>Данъчни приходи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34 546,1</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rPr>
              <w:t>2</w:t>
            </w:r>
            <w:r w:rsidRPr="003620D0">
              <w:rPr>
                <w:rFonts w:eastAsia="Times New Roman" w:cs="Times New Roman"/>
                <w:bCs/>
                <w:sz w:val="18"/>
                <w:szCs w:val="18"/>
                <w:lang w:val="en-US"/>
              </w:rPr>
              <w:t>6</w:t>
            </w:r>
            <w:r w:rsidRPr="003620D0">
              <w:rPr>
                <w:rFonts w:eastAsia="Times New Roman" w:cs="Times New Roman"/>
                <w:bCs/>
                <w:sz w:val="18"/>
                <w:szCs w:val="18"/>
              </w:rPr>
              <w:t xml:space="preserve"> </w:t>
            </w:r>
            <w:r w:rsidRPr="003620D0">
              <w:rPr>
                <w:rFonts w:eastAsia="Times New Roman" w:cs="Times New Roman"/>
                <w:bCs/>
                <w:sz w:val="18"/>
                <w:szCs w:val="18"/>
                <w:lang w:val="en-US"/>
              </w:rPr>
              <w:t>096</w:t>
            </w:r>
            <w:r w:rsidRPr="003620D0">
              <w:rPr>
                <w:rFonts w:eastAsia="Times New Roman" w:cs="Times New Roman"/>
                <w:bCs/>
                <w:sz w:val="18"/>
                <w:szCs w:val="18"/>
              </w:rPr>
              <w:t>,</w:t>
            </w:r>
            <w:r w:rsidRPr="003620D0">
              <w:rPr>
                <w:rFonts w:eastAsia="Times New Roman" w:cs="Times New Roman"/>
                <w:bCs/>
                <w:sz w:val="18"/>
                <w:szCs w:val="18"/>
                <w:lang w:val="en-US"/>
              </w:rPr>
              <w:t>2</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rPr>
              <w:t>2</w:t>
            </w:r>
            <w:r w:rsidRPr="003620D0">
              <w:rPr>
                <w:rFonts w:eastAsia="Times New Roman" w:cs="Times New Roman"/>
                <w:bCs/>
                <w:sz w:val="18"/>
                <w:szCs w:val="18"/>
                <w:lang w:val="en-US"/>
              </w:rPr>
              <w:t>6</w:t>
            </w:r>
            <w:r w:rsidRPr="003620D0">
              <w:rPr>
                <w:rFonts w:eastAsia="Times New Roman" w:cs="Times New Roman"/>
                <w:bCs/>
                <w:sz w:val="18"/>
                <w:szCs w:val="18"/>
              </w:rPr>
              <w:t xml:space="preserve"> </w:t>
            </w:r>
            <w:r w:rsidRPr="003620D0">
              <w:rPr>
                <w:rFonts w:eastAsia="Times New Roman" w:cs="Times New Roman"/>
                <w:bCs/>
                <w:sz w:val="18"/>
                <w:szCs w:val="18"/>
                <w:lang w:val="en-US"/>
              </w:rPr>
              <w:t>096</w:t>
            </w:r>
            <w:r w:rsidRPr="003620D0">
              <w:rPr>
                <w:rFonts w:eastAsia="Times New Roman" w:cs="Times New Roman"/>
                <w:bCs/>
                <w:sz w:val="18"/>
                <w:szCs w:val="18"/>
              </w:rPr>
              <w:t>,</w:t>
            </w:r>
            <w:r w:rsidRPr="003620D0">
              <w:rPr>
                <w:rFonts w:eastAsia="Times New Roman" w:cs="Times New Roman"/>
                <w:bCs/>
                <w:sz w:val="18"/>
                <w:szCs w:val="18"/>
                <w:lang w:val="en-US"/>
              </w:rPr>
              <w:t>2</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75</w:t>
            </w:r>
            <w:r w:rsidRPr="003620D0">
              <w:rPr>
                <w:rFonts w:eastAsia="Times New Roman" w:cs="Times New Roman"/>
                <w:bCs/>
                <w:sz w:val="18"/>
                <w:szCs w:val="18"/>
              </w:rPr>
              <w:t>,</w:t>
            </w:r>
            <w:r w:rsidRPr="003620D0">
              <w:rPr>
                <w:rFonts w:eastAsia="Times New Roman" w:cs="Times New Roman"/>
                <w:bCs/>
                <w:sz w:val="18"/>
                <w:szCs w:val="18"/>
                <w:lang w:val="en-US"/>
              </w:rPr>
              <w:t>5</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ind w:left="170"/>
              <w:jc w:val="left"/>
              <w:rPr>
                <w:rFonts w:eastAsia="Times New Roman" w:cs="Times New Roman"/>
                <w:color w:val="000000"/>
                <w:sz w:val="18"/>
                <w:szCs w:val="18"/>
              </w:rPr>
            </w:pPr>
            <w:r w:rsidRPr="003620D0">
              <w:rPr>
                <w:rFonts w:eastAsia="Times New Roman" w:cs="Times New Roman"/>
                <w:color w:val="000000"/>
                <w:sz w:val="18"/>
                <w:szCs w:val="18"/>
              </w:rPr>
              <w:t>Преки данъци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6 559,9</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4</w:t>
            </w:r>
            <w:r w:rsidRPr="003620D0">
              <w:rPr>
                <w:rFonts w:eastAsia="Times New Roman" w:cs="Times New Roman"/>
                <w:bCs/>
                <w:sz w:val="18"/>
                <w:szCs w:val="18"/>
              </w:rPr>
              <w:t xml:space="preserve"> </w:t>
            </w:r>
            <w:r w:rsidRPr="003620D0">
              <w:rPr>
                <w:rFonts w:eastAsia="Times New Roman" w:cs="Times New Roman"/>
                <w:bCs/>
                <w:sz w:val="18"/>
                <w:szCs w:val="18"/>
                <w:lang w:val="en-US"/>
              </w:rPr>
              <w:t>660</w:t>
            </w:r>
            <w:r w:rsidRPr="003620D0">
              <w:rPr>
                <w:rFonts w:eastAsia="Times New Roman" w:cs="Times New Roman"/>
                <w:bCs/>
                <w:sz w:val="18"/>
                <w:szCs w:val="18"/>
              </w:rPr>
              <w:t>,</w:t>
            </w:r>
            <w:r w:rsidRPr="003620D0">
              <w:rPr>
                <w:rFonts w:eastAsia="Times New Roman" w:cs="Times New Roman"/>
                <w:bCs/>
                <w:sz w:val="18"/>
                <w:szCs w:val="18"/>
                <w:lang w:val="en-US"/>
              </w:rPr>
              <w:t>2</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4</w:t>
            </w:r>
            <w:r w:rsidRPr="003620D0">
              <w:rPr>
                <w:rFonts w:eastAsia="Times New Roman" w:cs="Times New Roman"/>
                <w:bCs/>
                <w:sz w:val="18"/>
                <w:szCs w:val="18"/>
              </w:rPr>
              <w:t xml:space="preserve"> </w:t>
            </w:r>
            <w:r w:rsidRPr="003620D0">
              <w:rPr>
                <w:rFonts w:eastAsia="Times New Roman" w:cs="Times New Roman"/>
                <w:bCs/>
                <w:sz w:val="18"/>
                <w:szCs w:val="18"/>
                <w:lang w:val="en-US"/>
              </w:rPr>
              <w:t>660</w:t>
            </w:r>
            <w:r w:rsidRPr="003620D0">
              <w:rPr>
                <w:rFonts w:eastAsia="Times New Roman" w:cs="Times New Roman"/>
                <w:bCs/>
                <w:sz w:val="18"/>
                <w:szCs w:val="18"/>
              </w:rPr>
              <w:t>,</w:t>
            </w:r>
            <w:r w:rsidRPr="003620D0">
              <w:rPr>
                <w:rFonts w:eastAsia="Times New Roman" w:cs="Times New Roman"/>
                <w:bCs/>
                <w:sz w:val="18"/>
                <w:szCs w:val="18"/>
                <w:lang w:val="en-US"/>
              </w:rPr>
              <w:t>2</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71</w:t>
            </w:r>
            <w:r w:rsidRPr="003620D0">
              <w:rPr>
                <w:rFonts w:eastAsia="Times New Roman" w:cs="Times New Roman"/>
                <w:bCs/>
                <w:sz w:val="18"/>
                <w:szCs w:val="18"/>
              </w:rPr>
              <w:t>,</w:t>
            </w:r>
            <w:r w:rsidRPr="003620D0">
              <w:rPr>
                <w:rFonts w:eastAsia="Times New Roman" w:cs="Times New Roman"/>
                <w:bCs/>
                <w:sz w:val="18"/>
                <w:szCs w:val="18"/>
                <w:lang w:val="en-US"/>
              </w:rPr>
              <w:t>0</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ind w:left="170"/>
              <w:jc w:val="left"/>
              <w:rPr>
                <w:rFonts w:eastAsia="Times New Roman" w:cs="Times New Roman"/>
                <w:color w:val="000000"/>
                <w:sz w:val="18"/>
                <w:szCs w:val="18"/>
              </w:rPr>
            </w:pPr>
            <w:r w:rsidRPr="003620D0">
              <w:rPr>
                <w:rFonts w:eastAsia="Times New Roman" w:cs="Times New Roman"/>
                <w:color w:val="000000"/>
                <w:sz w:val="18"/>
                <w:szCs w:val="18"/>
              </w:rPr>
              <w:t xml:space="preserve">Косвени данъци </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16 437,3</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12</w:t>
            </w:r>
            <w:r w:rsidRPr="003620D0">
              <w:rPr>
                <w:rFonts w:eastAsia="Times New Roman" w:cs="Times New Roman"/>
                <w:bCs/>
                <w:sz w:val="18"/>
                <w:szCs w:val="18"/>
              </w:rPr>
              <w:t> </w:t>
            </w:r>
            <w:r w:rsidRPr="003620D0">
              <w:rPr>
                <w:rFonts w:eastAsia="Times New Roman" w:cs="Times New Roman"/>
                <w:bCs/>
                <w:sz w:val="18"/>
                <w:szCs w:val="18"/>
                <w:lang w:val="en-US"/>
              </w:rPr>
              <w:t>758,7</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12</w:t>
            </w:r>
            <w:r w:rsidRPr="003620D0">
              <w:rPr>
                <w:rFonts w:eastAsia="Times New Roman" w:cs="Times New Roman"/>
                <w:bCs/>
                <w:sz w:val="18"/>
                <w:szCs w:val="18"/>
              </w:rPr>
              <w:t> </w:t>
            </w:r>
            <w:r w:rsidRPr="003620D0">
              <w:rPr>
                <w:rFonts w:eastAsia="Times New Roman" w:cs="Times New Roman"/>
                <w:bCs/>
                <w:sz w:val="18"/>
                <w:szCs w:val="18"/>
                <w:lang w:val="en-US"/>
              </w:rPr>
              <w:t>758,7</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77</w:t>
            </w:r>
            <w:r w:rsidRPr="003620D0">
              <w:rPr>
                <w:rFonts w:eastAsia="Times New Roman" w:cs="Times New Roman"/>
                <w:bCs/>
                <w:sz w:val="18"/>
                <w:szCs w:val="18"/>
              </w:rPr>
              <w:t>,</w:t>
            </w:r>
            <w:r w:rsidRPr="003620D0">
              <w:rPr>
                <w:rFonts w:eastAsia="Times New Roman" w:cs="Times New Roman"/>
                <w:bCs/>
                <w:sz w:val="18"/>
                <w:szCs w:val="18"/>
                <w:lang w:val="en-US"/>
              </w:rPr>
              <w:t>6</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ind w:left="170"/>
              <w:jc w:val="left"/>
              <w:rPr>
                <w:rFonts w:eastAsia="Times New Roman" w:cs="Times New Roman"/>
                <w:color w:val="000000"/>
                <w:sz w:val="18"/>
                <w:szCs w:val="18"/>
              </w:rPr>
            </w:pPr>
            <w:r w:rsidRPr="003620D0">
              <w:rPr>
                <w:rFonts w:eastAsia="Times New Roman" w:cs="Times New Roman"/>
                <w:color w:val="000000"/>
                <w:sz w:val="18"/>
                <w:szCs w:val="18"/>
              </w:rPr>
              <w:t>Приходи от социални и здравноосигурителни вноски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10 379,2</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7</w:t>
            </w:r>
            <w:r w:rsidRPr="003620D0">
              <w:rPr>
                <w:rFonts w:eastAsia="Times New Roman" w:cs="Times New Roman"/>
                <w:bCs/>
                <w:sz w:val="18"/>
                <w:szCs w:val="18"/>
              </w:rPr>
              <w:t xml:space="preserve"> </w:t>
            </w:r>
            <w:r w:rsidRPr="003620D0">
              <w:rPr>
                <w:rFonts w:eastAsia="Times New Roman" w:cs="Times New Roman"/>
                <w:bCs/>
                <w:sz w:val="18"/>
                <w:szCs w:val="18"/>
                <w:lang w:val="en-US"/>
              </w:rPr>
              <w:t>749</w:t>
            </w:r>
            <w:r w:rsidRPr="003620D0">
              <w:rPr>
                <w:rFonts w:eastAsia="Times New Roman" w:cs="Times New Roman"/>
                <w:bCs/>
                <w:sz w:val="18"/>
                <w:szCs w:val="18"/>
              </w:rPr>
              <w:t>,</w:t>
            </w:r>
            <w:r w:rsidRPr="003620D0">
              <w:rPr>
                <w:rFonts w:eastAsia="Times New Roman" w:cs="Times New Roman"/>
                <w:bCs/>
                <w:sz w:val="18"/>
                <w:szCs w:val="18"/>
                <w:lang w:val="en-US"/>
              </w:rPr>
              <w:t>6</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7</w:t>
            </w:r>
            <w:r w:rsidRPr="003620D0">
              <w:rPr>
                <w:rFonts w:eastAsia="Times New Roman" w:cs="Times New Roman"/>
                <w:bCs/>
                <w:sz w:val="18"/>
                <w:szCs w:val="18"/>
              </w:rPr>
              <w:t xml:space="preserve"> </w:t>
            </w:r>
            <w:r w:rsidRPr="003620D0">
              <w:rPr>
                <w:rFonts w:eastAsia="Times New Roman" w:cs="Times New Roman"/>
                <w:bCs/>
                <w:sz w:val="18"/>
                <w:szCs w:val="18"/>
                <w:lang w:val="en-US"/>
              </w:rPr>
              <w:t>749</w:t>
            </w:r>
            <w:r w:rsidRPr="003620D0">
              <w:rPr>
                <w:rFonts w:eastAsia="Times New Roman" w:cs="Times New Roman"/>
                <w:bCs/>
                <w:sz w:val="18"/>
                <w:szCs w:val="18"/>
              </w:rPr>
              <w:t>,</w:t>
            </w:r>
            <w:r w:rsidRPr="003620D0">
              <w:rPr>
                <w:rFonts w:eastAsia="Times New Roman" w:cs="Times New Roman"/>
                <w:bCs/>
                <w:sz w:val="18"/>
                <w:szCs w:val="18"/>
                <w:lang w:val="en-US"/>
              </w:rPr>
              <w:t>6</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74</w:t>
            </w:r>
            <w:r w:rsidRPr="003620D0">
              <w:rPr>
                <w:rFonts w:eastAsia="Times New Roman" w:cs="Times New Roman"/>
                <w:bCs/>
                <w:sz w:val="18"/>
                <w:szCs w:val="18"/>
              </w:rPr>
              <w:t>,</w:t>
            </w:r>
            <w:r w:rsidRPr="003620D0">
              <w:rPr>
                <w:rFonts w:eastAsia="Times New Roman" w:cs="Times New Roman"/>
                <w:bCs/>
                <w:sz w:val="18"/>
                <w:szCs w:val="18"/>
                <w:lang w:val="en-US"/>
              </w:rPr>
              <w:t>7</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ind w:left="170"/>
              <w:jc w:val="left"/>
              <w:rPr>
                <w:rFonts w:eastAsia="Times New Roman" w:cs="Times New Roman"/>
                <w:color w:val="000000"/>
                <w:sz w:val="18"/>
                <w:szCs w:val="18"/>
              </w:rPr>
            </w:pPr>
            <w:r w:rsidRPr="003620D0">
              <w:rPr>
                <w:rFonts w:eastAsia="Times New Roman" w:cs="Times New Roman"/>
                <w:color w:val="000000"/>
                <w:sz w:val="18"/>
                <w:szCs w:val="18"/>
              </w:rPr>
              <w:t>Други данъци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1 169,6</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927</w:t>
            </w:r>
            <w:r w:rsidRPr="003620D0">
              <w:rPr>
                <w:rFonts w:eastAsia="Times New Roman" w:cs="Times New Roman"/>
                <w:bCs/>
                <w:sz w:val="18"/>
                <w:szCs w:val="18"/>
              </w:rPr>
              <w:t>,7</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927</w:t>
            </w:r>
            <w:r w:rsidRPr="003620D0">
              <w:rPr>
                <w:rFonts w:eastAsia="Times New Roman" w:cs="Times New Roman"/>
                <w:bCs/>
                <w:sz w:val="18"/>
                <w:szCs w:val="18"/>
              </w:rPr>
              <w:t>,7</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79</w:t>
            </w:r>
            <w:r w:rsidRPr="003620D0">
              <w:rPr>
                <w:rFonts w:eastAsia="Times New Roman" w:cs="Times New Roman"/>
                <w:bCs/>
                <w:sz w:val="18"/>
                <w:szCs w:val="18"/>
              </w:rPr>
              <w:t>,</w:t>
            </w:r>
            <w:r w:rsidRPr="003620D0">
              <w:rPr>
                <w:rFonts w:eastAsia="Times New Roman" w:cs="Times New Roman"/>
                <w:bCs/>
                <w:sz w:val="18"/>
                <w:szCs w:val="18"/>
                <w:lang w:val="en-US"/>
              </w:rPr>
              <w:t>3</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jc w:val="left"/>
              <w:rPr>
                <w:rFonts w:eastAsia="Times New Roman" w:cs="Times New Roman"/>
                <w:color w:val="000000"/>
                <w:sz w:val="18"/>
                <w:szCs w:val="18"/>
              </w:rPr>
            </w:pPr>
            <w:r w:rsidRPr="003620D0">
              <w:rPr>
                <w:rFonts w:eastAsia="Times New Roman" w:cs="Times New Roman"/>
                <w:color w:val="000000"/>
                <w:sz w:val="18"/>
                <w:szCs w:val="18"/>
              </w:rPr>
              <w:t>Неданъчни приходи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6 627,6</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rPr>
              <w:t xml:space="preserve">4 </w:t>
            </w:r>
            <w:r w:rsidRPr="003620D0">
              <w:rPr>
                <w:rFonts w:eastAsia="Times New Roman" w:cs="Times New Roman"/>
                <w:bCs/>
                <w:sz w:val="18"/>
                <w:szCs w:val="18"/>
                <w:lang w:val="en-US"/>
              </w:rPr>
              <w:t>954</w:t>
            </w:r>
            <w:r w:rsidRPr="003620D0">
              <w:rPr>
                <w:rFonts w:eastAsia="Times New Roman" w:cs="Times New Roman"/>
                <w:bCs/>
                <w:sz w:val="18"/>
                <w:szCs w:val="18"/>
              </w:rPr>
              <w:t>,</w:t>
            </w:r>
            <w:r w:rsidRPr="003620D0">
              <w:rPr>
                <w:rFonts w:eastAsia="Times New Roman" w:cs="Times New Roman"/>
                <w:bCs/>
                <w:sz w:val="18"/>
                <w:szCs w:val="18"/>
                <w:lang w:val="en-US"/>
              </w:rPr>
              <w:t>9</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rPr>
              <w:t xml:space="preserve">4 </w:t>
            </w:r>
            <w:r w:rsidRPr="003620D0">
              <w:rPr>
                <w:rFonts w:eastAsia="Times New Roman" w:cs="Times New Roman"/>
                <w:bCs/>
                <w:sz w:val="18"/>
                <w:szCs w:val="18"/>
                <w:lang w:val="en-US"/>
              </w:rPr>
              <w:t>953</w:t>
            </w:r>
            <w:r w:rsidRPr="003620D0">
              <w:rPr>
                <w:rFonts w:eastAsia="Times New Roman" w:cs="Times New Roman"/>
                <w:bCs/>
                <w:sz w:val="18"/>
                <w:szCs w:val="18"/>
              </w:rPr>
              <w:t>,</w:t>
            </w:r>
            <w:r w:rsidRPr="003620D0">
              <w:rPr>
                <w:rFonts w:eastAsia="Times New Roman" w:cs="Times New Roman"/>
                <w:bCs/>
                <w:sz w:val="18"/>
                <w:szCs w:val="18"/>
                <w:lang w:val="en-US"/>
              </w:rPr>
              <w:t>8</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1,1</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74</w:t>
            </w:r>
            <w:r w:rsidRPr="003620D0">
              <w:rPr>
                <w:rFonts w:eastAsia="Times New Roman" w:cs="Times New Roman"/>
                <w:bCs/>
                <w:sz w:val="18"/>
                <w:szCs w:val="18"/>
              </w:rPr>
              <w:t>,</w:t>
            </w:r>
            <w:r w:rsidRPr="003620D0">
              <w:rPr>
                <w:rFonts w:eastAsia="Times New Roman" w:cs="Times New Roman"/>
                <w:bCs/>
                <w:sz w:val="18"/>
                <w:szCs w:val="18"/>
                <w:lang w:val="en-US"/>
              </w:rPr>
              <w:t>8</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jc w:val="left"/>
              <w:rPr>
                <w:rFonts w:eastAsia="Times New Roman" w:cs="Times New Roman"/>
                <w:color w:val="000000"/>
                <w:sz w:val="18"/>
                <w:szCs w:val="18"/>
              </w:rPr>
            </w:pPr>
            <w:r w:rsidRPr="003620D0">
              <w:rPr>
                <w:rFonts w:eastAsia="Times New Roman" w:cs="Times New Roman"/>
                <w:color w:val="000000"/>
                <w:sz w:val="18"/>
                <w:szCs w:val="18"/>
              </w:rPr>
              <w:t>Помощи и дарения</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2 683,3</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rPr>
              <w:t xml:space="preserve">1 </w:t>
            </w:r>
            <w:r w:rsidRPr="003620D0">
              <w:rPr>
                <w:rFonts w:eastAsia="Times New Roman" w:cs="Times New Roman"/>
                <w:bCs/>
                <w:sz w:val="18"/>
                <w:szCs w:val="18"/>
                <w:lang w:val="en-US"/>
              </w:rPr>
              <w:t>746</w:t>
            </w:r>
            <w:r w:rsidRPr="003620D0">
              <w:rPr>
                <w:rFonts w:eastAsia="Times New Roman" w:cs="Times New Roman"/>
                <w:bCs/>
                <w:sz w:val="18"/>
                <w:szCs w:val="18"/>
              </w:rPr>
              <w:t>,</w:t>
            </w:r>
            <w:r w:rsidRPr="003620D0">
              <w:rPr>
                <w:rFonts w:eastAsia="Times New Roman" w:cs="Times New Roman"/>
                <w:bCs/>
                <w:sz w:val="18"/>
                <w:szCs w:val="18"/>
                <w:lang w:val="en-US"/>
              </w:rPr>
              <w:t>8</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30</w:t>
            </w:r>
            <w:r w:rsidRPr="003620D0">
              <w:rPr>
                <w:rFonts w:eastAsia="Times New Roman" w:cs="Times New Roman"/>
                <w:bCs/>
                <w:sz w:val="18"/>
                <w:szCs w:val="18"/>
              </w:rPr>
              <w:t>,</w:t>
            </w:r>
            <w:r w:rsidRPr="003620D0">
              <w:rPr>
                <w:rFonts w:eastAsia="Times New Roman" w:cs="Times New Roman"/>
                <w:bCs/>
                <w:sz w:val="18"/>
                <w:szCs w:val="18"/>
                <w:lang w:val="en-US"/>
              </w:rPr>
              <w:t>7</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rPr>
              <w:t xml:space="preserve">1 </w:t>
            </w:r>
            <w:r w:rsidRPr="003620D0">
              <w:rPr>
                <w:rFonts w:eastAsia="Times New Roman" w:cs="Times New Roman"/>
                <w:bCs/>
                <w:sz w:val="18"/>
                <w:szCs w:val="18"/>
                <w:lang w:val="en-US"/>
              </w:rPr>
              <w:t>716</w:t>
            </w:r>
            <w:r w:rsidRPr="003620D0">
              <w:rPr>
                <w:rFonts w:eastAsia="Times New Roman" w:cs="Times New Roman"/>
                <w:bCs/>
                <w:sz w:val="18"/>
                <w:szCs w:val="18"/>
              </w:rPr>
              <w:t>,</w:t>
            </w:r>
            <w:r w:rsidRPr="003620D0">
              <w:rPr>
                <w:rFonts w:eastAsia="Times New Roman" w:cs="Times New Roman"/>
                <w:bCs/>
                <w:sz w:val="18"/>
                <w:szCs w:val="18"/>
                <w:lang w:val="en-US"/>
              </w:rPr>
              <w:t>1</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65</w:t>
            </w:r>
            <w:r w:rsidRPr="003620D0">
              <w:rPr>
                <w:rFonts w:eastAsia="Times New Roman" w:cs="Times New Roman"/>
                <w:bCs/>
                <w:sz w:val="18"/>
                <w:szCs w:val="18"/>
              </w:rPr>
              <w:t>,</w:t>
            </w:r>
            <w:r w:rsidRPr="003620D0">
              <w:rPr>
                <w:rFonts w:eastAsia="Times New Roman" w:cs="Times New Roman"/>
                <w:bCs/>
                <w:sz w:val="18"/>
                <w:szCs w:val="18"/>
                <w:lang w:val="en-US"/>
              </w:rPr>
              <w:t>1</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vAlign w:val="center"/>
            <w:hideMark/>
          </w:tcPr>
          <w:p w:rsidR="003C0431" w:rsidRPr="003620D0" w:rsidRDefault="003C0431" w:rsidP="00AD2E9D">
            <w:pPr>
              <w:spacing w:after="0"/>
              <w:rPr>
                <w:rFonts w:eastAsia="Times New Roman" w:cs="Times New Roman"/>
                <w:b/>
                <w:bCs/>
                <w:color w:val="000000"/>
                <w:sz w:val="18"/>
                <w:szCs w:val="18"/>
              </w:rPr>
            </w:pPr>
            <w:r w:rsidRPr="003620D0">
              <w:rPr>
                <w:rFonts w:eastAsia="Times New Roman" w:cs="Times New Roman"/>
                <w:b/>
                <w:bCs/>
                <w:color w:val="000000"/>
                <w:sz w:val="18"/>
                <w:szCs w:val="18"/>
              </w:rPr>
              <w:t>РАЗХОДИ И ВНОСКА В БЮДЖЕТА НА ЕС</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rPr>
            </w:pPr>
            <w:r w:rsidRPr="003620D0">
              <w:rPr>
                <w:rFonts w:eastAsia="Times New Roman" w:cs="Times New Roman"/>
                <w:b/>
                <w:bCs/>
                <w:sz w:val="18"/>
                <w:szCs w:val="18"/>
              </w:rPr>
              <w:t>46 289,6</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lang w:val="en-US"/>
              </w:rPr>
            </w:pPr>
            <w:r w:rsidRPr="003620D0">
              <w:rPr>
                <w:rFonts w:eastAsia="Times New Roman" w:cs="Times New Roman"/>
                <w:b/>
                <w:bCs/>
                <w:sz w:val="18"/>
                <w:szCs w:val="18"/>
                <w:lang w:val="en-US"/>
              </w:rPr>
              <w:t>31</w:t>
            </w:r>
            <w:r w:rsidRPr="003620D0">
              <w:rPr>
                <w:rFonts w:eastAsia="Times New Roman" w:cs="Times New Roman"/>
                <w:b/>
                <w:bCs/>
                <w:sz w:val="18"/>
                <w:szCs w:val="18"/>
              </w:rPr>
              <w:t xml:space="preserve"> </w:t>
            </w:r>
            <w:r w:rsidRPr="003620D0">
              <w:rPr>
                <w:rFonts w:eastAsia="Times New Roman" w:cs="Times New Roman"/>
                <w:b/>
                <w:bCs/>
                <w:sz w:val="18"/>
                <w:szCs w:val="18"/>
                <w:lang w:val="en-US"/>
              </w:rPr>
              <w:t>533</w:t>
            </w:r>
            <w:r w:rsidRPr="003620D0">
              <w:rPr>
                <w:rFonts w:eastAsia="Times New Roman" w:cs="Times New Roman"/>
                <w:b/>
                <w:bCs/>
                <w:sz w:val="18"/>
                <w:szCs w:val="18"/>
              </w:rPr>
              <w:t>,</w:t>
            </w:r>
            <w:r w:rsidRPr="003620D0">
              <w:rPr>
                <w:rFonts w:eastAsia="Times New Roman" w:cs="Times New Roman"/>
                <w:b/>
                <w:bCs/>
                <w:sz w:val="18"/>
                <w:szCs w:val="18"/>
                <w:lang w:val="en-US"/>
              </w:rPr>
              <w:t>4</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lang w:val="en-US"/>
              </w:rPr>
            </w:pPr>
            <w:r w:rsidRPr="003620D0">
              <w:rPr>
                <w:rFonts w:eastAsia="Times New Roman" w:cs="Times New Roman"/>
                <w:b/>
                <w:bCs/>
                <w:sz w:val="18"/>
                <w:szCs w:val="18"/>
              </w:rPr>
              <w:t>2</w:t>
            </w:r>
            <w:r w:rsidRPr="003620D0">
              <w:rPr>
                <w:rFonts w:eastAsia="Times New Roman" w:cs="Times New Roman"/>
                <w:b/>
                <w:bCs/>
                <w:sz w:val="18"/>
                <w:szCs w:val="18"/>
                <w:lang w:val="en-US"/>
              </w:rPr>
              <w:t>9</w:t>
            </w:r>
            <w:r w:rsidRPr="003620D0">
              <w:rPr>
                <w:rFonts w:eastAsia="Times New Roman" w:cs="Times New Roman"/>
                <w:b/>
                <w:bCs/>
                <w:sz w:val="18"/>
                <w:szCs w:val="18"/>
              </w:rPr>
              <w:t xml:space="preserve"> </w:t>
            </w:r>
            <w:r w:rsidRPr="003620D0">
              <w:rPr>
                <w:rFonts w:eastAsia="Times New Roman" w:cs="Times New Roman"/>
                <w:b/>
                <w:bCs/>
                <w:sz w:val="18"/>
                <w:szCs w:val="18"/>
                <w:lang w:val="en-US"/>
              </w:rPr>
              <w:t>412</w:t>
            </w:r>
            <w:r w:rsidRPr="003620D0">
              <w:rPr>
                <w:rFonts w:eastAsia="Times New Roman" w:cs="Times New Roman"/>
                <w:b/>
                <w:bCs/>
                <w:sz w:val="18"/>
                <w:szCs w:val="18"/>
              </w:rPr>
              <w:t>,</w:t>
            </w:r>
            <w:r w:rsidRPr="003620D0">
              <w:rPr>
                <w:rFonts w:eastAsia="Times New Roman" w:cs="Times New Roman"/>
                <w:b/>
                <w:bCs/>
                <w:sz w:val="18"/>
                <w:szCs w:val="18"/>
                <w:lang w:val="en-US"/>
              </w:rPr>
              <w:t>4</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lang w:val="en-US"/>
              </w:rPr>
            </w:pPr>
            <w:r w:rsidRPr="003620D0">
              <w:rPr>
                <w:rFonts w:eastAsia="Times New Roman" w:cs="Times New Roman"/>
                <w:b/>
                <w:bCs/>
                <w:sz w:val="18"/>
                <w:szCs w:val="18"/>
                <w:lang w:val="en-US"/>
              </w:rPr>
              <w:t>2</w:t>
            </w:r>
            <w:r w:rsidRPr="003620D0">
              <w:rPr>
                <w:rFonts w:eastAsia="Times New Roman" w:cs="Times New Roman"/>
                <w:b/>
                <w:bCs/>
                <w:sz w:val="18"/>
                <w:szCs w:val="18"/>
              </w:rPr>
              <w:t xml:space="preserve"> </w:t>
            </w:r>
            <w:r w:rsidRPr="003620D0">
              <w:rPr>
                <w:rFonts w:eastAsia="Times New Roman" w:cs="Times New Roman"/>
                <w:b/>
                <w:bCs/>
                <w:sz w:val="18"/>
                <w:szCs w:val="18"/>
                <w:lang w:val="en-US"/>
              </w:rPr>
              <w:t>12</w:t>
            </w:r>
            <w:r w:rsidRPr="003620D0">
              <w:rPr>
                <w:rFonts w:eastAsia="Times New Roman" w:cs="Times New Roman"/>
                <w:b/>
                <w:bCs/>
                <w:sz w:val="18"/>
                <w:szCs w:val="18"/>
              </w:rPr>
              <w:t>1,</w:t>
            </w:r>
            <w:r w:rsidRPr="003620D0">
              <w:rPr>
                <w:rFonts w:eastAsia="Times New Roman" w:cs="Times New Roman"/>
                <w:b/>
                <w:bCs/>
                <w:sz w:val="18"/>
                <w:szCs w:val="18"/>
                <w:lang w:val="en-US"/>
              </w:rPr>
              <w:t>0</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rPr>
            </w:pPr>
            <w:r w:rsidRPr="003620D0">
              <w:rPr>
                <w:rFonts w:eastAsia="Times New Roman" w:cs="Times New Roman"/>
                <w:b/>
                <w:bCs/>
                <w:sz w:val="18"/>
                <w:szCs w:val="18"/>
                <w:lang w:val="en-US"/>
              </w:rPr>
              <w:t>68</w:t>
            </w:r>
            <w:r w:rsidRPr="003620D0">
              <w:rPr>
                <w:rFonts w:eastAsia="Times New Roman" w:cs="Times New Roman"/>
                <w:b/>
                <w:bCs/>
                <w:sz w:val="18"/>
                <w:szCs w:val="18"/>
              </w:rPr>
              <w:t>,</w:t>
            </w:r>
            <w:r w:rsidRPr="003620D0">
              <w:rPr>
                <w:rFonts w:eastAsia="Times New Roman" w:cs="Times New Roman"/>
                <w:b/>
                <w:bCs/>
                <w:sz w:val="18"/>
                <w:szCs w:val="18"/>
                <w:lang w:val="en-US"/>
              </w:rPr>
              <w:t>1</w:t>
            </w:r>
            <w:r w:rsidRPr="003620D0">
              <w:rPr>
                <w:rFonts w:eastAsia="Times New Roman" w:cs="Times New Roman"/>
                <w:b/>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rPr>
                <w:rFonts w:eastAsia="Times New Roman" w:cs="Times New Roman"/>
                <w:color w:val="000000"/>
                <w:sz w:val="18"/>
                <w:szCs w:val="18"/>
              </w:rPr>
            </w:pPr>
            <w:r w:rsidRPr="003620D0">
              <w:rPr>
                <w:rFonts w:eastAsia="Times New Roman" w:cs="Times New Roman"/>
                <w:color w:val="000000"/>
                <w:sz w:val="18"/>
                <w:szCs w:val="18"/>
              </w:rPr>
              <w:t>Нелихвени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44 338,2</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2</w:t>
            </w:r>
            <w:r w:rsidRPr="003620D0">
              <w:rPr>
                <w:rFonts w:eastAsia="Times New Roman" w:cs="Times New Roman"/>
                <w:bCs/>
                <w:sz w:val="18"/>
                <w:szCs w:val="18"/>
                <w:lang w:val="en-US"/>
              </w:rPr>
              <w:t>9</w:t>
            </w:r>
            <w:r w:rsidRPr="003620D0">
              <w:rPr>
                <w:rFonts w:eastAsia="Times New Roman" w:cs="Times New Roman"/>
                <w:bCs/>
                <w:sz w:val="18"/>
                <w:szCs w:val="18"/>
              </w:rPr>
              <w:t xml:space="preserve"> </w:t>
            </w:r>
            <w:r w:rsidRPr="003620D0">
              <w:rPr>
                <w:rFonts w:eastAsia="Times New Roman" w:cs="Times New Roman"/>
                <w:bCs/>
                <w:sz w:val="18"/>
                <w:szCs w:val="18"/>
                <w:lang w:val="en-US"/>
              </w:rPr>
              <w:t>954</w:t>
            </w:r>
            <w:r w:rsidRPr="003620D0">
              <w:rPr>
                <w:rFonts w:eastAsia="Times New Roman" w:cs="Times New Roman"/>
                <w:bCs/>
                <w:sz w:val="18"/>
                <w:szCs w:val="18"/>
              </w:rPr>
              <w:t>,3</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27</w:t>
            </w:r>
            <w:r w:rsidRPr="003620D0">
              <w:rPr>
                <w:rFonts w:eastAsia="Times New Roman" w:cs="Times New Roman"/>
                <w:bCs/>
                <w:sz w:val="18"/>
                <w:szCs w:val="18"/>
              </w:rPr>
              <w:t xml:space="preserve"> </w:t>
            </w:r>
            <w:r w:rsidRPr="003620D0">
              <w:rPr>
                <w:rFonts w:eastAsia="Times New Roman" w:cs="Times New Roman"/>
                <w:bCs/>
                <w:sz w:val="18"/>
                <w:szCs w:val="18"/>
                <w:lang w:val="en-US"/>
              </w:rPr>
              <w:t>833</w:t>
            </w:r>
            <w:r w:rsidRPr="003620D0">
              <w:rPr>
                <w:rFonts w:eastAsia="Times New Roman" w:cs="Times New Roman"/>
                <w:bCs/>
                <w:sz w:val="18"/>
                <w:szCs w:val="18"/>
              </w:rPr>
              <w:t>,</w:t>
            </w:r>
            <w:r w:rsidRPr="003620D0">
              <w:rPr>
                <w:rFonts w:eastAsia="Times New Roman" w:cs="Times New Roman"/>
                <w:bCs/>
                <w:sz w:val="18"/>
                <w:szCs w:val="18"/>
                <w:lang w:val="en-US"/>
              </w:rPr>
              <w:t>3</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2</w:t>
            </w:r>
            <w:r w:rsidRPr="003620D0">
              <w:rPr>
                <w:rFonts w:eastAsia="Times New Roman" w:cs="Times New Roman"/>
                <w:bCs/>
                <w:sz w:val="18"/>
                <w:szCs w:val="18"/>
              </w:rPr>
              <w:t xml:space="preserve"> </w:t>
            </w:r>
            <w:r w:rsidRPr="003620D0">
              <w:rPr>
                <w:rFonts w:eastAsia="Times New Roman" w:cs="Times New Roman"/>
                <w:bCs/>
                <w:sz w:val="18"/>
                <w:szCs w:val="18"/>
                <w:lang w:val="en-US"/>
              </w:rPr>
              <w:t>12</w:t>
            </w:r>
            <w:r w:rsidRPr="003620D0">
              <w:rPr>
                <w:rFonts w:eastAsia="Times New Roman" w:cs="Times New Roman"/>
                <w:bCs/>
                <w:sz w:val="18"/>
                <w:szCs w:val="18"/>
              </w:rPr>
              <w:t>1,</w:t>
            </w:r>
            <w:r w:rsidRPr="003620D0">
              <w:rPr>
                <w:rFonts w:eastAsia="Times New Roman" w:cs="Times New Roman"/>
                <w:bCs/>
                <w:sz w:val="18"/>
                <w:szCs w:val="18"/>
                <w:lang w:val="en-US"/>
              </w:rPr>
              <w:t>0</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67</w:t>
            </w:r>
            <w:r w:rsidRPr="003620D0">
              <w:rPr>
                <w:rFonts w:eastAsia="Times New Roman" w:cs="Times New Roman"/>
                <w:bCs/>
                <w:sz w:val="18"/>
                <w:szCs w:val="18"/>
              </w:rPr>
              <w:t>,</w:t>
            </w:r>
            <w:r w:rsidRPr="003620D0">
              <w:rPr>
                <w:rFonts w:eastAsia="Times New Roman" w:cs="Times New Roman"/>
                <w:bCs/>
                <w:sz w:val="18"/>
                <w:szCs w:val="18"/>
                <w:lang w:val="en-US"/>
              </w:rPr>
              <w:t>9</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ind w:left="170"/>
              <w:rPr>
                <w:rFonts w:eastAsia="Times New Roman" w:cs="Times New Roman"/>
                <w:color w:val="000000"/>
                <w:sz w:val="18"/>
                <w:szCs w:val="18"/>
              </w:rPr>
            </w:pPr>
            <w:r w:rsidRPr="003620D0">
              <w:rPr>
                <w:rFonts w:eastAsia="Times New Roman" w:cs="Times New Roman"/>
                <w:color w:val="000000"/>
                <w:sz w:val="18"/>
                <w:szCs w:val="18"/>
              </w:rPr>
              <w:t>Текущи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35 701,5</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25</w:t>
            </w:r>
            <w:r w:rsidRPr="003620D0">
              <w:rPr>
                <w:rFonts w:eastAsia="Times New Roman" w:cs="Times New Roman"/>
                <w:bCs/>
                <w:sz w:val="18"/>
                <w:szCs w:val="18"/>
              </w:rPr>
              <w:t xml:space="preserve"> </w:t>
            </w:r>
            <w:r w:rsidRPr="003620D0">
              <w:rPr>
                <w:rFonts w:eastAsia="Times New Roman" w:cs="Times New Roman"/>
                <w:bCs/>
                <w:sz w:val="18"/>
                <w:szCs w:val="18"/>
                <w:lang w:val="en-US"/>
              </w:rPr>
              <w:t>337</w:t>
            </w:r>
            <w:r w:rsidRPr="003620D0">
              <w:rPr>
                <w:rFonts w:eastAsia="Times New Roman" w:cs="Times New Roman"/>
                <w:bCs/>
                <w:sz w:val="18"/>
                <w:szCs w:val="18"/>
              </w:rPr>
              <w:t>,</w:t>
            </w:r>
            <w:r w:rsidRPr="003620D0">
              <w:rPr>
                <w:rFonts w:eastAsia="Times New Roman" w:cs="Times New Roman"/>
                <w:bCs/>
                <w:sz w:val="18"/>
                <w:szCs w:val="18"/>
                <w:lang w:val="en-US"/>
              </w:rPr>
              <w:t>8</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24</w:t>
            </w:r>
            <w:r w:rsidRPr="003620D0">
              <w:rPr>
                <w:rFonts w:eastAsia="Times New Roman" w:cs="Times New Roman"/>
                <w:bCs/>
                <w:sz w:val="18"/>
                <w:szCs w:val="18"/>
              </w:rPr>
              <w:t xml:space="preserve"> </w:t>
            </w:r>
            <w:r w:rsidRPr="003620D0">
              <w:rPr>
                <w:rFonts w:eastAsia="Times New Roman" w:cs="Times New Roman"/>
                <w:bCs/>
                <w:sz w:val="18"/>
                <w:szCs w:val="18"/>
                <w:lang w:val="en-US"/>
              </w:rPr>
              <w:t>577</w:t>
            </w:r>
            <w:r w:rsidRPr="003620D0">
              <w:rPr>
                <w:rFonts w:eastAsia="Times New Roman" w:cs="Times New Roman"/>
                <w:bCs/>
                <w:sz w:val="18"/>
                <w:szCs w:val="18"/>
              </w:rPr>
              <w:t>,</w:t>
            </w:r>
            <w:r w:rsidRPr="003620D0">
              <w:rPr>
                <w:rFonts w:eastAsia="Times New Roman" w:cs="Times New Roman"/>
                <w:bCs/>
                <w:sz w:val="18"/>
                <w:szCs w:val="18"/>
                <w:lang w:val="en-US"/>
              </w:rPr>
              <w:t>9</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759</w:t>
            </w:r>
            <w:r w:rsidRPr="003620D0">
              <w:rPr>
                <w:rFonts w:eastAsia="Times New Roman" w:cs="Times New Roman"/>
                <w:bCs/>
                <w:sz w:val="18"/>
                <w:szCs w:val="18"/>
              </w:rPr>
              <w:t>,</w:t>
            </w:r>
            <w:r w:rsidRPr="003620D0">
              <w:rPr>
                <w:rFonts w:eastAsia="Times New Roman" w:cs="Times New Roman"/>
                <w:bCs/>
                <w:sz w:val="18"/>
                <w:szCs w:val="18"/>
                <w:lang w:val="en-US"/>
              </w:rPr>
              <w:t>9</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71</w:t>
            </w:r>
            <w:r w:rsidRPr="003620D0">
              <w:rPr>
                <w:rFonts w:eastAsia="Times New Roman" w:cs="Times New Roman"/>
                <w:bCs/>
                <w:sz w:val="18"/>
                <w:szCs w:val="18"/>
              </w:rPr>
              <w:t>,0%</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ind w:left="170"/>
              <w:rPr>
                <w:rFonts w:eastAsia="Times New Roman" w:cs="Times New Roman"/>
                <w:color w:val="000000"/>
                <w:sz w:val="18"/>
                <w:szCs w:val="18"/>
              </w:rPr>
            </w:pPr>
            <w:r w:rsidRPr="003620D0">
              <w:rPr>
                <w:rFonts w:eastAsia="Times New Roman" w:cs="Times New Roman"/>
                <w:color w:val="000000"/>
                <w:sz w:val="18"/>
                <w:szCs w:val="18"/>
              </w:rPr>
              <w:t>Капиталови**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8 414,2</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4 588</w:t>
            </w:r>
            <w:r w:rsidRPr="003620D0">
              <w:rPr>
                <w:rFonts w:eastAsia="Times New Roman" w:cs="Times New Roman"/>
                <w:bCs/>
                <w:sz w:val="18"/>
                <w:szCs w:val="18"/>
              </w:rPr>
              <w:t>,</w:t>
            </w:r>
            <w:r w:rsidRPr="003620D0">
              <w:rPr>
                <w:rFonts w:eastAsia="Times New Roman" w:cs="Times New Roman"/>
                <w:bCs/>
                <w:sz w:val="18"/>
                <w:szCs w:val="18"/>
                <w:lang w:val="en-US"/>
              </w:rPr>
              <w:t>7</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3 245</w:t>
            </w:r>
            <w:r w:rsidRPr="003620D0">
              <w:rPr>
                <w:rFonts w:eastAsia="Times New Roman" w:cs="Times New Roman"/>
                <w:bCs/>
                <w:sz w:val="18"/>
                <w:szCs w:val="18"/>
              </w:rPr>
              <w:t>,</w:t>
            </w:r>
            <w:r w:rsidRPr="003620D0">
              <w:rPr>
                <w:rFonts w:eastAsia="Times New Roman" w:cs="Times New Roman"/>
                <w:bCs/>
                <w:sz w:val="18"/>
                <w:szCs w:val="18"/>
                <w:lang w:val="en-US"/>
              </w:rPr>
              <w:t>2</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xml:space="preserve">1 </w:t>
            </w:r>
            <w:r w:rsidRPr="003620D0">
              <w:rPr>
                <w:rFonts w:eastAsia="Times New Roman" w:cs="Times New Roman"/>
                <w:bCs/>
                <w:sz w:val="18"/>
                <w:szCs w:val="18"/>
                <w:lang w:val="en-US"/>
              </w:rPr>
              <w:t>343</w:t>
            </w:r>
            <w:r w:rsidRPr="003620D0">
              <w:rPr>
                <w:rFonts w:eastAsia="Times New Roman" w:cs="Times New Roman"/>
                <w:bCs/>
                <w:sz w:val="18"/>
                <w:szCs w:val="18"/>
              </w:rPr>
              <w:t>,5</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54</w:t>
            </w:r>
            <w:r w:rsidRPr="003620D0">
              <w:rPr>
                <w:rFonts w:eastAsia="Times New Roman" w:cs="Times New Roman"/>
                <w:bCs/>
                <w:sz w:val="18"/>
                <w:szCs w:val="18"/>
              </w:rPr>
              <w:t>,</w:t>
            </w:r>
            <w:r w:rsidRPr="003620D0">
              <w:rPr>
                <w:rFonts w:eastAsia="Times New Roman" w:cs="Times New Roman"/>
                <w:bCs/>
                <w:sz w:val="18"/>
                <w:szCs w:val="18"/>
                <w:lang w:val="en-US"/>
              </w:rPr>
              <w:t>5</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tcPr>
          <w:p w:rsidR="003C0431" w:rsidRPr="003620D0" w:rsidRDefault="003C0431" w:rsidP="00AD2E9D">
            <w:pPr>
              <w:spacing w:after="0"/>
              <w:rPr>
                <w:rFonts w:eastAsia="Times New Roman" w:cs="Times New Roman"/>
                <w:color w:val="000000"/>
                <w:sz w:val="18"/>
                <w:szCs w:val="18"/>
              </w:rPr>
            </w:pPr>
            <w:r w:rsidRPr="003620D0">
              <w:rPr>
                <w:rFonts w:eastAsia="Times New Roman" w:cs="Times New Roman"/>
                <w:color w:val="000000"/>
                <w:sz w:val="18"/>
                <w:szCs w:val="18"/>
              </w:rPr>
              <w:t xml:space="preserve">   Предоставени текущи и капиталови трансфери за чужбина</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14,4</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2</w:t>
            </w:r>
            <w:r w:rsidRPr="003620D0">
              <w:rPr>
                <w:rFonts w:eastAsia="Times New Roman" w:cs="Times New Roman"/>
                <w:bCs/>
                <w:sz w:val="18"/>
                <w:szCs w:val="18"/>
              </w:rPr>
              <w:t>7,</w:t>
            </w:r>
            <w:r w:rsidRPr="003620D0">
              <w:rPr>
                <w:rFonts w:eastAsia="Times New Roman" w:cs="Times New Roman"/>
                <w:bCs/>
                <w:sz w:val="18"/>
                <w:szCs w:val="18"/>
                <w:lang w:val="en-US"/>
              </w:rPr>
              <w:t>8</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10</w:t>
            </w:r>
            <w:r w:rsidRPr="003620D0">
              <w:rPr>
                <w:rFonts w:eastAsia="Times New Roman" w:cs="Times New Roman"/>
                <w:bCs/>
                <w:sz w:val="18"/>
                <w:szCs w:val="18"/>
              </w:rPr>
              <w:t>,</w:t>
            </w:r>
            <w:r w:rsidRPr="003620D0">
              <w:rPr>
                <w:rFonts w:eastAsia="Times New Roman" w:cs="Times New Roman"/>
                <w:bCs/>
                <w:sz w:val="18"/>
                <w:szCs w:val="18"/>
                <w:lang w:val="en-US"/>
              </w:rPr>
              <w:t>3</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rPr>
              <w:t>1</w:t>
            </w:r>
            <w:r w:rsidRPr="003620D0">
              <w:rPr>
                <w:rFonts w:eastAsia="Times New Roman" w:cs="Times New Roman"/>
                <w:bCs/>
                <w:sz w:val="18"/>
                <w:szCs w:val="18"/>
                <w:lang w:val="en-US"/>
              </w:rPr>
              <w:t>7</w:t>
            </w:r>
            <w:r w:rsidRPr="003620D0">
              <w:rPr>
                <w:rFonts w:eastAsia="Times New Roman" w:cs="Times New Roman"/>
                <w:bCs/>
                <w:sz w:val="18"/>
                <w:szCs w:val="18"/>
              </w:rPr>
              <w:t>,</w:t>
            </w:r>
            <w:r w:rsidRPr="003620D0">
              <w:rPr>
                <w:rFonts w:eastAsia="Times New Roman" w:cs="Times New Roman"/>
                <w:bCs/>
                <w:sz w:val="18"/>
                <w:szCs w:val="18"/>
                <w:lang w:val="en-US"/>
              </w:rPr>
              <w:t>5</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19</w:t>
            </w:r>
            <w:r w:rsidRPr="003620D0">
              <w:rPr>
                <w:rFonts w:eastAsia="Times New Roman" w:cs="Times New Roman"/>
                <w:bCs/>
                <w:sz w:val="18"/>
                <w:szCs w:val="18"/>
                <w:lang w:val="en-US"/>
              </w:rPr>
              <w:t>3</w:t>
            </w:r>
            <w:r w:rsidRPr="003620D0">
              <w:rPr>
                <w:rFonts w:eastAsia="Times New Roman" w:cs="Times New Roman"/>
                <w:bCs/>
                <w:sz w:val="18"/>
                <w:szCs w:val="18"/>
              </w:rPr>
              <w:t>,</w:t>
            </w:r>
            <w:r w:rsidRPr="003620D0">
              <w:rPr>
                <w:rFonts w:eastAsia="Times New Roman" w:cs="Times New Roman"/>
                <w:bCs/>
                <w:sz w:val="18"/>
                <w:szCs w:val="18"/>
                <w:lang w:val="en-US"/>
              </w:rPr>
              <w:t>5</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rPr>
                <w:rFonts w:eastAsia="Times New Roman" w:cs="Times New Roman"/>
                <w:color w:val="000000"/>
                <w:sz w:val="18"/>
                <w:szCs w:val="18"/>
              </w:rPr>
            </w:pPr>
            <w:r w:rsidRPr="003620D0">
              <w:rPr>
                <w:rFonts w:eastAsia="Times New Roman" w:cs="Times New Roman"/>
                <w:color w:val="000000"/>
                <w:sz w:val="18"/>
                <w:szCs w:val="18"/>
              </w:rPr>
              <w:t xml:space="preserve">   Резерв за непредвидени и/или неотложни разходи***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208,2</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rPr>
                <w:rFonts w:eastAsia="Times New Roman" w:cs="Times New Roman"/>
                <w:color w:val="000000"/>
                <w:sz w:val="18"/>
                <w:szCs w:val="18"/>
              </w:rPr>
            </w:pPr>
            <w:r w:rsidRPr="003620D0">
              <w:rPr>
                <w:rFonts w:eastAsia="Times New Roman" w:cs="Times New Roman"/>
                <w:color w:val="000000"/>
                <w:sz w:val="18"/>
                <w:szCs w:val="18"/>
              </w:rPr>
              <w:t>Лихвени</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669,2</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581</w:t>
            </w:r>
            <w:r w:rsidRPr="003620D0">
              <w:rPr>
                <w:rFonts w:eastAsia="Times New Roman" w:cs="Times New Roman"/>
                <w:bCs/>
                <w:sz w:val="18"/>
                <w:szCs w:val="18"/>
              </w:rPr>
              <w:t>,</w:t>
            </w:r>
            <w:r w:rsidRPr="003620D0">
              <w:rPr>
                <w:rFonts w:eastAsia="Times New Roman" w:cs="Times New Roman"/>
                <w:bCs/>
                <w:sz w:val="18"/>
                <w:szCs w:val="18"/>
                <w:lang w:val="en-US"/>
              </w:rPr>
              <w:t>6</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58</w:t>
            </w:r>
            <w:r w:rsidRPr="003620D0">
              <w:rPr>
                <w:rFonts w:eastAsia="Times New Roman" w:cs="Times New Roman"/>
                <w:bCs/>
                <w:sz w:val="18"/>
                <w:szCs w:val="18"/>
              </w:rPr>
              <w:t>1,</w:t>
            </w:r>
            <w:r w:rsidRPr="003620D0">
              <w:rPr>
                <w:rFonts w:eastAsia="Times New Roman" w:cs="Times New Roman"/>
                <w:bCs/>
                <w:sz w:val="18"/>
                <w:szCs w:val="18"/>
                <w:lang w:val="en-US"/>
              </w:rPr>
              <w:t>6</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8</w:t>
            </w:r>
            <w:r w:rsidRPr="003620D0">
              <w:rPr>
                <w:rFonts w:eastAsia="Times New Roman" w:cs="Times New Roman"/>
                <w:bCs/>
                <w:sz w:val="18"/>
                <w:szCs w:val="18"/>
                <w:lang w:val="en-US"/>
              </w:rPr>
              <w:t>6</w:t>
            </w:r>
            <w:r w:rsidRPr="003620D0">
              <w:rPr>
                <w:rFonts w:eastAsia="Times New Roman" w:cs="Times New Roman"/>
                <w:bCs/>
                <w:sz w:val="18"/>
                <w:szCs w:val="18"/>
              </w:rPr>
              <w:t>,9%</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rPr>
                <w:rFonts w:eastAsia="Times New Roman" w:cs="Times New Roman"/>
                <w:color w:val="000000"/>
                <w:sz w:val="18"/>
                <w:szCs w:val="18"/>
              </w:rPr>
            </w:pPr>
            <w:r w:rsidRPr="003620D0">
              <w:rPr>
                <w:rFonts w:eastAsia="Times New Roman" w:cs="Times New Roman"/>
                <w:color w:val="000000"/>
                <w:sz w:val="18"/>
                <w:szCs w:val="18"/>
              </w:rPr>
              <w:t>Вноска в общия бюджет на ЕС</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1 282,1</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997</w:t>
            </w:r>
            <w:r w:rsidRPr="003620D0">
              <w:rPr>
                <w:rFonts w:eastAsia="Times New Roman" w:cs="Times New Roman"/>
                <w:bCs/>
                <w:sz w:val="18"/>
                <w:szCs w:val="18"/>
              </w:rPr>
              <w:t>,</w:t>
            </w:r>
            <w:r w:rsidRPr="003620D0">
              <w:rPr>
                <w:rFonts w:eastAsia="Times New Roman" w:cs="Times New Roman"/>
                <w:bCs/>
                <w:sz w:val="18"/>
                <w:szCs w:val="18"/>
                <w:lang w:val="en-US"/>
              </w:rPr>
              <w:t>5</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997</w:t>
            </w:r>
            <w:r w:rsidRPr="003620D0">
              <w:rPr>
                <w:rFonts w:eastAsia="Times New Roman" w:cs="Times New Roman"/>
                <w:bCs/>
                <w:sz w:val="18"/>
                <w:szCs w:val="18"/>
              </w:rPr>
              <w:t>,</w:t>
            </w:r>
            <w:r w:rsidRPr="003620D0">
              <w:rPr>
                <w:rFonts w:eastAsia="Times New Roman" w:cs="Times New Roman"/>
                <w:bCs/>
                <w:sz w:val="18"/>
                <w:szCs w:val="18"/>
                <w:lang w:val="en-US"/>
              </w:rPr>
              <w:t>5</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lang w:val="en-US"/>
              </w:rPr>
              <w:t>77</w:t>
            </w:r>
            <w:r w:rsidRPr="003620D0">
              <w:rPr>
                <w:rFonts w:eastAsia="Times New Roman" w:cs="Times New Roman"/>
                <w:bCs/>
                <w:sz w:val="18"/>
                <w:szCs w:val="18"/>
              </w:rPr>
              <w:t>,</w:t>
            </w:r>
            <w:r w:rsidRPr="003620D0">
              <w:rPr>
                <w:rFonts w:eastAsia="Times New Roman" w:cs="Times New Roman"/>
                <w:bCs/>
                <w:sz w:val="18"/>
                <w:szCs w:val="18"/>
                <w:lang w:val="en-US"/>
              </w:rPr>
              <w:t>8</w:t>
            </w:r>
            <w:r w:rsidRPr="003620D0">
              <w:rPr>
                <w:rFonts w:eastAsia="Times New Roman" w:cs="Times New Roman"/>
                <w:bCs/>
                <w:sz w:val="18"/>
                <w:szCs w:val="18"/>
              </w:rPr>
              <w:t>%</w:t>
            </w:r>
          </w:p>
        </w:tc>
      </w:tr>
      <w:tr w:rsidR="003C0431" w:rsidRPr="003620D0" w:rsidTr="003620D0">
        <w:trPr>
          <w:trHeight w:val="300"/>
        </w:trPr>
        <w:tc>
          <w:tcPr>
            <w:tcW w:w="1968" w:type="pct"/>
            <w:tcBorders>
              <w:top w:val="nil"/>
              <w:left w:val="nil"/>
              <w:bottom w:val="nil"/>
              <w:right w:val="nil"/>
            </w:tcBorders>
            <w:shd w:val="clear" w:color="auto" w:fill="auto"/>
            <w:noWrap/>
            <w:vAlign w:val="center"/>
            <w:hideMark/>
          </w:tcPr>
          <w:p w:rsidR="003C0431" w:rsidRPr="003620D0" w:rsidRDefault="003C0431" w:rsidP="00AD2E9D">
            <w:pPr>
              <w:spacing w:after="0"/>
              <w:rPr>
                <w:rFonts w:eastAsia="Times New Roman" w:cs="Times New Roman"/>
                <w:color w:val="000000"/>
                <w:sz w:val="18"/>
                <w:szCs w:val="18"/>
              </w:rPr>
            </w:pPr>
            <w:r w:rsidRPr="003620D0">
              <w:rPr>
                <w:rFonts w:eastAsia="Times New Roman" w:cs="Times New Roman"/>
                <w:color w:val="000000"/>
                <w:sz w:val="18"/>
                <w:szCs w:val="18"/>
              </w:rPr>
              <w:t>Трансфери - нето</w:t>
            </w:r>
          </w:p>
        </w:tc>
        <w:tc>
          <w:tcPr>
            <w:tcW w:w="760" w:type="pct"/>
            <w:gridSpan w:val="2"/>
            <w:tcBorders>
              <w:top w:val="nil"/>
              <w:left w:val="nil"/>
              <w:bottom w:val="nil"/>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rPr>
            </w:pPr>
            <w:r w:rsidRPr="003620D0">
              <w:rPr>
                <w:rFonts w:eastAsia="Times New Roman" w:cs="Times New Roman"/>
                <w:b/>
                <w:bCs/>
                <w:sz w:val="18"/>
                <w:szCs w:val="18"/>
              </w:rPr>
              <w:t> </w:t>
            </w:r>
          </w:p>
        </w:tc>
        <w:tc>
          <w:tcPr>
            <w:tcW w:w="481"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r w:rsidRPr="003620D0">
              <w:rPr>
                <w:rFonts w:eastAsia="Times New Roman" w:cs="Times New Roman"/>
                <w:bCs/>
                <w:sz w:val="18"/>
                <w:szCs w:val="18"/>
              </w:rPr>
              <w:t> </w:t>
            </w:r>
          </w:p>
        </w:tc>
        <w:tc>
          <w:tcPr>
            <w:tcW w:w="70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rPr>
              <w:t>-</w:t>
            </w:r>
            <w:r w:rsidRPr="003620D0">
              <w:rPr>
                <w:rFonts w:eastAsia="Times New Roman" w:cs="Times New Roman"/>
                <w:bCs/>
                <w:sz w:val="18"/>
                <w:szCs w:val="18"/>
                <w:lang w:val="en-US"/>
              </w:rPr>
              <w:t>462</w:t>
            </w:r>
            <w:r w:rsidRPr="003620D0">
              <w:rPr>
                <w:rFonts w:eastAsia="Times New Roman" w:cs="Times New Roman"/>
                <w:bCs/>
                <w:sz w:val="18"/>
                <w:szCs w:val="18"/>
              </w:rPr>
              <w:t>,</w:t>
            </w:r>
            <w:r w:rsidRPr="003620D0">
              <w:rPr>
                <w:rFonts w:eastAsia="Times New Roman" w:cs="Times New Roman"/>
                <w:bCs/>
                <w:sz w:val="18"/>
                <w:szCs w:val="18"/>
                <w:lang w:val="en-US"/>
              </w:rPr>
              <w:t>6</w:t>
            </w:r>
          </w:p>
        </w:tc>
        <w:tc>
          <w:tcPr>
            <w:tcW w:w="573" w:type="pct"/>
            <w:gridSpan w:val="2"/>
            <w:tcBorders>
              <w:top w:val="nil"/>
              <w:left w:val="nil"/>
              <w:bottom w:val="nil"/>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lang w:val="en-US"/>
              </w:rPr>
            </w:pPr>
            <w:r w:rsidRPr="003620D0">
              <w:rPr>
                <w:rFonts w:eastAsia="Times New Roman" w:cs="Times New Roman"/>
                <w:bCs/>
                <w:sz w:val="18"/>
                <w:szCs w:val="18"/>
                <w:lang w:val="en-US"/>
              </w:rPr>
              <w:t>432</w:t>
            </w:r>
            <w:r w:rsidRPr="003620D0">
              <w:rPr>
                <w:rFonts w:eastAsia="Times New Roman" w:cs="Times New Roman"/>
                <w:bCs/>
                <w:sz w:val="18"/>
                <w:szCs w:val="18"/>
              </w:rPr>
              <w:t>,</w:t>
            </w:r>
            <w:r w:rsidRPr="003620D0">
              <w:rPr>
                <w:rFonts w:eastAsia="Times New Roman" w:cs="Times New Roman"/>
                <w:bCs/>
                <w:sz w:val="18"/>
                <w:szCs w:val="18"/>
                <w:lang w:val="en-US"/>
              </w:rPr>
              <w:t>6</w:t>
            </w:r>
          </w:p>
        </w:tc>
        <w:tc>
          <w:tcPr>
            <w:tcW w:w="515" w:type="pct"/>
            <w:tcBorders>
              <w:top w:val="nil"/>
              <w:left w:val="nil"/>
              <w:bottom w:val="nil"/>
              <w:right w:val="nil"/>
            </w:tcBorders>
            <w:shd w:val="clear" w:color="auto" w:fill="auto"/>
            <w:noWrap/>
            <w:vAlign w:val="bottom"/>
          </w:tcPr>
          <w:p w:rsidR="003C0431" w:rsidRPr="003620D0" w:rsidRDefault="003C0431" w:rsidP="00AD2E9D">
            <w:pPr>
              <w:spacing w:before="100" w:beforeAutospacing="1" w:after="100" w:afterAutospacing="1"/>
              <w:ind w:left="34" w:hanging="357"/>
              <w:jc w:val="right"/>
              <w:rPr>
                <w:rFonts w:eastAsia="Times New Roman" w:cs="Times New Roman"/>
                <w:bCs/>
                <w:sz w:val="18"/>
                <w:szCs w:val="18"/>
              </w:rPr>
            </w:pPr>
          </w:p>
        </w:tc>
      </w:tr>
      <w:tr w:rsidR="003C0431" w:rsidRPr="003620D0" w:rsidTr="003620D0">
        <w:trPr>
          <w:trHeight w:val="164"/>
        </w:trPr>
        <w:tc>
          <w:tcPr>
            <w:tcW w:w="1968" w:type="pct"/>
            <w:tcBorders>
              <w:top w:val="nil"/>
              <w:left w:val="nil"/>
              <w:bottom w:val="single" w:sz="4" w:space="0" w:color="auto"/>
              <w:right w:val="nil"/>
            </w:tcBorders>
            <w:shd w:val="clear" w:color="auto" w:fill="auto"/>
            <w:noWrap/>
            <w:vAlign w:val="center"/>
            <w:hideMark/>
          </w:tcPr>
          <w:p w:rsidR="003C0431" w:rsidRPr="003620D0" w:rsidRDefault="003C0431" w:rsidP="00AD2E9D">
            <w:pPr>
              <w:spacing w:after="0"/>
              <w:rPr>
                <w:rFonts w:eastAsia="Times New Roman" w:cs="Times New Roman"/>
                <w:b/>
                <w:bCs/>
                <w:color w:val="000000"/>
                <w:sz w:val="18"/>
                <w:szCs w:val="18"/>
              </w:rPr>
            </w:pPr>
            <w:r w:rsidRPr="003620D0">
              <w:rPr>
                <w:rFonts w:eastAsia="Times New Roman" w:cs="Times New Roman"/>
                <w:b/>
                <w:bCs/>
                <w:color w:val="000000"/>
                <w:sz w:val="18"/>
                <w:szCs w:val="18"/>
              </w:rPr>
              <w:t>БЮДЖЕТНО САЛДО</w:t>
            </w:r>
          </w:p>
        </w:tc>
        <w:tc>
          <w:tcPr>
            <w:tcW w:w="760" w:type="pct"/>
            <w:gridSpan w:val="2"/>
            <w:tcBorders>
              <w:top w:val="nil"/>
              <w:left w:val="nil"/>
              <w:bottom w:val="single" w:sz="4" w:space="0" w:color="auto"/>
              <w:right w:val="nil"/>
            </w:tcBorders>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rPr>
            </w:pPr>
            <w:r w:rsidRPr="003620D0">
              <w:rPr>
                <w:rFonts w:eastAsia="Times New Roman" w:cs="Times New Roman"/>
                <w:b/>
                <w:bCs/>
                <w:sz w:val="18"/>
                <w:szCs w:val="18"/>
              </w:rPr>
              <w:t>-2 432,6</w:t>
            </w:r>
          </w:p>
        </w:tc>
        <w:tc>
          <w:tcPr>
            <w:tcW w:w="481" w:type="pct"/>
            <w:gridSpan w:val="2"/>
            <w:tcBorders>
              <w:top w:val="nil"/>
              <w:left w:val="nil"/>
              <w:bottom w:val="single" w:sz="4" w:space="0" w:color="auto"/>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lang w:val="en-US"/>
              </w:rPr>
            </w:pPr>
            <w:r w:rsidRPr="003620D0">
              <w:rPr>
                <w:rFonts w:eastAsia="Times New Roman" w:cs="Times New Roman"/>
                <w:b/>
                <w:bCs/>
                <w:sz w:val="18"/>
                <w:szCs w:val="18"/>
                <w:lang w:val="en-US"/>
              </w:rPr>
              <w:t>1</w:t>
            </w:r>
            <w:r w:rsidRPr="003620D0">
              <w:rPr>
                <w:rFonts w:eastAsia="Times New Roman" w:cs="Times New Roman"/>
                <w:b/>
                <w:bCs/>
                <w:sz w:val="18"/>
                <w:szCs w:val="18"/>
              </w:rPr>
              <w:t xml:space="preserve"> 2</w:t>
            </w:r>
            <w:r w:rsidRPr="003620D0">
              <w:rPr>
                <w:rFonts w:eastAsia="Times New Roman" w:cs="Times New Roman"/>
                <w:b/>
                <w:bCs/>
                <w:sz w:val="18"/>
                <w:szCs w:val="18"/>
                <w:lang w:val="en-US"/>
              </w:rPr>
              <w:t>64</w:t>
            </w:r>
            <w:r w:rsidRPr="003620D0">
              <w:rPr>
                <w:rFonts w:eastAsia="Times New Roman" w:cs="Times New Roman"/>
                <w:b/>
                <w:bCs/>
                <w:sz w:val="18"/>
                <w:szCs w:val="18"/>
              </w:rPr>
              <w:t>,</w:t>
            </w:r>
            <w:r w:rsidRPr="003620D0">
              <w:rPr>
                <w:rFonts w:eastAsia="Times New Roman" w:cs="Times New Roman"/>
                <w:b/>
                <w:bCs/>
                <w:sz w:val="18"/>
                <w:szCs w:val="18"/>
                <w:lang w:val="en-US"/>
              </w:rPr>
              <w:t>5</w:t>
            </w:r>
          </w:p>
        </w:tc>
        <w:tc>
          <w:tcPr>
            <w:tcW w:w="703" w:type="pct"/>
            <w:gridSpan w:val="2"/>
            <w:tcBorders>
              <w:top w:val="nil"/>
              <w:left w:val="nil"/>
              <w:bottom w:val="single" w:sz="4" w:space="0" w:color="auto"/>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lang w:val="en-US"/>
              </w:rPr>
            </w:pPr>
            <w:r w:rsidRPr="003620D0">
              <w:rPr>
                <w:rFonts w:eastAsia="Times New Roman" w:cs="Times New Roman"/>
                <w:b/>
                <w:bCs/>
                <w:sz w:val="18"/>
                <w:szCs w:val="18"/>
                <w:lang w:val="en-US"/>
              </w:rPr>
              <w:t>1</w:t>
            </w:r>
            <w:r w:rsidRPr="003620D0">
              <w:rPr>
                <w:rFonts w:eastAsia="Times New Roman" w:cs="Times New Roman"/>
                <w:b/>
                <w:bCs/>
                <w:sz w:val="18"/>
                <w:szCs w:val="18"/>
              </w:rPr>
              <w:t xml:space="preserve"> </w:t>
            </w:r>
            <w:r w:rsidRPr="003620D0">
              <w:rPr>
                <w:rFonts w:eastAsia="Times New Roman" w:cs="Times New Roman"/>
                <w:b/>
                <w:bCs/>
                <w:sz w:val="18"/>
                <w:szCs w:val="18"/>
                <w:lang w:val="en-US"/>
              </w:rPr>
              <w:t>205</w:t>
            </w:r>
            <w:r w:rsidRPr="003620D0">
              <w:rPr>
                <w:rFonts w:eastAsia="Times New Roman" w:cs="Times New Roman"/>
                <w:b/>
                <w:bCs/>
                <w:sz w:val="18"/>
                <w:szCs w:val="18"/>
              </w:rPr>
              <w:t>,</w:t>
            </w:r>
            <w:r w:rsidRPr="003620D0">
              <w:rPr>
                <w:rFonts w:eastAsia="Times New Roman" w:cs="Times New Roman"/>
                <w:b/>
                <w:bCs/>
                <w:sz w:val="18"/>
                <w:szCs w:val="18"/>
                <w:lang w:val="en-US"/>
              </w:rPr>
              <w:t>7</w:t>
            </w:r>
          </w:p>
        </w:tc>
        <w:tc>
          <w:tcPr>
            <w:tcW w:w="573" w:type="pct"/>
            <w:gridSpan w:val="2"/>
            <w:tcBorders>
              <w:top w:val="nil"/>
              <w:left w:val="nil"/>
              <w:bottom w:val="single" w:sz="4" w:space="0" w:color="auto"/>
              <w:right w:val="nil"/>
            </w:tcBorders>
            <w:shd w:val="clear" w:color="auto" w:fill="F2F2F2" w:themeFill="background1" w:themeFillShade="F2"/>
            <w:noWrap/>
            <w:vAlign w:val="bottom"/>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lang w:val="en-US"/>
              </w:rPr>
            </w:pPr>
            <w:r w:rsidRPr="003620D0">
              <w:rPr>
                <w:rFonts w:eastAsia="Times New Roman" w:cs="Times New Roman"/>
                <w:b/>
                <w:bCs/>
                <w:sz w:val="18"/>
                <w:szCs w:val="18"/>
                <w:lang w:val="en-US"/>
              </w:rPr>
              <w:t>58</w:t>
            </w:r>
            <w:r w:rsidRPr="003620D0">
              <w:rPr>
                <w:rFonts w:eastAsia="Times New Roman" w:cs="Times New Roman"/>
                <w:b/>
                <w:bCs/>
                <w:sz w:val="18"/>
                <w:szCs w:val="18"/>
              </w:rPr>
              <w:t>,</w:t>
            </w:r>
            <w:r w:rsidRPr="003620D0">
              <w:rPr>
                <w:rFonts w:eastAsia="Times New Roman" w:cs="Times New Roman"/>
                <w:b/>
                <w:bCs/>
                <w:sz w:val="18"/>
                <w:szCs w:val="18"/>
                <w:lang w:val="en-US"/>
              </w:rPr>
              <w:t>8</w:t>
            </w:r>
          </w:p>
        </w:tc>
        <w:tc>
          <w:tcPr>
            <w:tcW w:w="515" w:type="pct"/>
            <w:tcBorders>
              <w:top w:val="nil"/>
              <w:left w:val="nil"/>
              <w:bottom w:val="single" w:sz="4" w:space="0" w:color="auto"/>
              <w:right w:val="nil"/>
            </w:tcBorders>
            <w:shd w:val="clear" w:color="auto" w:fill="auto"/>
            <w:noWrap/>
          </w:tcPr>
          <w:p w:rsidR="003C0431" w:rsidRPr="003620D0" w:rsidRDefault="003C0431" w:rsidP="00AD2E9D">
            <w:pPr>
              <w:spacing w:before="100" w:beforeAutospacing="1" w:after="100" w:afterAutospacing="1"/>
              <w:ind w:left="34" w:hanging="357"/>
              <w:jc w:val="right"/>
              <w:rPr>
                <w:rFonts w:eastAsia="Times New Roman" w:cs="Times New Roman"/>
                <w:b/>
                <w:bCs/>
                <w:sz w:val="18"/>
                <w:szCs w:val="18"/>
              </w:rPr>
            </w:pPr>
          </w:p>
        </w:tc>
      </w:tr>
    </w:tbl>
    <w:p w:rsidR="008F74EC" w:rsidRPr="00DC1CBE" w:rsidRDefault="003620D0" w:rsidP="003620D0">
      <w:pPr>
        <w:rPr>
          <w:rFonts w:eastAsia="Batang"/>
          <w:sz w:val="18"/>
          <w:szCs w:val="18"/>
        </w:rPr>
        <w:sectPr w:rsidR="008F74EC" w:rsidRPr="00DC1CBE" w:rsidSect="00FF16A0">
          <w:headerReference w:type="first" r:id="rId58"/>
          <w:type w:val="continuous"/>
          <w:pgSz w:w="16838" w:h="11906" w:orient="landscape" w:code="9"/>
          <w:pgMar w:top="851" w:right="1134" w:bottom="851" w:left="1134" w:header="709" w:footer="709" w:gutter="0"/>
          <w:cols w:space="708"/>
          <w:titlePg/>
          <w:docGrid w:linePitch="360"/>
        </w:sectPr>
      </w:pPr>
      <w:r w:rsidRPr="00A2260D">
        <w:rPr>
          <w:rFonts w:eastAsia="Batang"/>
          <w:sz w:val="18"/>
          <w:szCs w:val="18"/>
        </w:rPr>
        <w:t>* Данните са на база месечните отчети за касовото изпълнение на ПРБ</w:t>
      </w:r>
      <w:r w:rsidRPr="00A2260D">
        <w:rPr>
          <w:rFonts w:eastAsia="Batang"/>
          <w:sz w:val="18"/>
          <w:szCs w:val="18"/>
          <w:lang w:val="ru-RU"/>
        </w:rPr>
        <w:t xml:space="preserve">; </w:t>
      </w:r>
      <w:r w:rsidRPr="00A2260D">
        <w:rPr>
          <w:rFonts w:eastAsia="Batang"/>
          <w:sz w:val="18"/>
          <w:szCs w:val="18"/>
        </w:rPr>
        <w:t>**Вкл. нетен прираст на държавния резерв</w:t>
      </w:r>
      <w:r w:rsidRPr="00A2260D">
        <w:rPr>
          <w:rFonts w:eastAsia="Batang"/>
          <w:sz w:val="18"/>
          <w:szCs w:val="18"/>
          <w:lang w:val="ru-RU"/>
        </w:rPr>
        <w:t xml:space="preserve">; </w:t>
      </w:r>
      <w:r>
        <w:rPr>
          <w:rFonts w:eastAsia="Batang"/>
          <w:sz w:val="18"/>
          <w:szCs w:val="18"/>
        </w:rPr>
        <w:t>***</w:t>
      </w:r>
      <w:r w:rsidRPr="00A2260D">
        <w:rPr>
          <w:rFonts w:eastAsia="Batang"/>
          <w:sz w:val="18"/>
          <w:szCs w:val="18"/>
        </w:rPr>
        <w:t>В позицията „Резерв за непредвидени и/или неотложни разходи“ се отразяват само разходите по разчет, а средствата, изразходвани за сметка на резерва по отчет</w:t>
      </w:r>
      <w:r>
        <w:rPr>
          <w:rFonts w:eastAsia="Batang"/>
          <w:sz w:val="18"/>
          <w:szCs w:val="18"/>
        </w:rPr>
        <w:t>,</w:t>
      </w:r>
      <w:r w:rsidRPr="00A2260D">
        <w:rPr>
          <w:rFonts w:eastAsia="Batang"/>
          <w:sz w:val="18"/>
          <w:szCs w:val="18"/>
        </w:rPr>
        <w:t xml:space="preserve"> са отчетени по съответните разходни позиции, към които се отнасят извършените разходи</w:t>
      </w:r>
      <w:r>
        <w:rPr>
          <w:rFonts w:eastAsia="Batang"/>
          <w:sz w:val="18"/>
          <w:szCs w:val="18"/>
        </w:rPr>
        <w:t>.</w:t>
      </w:r>
    </w:p>
    <w:p w:rsidR="00EE1D8D" w:rsidRPr="00180E1F" w:rsidRDefault="00EE1D8D" w:rsidP="00180E1F">
      <w:pPr>
        <w:suppressAutoHyphens/>
        <w:autoSpaceDE w:val="0"/>
        <w:autoSpaceDN w:val="0"/>
        <w:adjustRightInd w:val="0"/>
        <w:spacing w:after="120" w:line="276" w:lineRule="auto"/>
        <w:rPr>
          <w:b/>
          <w:color w:val="943634"/>
          <w:sz w:val="22"/>
        </w:rPr>
      </w:pPr>
      <w:r w:rsidRPr="00180E1F">
        <w:rPr>
          <w:b/>
          <w:color w:val="943634"/>
          <w:sz w:val="22"/>
        </w:rPr>
        <w:t xml:space="preserve">Изпълнение на приходите по КФП </w:t>
      </w:r>
    </w:p>
    <w:p w:rsidR="00D30534" w:rsidRPr="00D01ABC" w:rsidRDefault="00D30534" w:rsidP="00D30534">
      <w:pPr>
        <w:autoSpaceDE w:val="0"/>
        <w:autoSpaceDN w:val="0"/>
        <w:adjustRightInd w:val="0"/>
        <w:spacing w:after="120"/>
        <w:rPr>
          <w:rFonts w:eastAsia="Batang" w:cs="Times New Roman"/>
          <w:bCs/>
          <w:sz w:val="22"/>
        </w:rPr>
      </w:pPr>
      <w:r w:rsidRPr="00D01ABC">
        <w:rPr>
          <w:rFonts w:eastAsia="Batang" w:cs="Times New Roman"/>
          <w:bCs/>
          <w:sz w:val="22"/>
        </w:rPr>
        <w:t xml:space="preserve">Постъпилите </w:t>
      </w:r>
      <w:r w:rsidRPr="00D01ABC">
        <w:rPr>
          <w:rFonts w:eastAsia="Batang" w:cs="Times New Roman"/>
          <w:b/>
          <w:bCs/>
          <w:i/>
          <w:sz w:val="22"/>
        </w:rPr>
        <w:t>приходи, помощи и дарения</w:t>
      </w:r>
      <w:r w:rsidRPr="00D01ABC">
        <w:rPr>
          <w:rFonts w:eastAsia="Batang" w:cs="Times New Roman"/>
          <w:bCs/>
          <w:sz w:val="22"/>
        </w:rPr>
        <w:t xml:space="preserve"> към </w:t>
      </w:r>
      <w:r>
        <w:rPr>
          <w:rFonts w:eastAsia="Batang" w:cs="Times New Roman"/>
          <w:bCs/>
          <w:sz w:val="22"/>
        </w:rPr>
        <w:t>септември</w:t>
      </w:r>
      <w:r w:rsidRPr="00D01ABC">
        <w:rPr>
          <w:rFonts w:eastAsia="Batang" w:cs="Times New Roman"/>
          <w:bCs/>
          <w:sz w:val="22"/>
        </w:rPr>
        <w:t xml:space="preserve"> 2019 г. са в размер на </w:t>
      </w:r>
      <w:r>
        <w:rPr>
          <w:rFonts w:eastAsia="Batang" w:cs="Times New Roman"/>
          <w:bCs/>
          <w:sz w:val="22"/>
        </w:rPr>
        <w:t>32</w:t>
      </w:r>
      <w:r w:rsidRPr="00D01ABC">
        <w:rPr>
          <w:rFonts w:eastAsia="Batang" w:cs="Times New Roman"/>
          <w:bCs/>
          <w:sz w:val="22"/>
        </w:rPr>
        <w:t> </w:t>
      </w:r>
      <w:r>
        <w:rPr>
          <w:rFonts w:eastAsia="Batang" w:cs="Times New Roman"/>
          <w:bCs/>
          <w:sz w:val="22"/>
        </w:rPr>
        <w:t>797</w:t>
      </w:r>
      <w:r w:rsidRPr="00D01ABC">
        <w:rPr>
          <w:rFonts w:eastAsia="Batang" w:cs="Times New Roman"/>
          <w:bCs/>
          <w:sz w:val="22"/>
        </w:rPr>
        <w:t>,9 мл</w:t>
      </w:r>
      <w:r>
        <w:rPr>
          <w:rFonts w:eastAsia="Batang" w:cs="Times New Roman"/>
          <w:bCs/>
          <w:sz w:val="22"/>
        </w:rPr>
        <w:t>н. лв., което представлява 74,8</w:t>
      </w:r>
      <w:r w:rsidRPr="00D01ABC">
        <w:rPr>
          <w:rFonts w:eastAsia="Batang" w:cs="Times New Roman"/>
          <w:bCs/>
          <w:sz w:val="22"/>
        </w:rPr>
        <w:t xml:space="preserve">% от годишните </w:t>
      </w:r>
      <w:r w:rsidR="008A1F07">
        <w:rPr>
          <w:rFonts w:eastAsia="Batang" w:cs="Times New Roman"/>
          <w:bCs/>
          <w:sz w:val="22"/>
        </w:rPr>
        <w:t>разчети към ЗДБРБ за 2019 г</w:t>
      </w:r>
      <w:r w:rsidRPr="00D01ABC">
        <w:rPr>
          <w:rFonts w:eastAsia="Batang" w:cs="Times New Roman"/>
          <w:bCs/>
          <w:sz w:val="22"/>
        </w:rPr>
        <w:t>. Съпоставени със същия период н</w:t>
      </w:r>
      <w:r>
        <w:rPr>
          <w:rFonts w:eastAsia="Batang" w:cs="Times New Roman"/>
          <w:bCs/>
          <w:sz w:val="22"/>
        </w:rPr>
        <w:t>а предходната година приходите,</w:t>
      </w:r>
      <w:r w:rsidRPr="00D01ABC">
        <w:rPr>
          <w:rFonts w:eastAsia="Batang" w:cs="Times New Roman"/>
          <w:bCs/>
          <w:sz w:val="22"/>
        </w:rPr>
        <w:t xml:space="preserve"> помощите и даренията по КФП нарастват номинално с 3 </w:t>
      </w:r>
      <w:r>
        <w:rPr>
          <w:rFonts w:eastAsia="Batang" w:cs="Times New Roman"/>
          <w:bCs/>
          <w:sz w:val="22"/>
        </w:rPr>
        <w:t>634</w:t>
      </w:r>
      <w:r w:rsidRPr="00D01ABC">
        <w:rPr>
          <w:rFonts w:eastAsia="Batang" w:cs="Times New Roman"/>
          <w:bCs/>
          <w:sz w:val="22"/>
        </w:rPr>
        <w:t>,</w:t>
      </w:r>
      <w:r>
        <w:rPr>
          <w:rFonts w:eastAsia="Batang" w:cs="Times New Roman"/>
          <w:bCs/>
          <w:sz w:val="22"/>
        </w:rPr>
        <w:t>3</w:t>
      </w:r>
      <w:r w:rsidRPr="00D01ABC">
        <w:rPr>
          <w:rFonts w:eastAsia="Batang" w:cs="Times New Roman"/>
          <w:bCs/>
          <w:sz w:val="22"/>
        </w:rPr>
        <w:t xml:space="preserve"> млн. лв., в т.ч. да</w:t>
      </w:r>
      <w:r>
        <w:rPr>
          <w:rFonts w:eastAsia="Batang" w:cs="Times New Roman"/>
          <w:bCs/>
          <w:sz w:val="22"/>
        </w:rPr>
        <w:t xml:space="preserve">нъчните и неданъчните приходи – </w:t>
      </w:r>
      <w:r w:rsidRPr="00D01ABC">
        <w:rPr>
          <w:rFonts w:eastAsia="Batang" w:cs="Times New Roman"/>
          <w:bCs/>
          <w:sz w:val="22"/>
        </w:rPr>
        <w:t>с</w:t>
      </w:r>
      <w:r>
        <w:rPr>
          <w:rFonts w:eastAsia="Batang" w:cs="Times New Roman"/>
          <w:bCs/>
          <w:sz w:val="22"/>
        </w:rPr>
        <w:t xml:space="preserve"> 3 224,6 млн. лв. (11,6</w:t>
      </w:r>
      <w:r w:rsidRPr="00D01ABC">
        <w:rPr>
          <w:rFonts w:eastAsia="Batang" w:cs="Times New Roman"/>
          <w:bCs/>
          <w:sz w:val="22"/>
        </w:rPr>
        <w:t xml:space="preserve">%) и постъпленията от помощи и дарения (основно грантове по </w:t>
      </w:r>
      <w:r>
        <w:rPr>
          <w:rFonts w:eastAsia="Batang" w:cs="Times New Roman"/>
          <w:bCs/>
          <w:sz w:val="22"/>
        </w:rPr>
        <w:t xml:space="preserve">програмите и фондовете на ЕС) – </w:t>
      </w:r>
      <w:r w:rsidRPr="00D01ABC">
        <w:rPr>
          <w:rFonts w:eastAsia="Batang" w:cs="Times New Roman"/>
          <w:bCs/>
          <w:sz w:val="22"/>
        </w:rPr>
        <w:t xml:space="preserve">с </w:t>
      </w:r>
      <w:r>
        <w:rPr>
          <w:rFonts w:eastAsia="Batang" w:cs="Times New Roman"/>
          <w:bCs/>
          <w:sz w:val="22"/>
        </w:rPr>
        <w:t>409</w:t>
      </w:r>
      <w:r w:rsidRPr="00D01ABC">
        <w:rPr>
          <w:rFonts w:eastAsia="Batang" w:cs="Times New Roman"/>
          <w:bCs/>
          <w:sz w:val="22"/>
        </w:rPr>
        <w:t>,</w:t>
      </w:r>
      <w:r>
        <w:rPr>
          <w:rFonts w:eastAsia="Batang" w:cs="Times New Roman"/>
          <w:bCs/>
          <w:sz w:val="22"/>
        </w:rPr>
        <w:t>7</w:t>
      </w:r>
      <w:r w:rsidR="008A1F07">
        <w:rPr>
          <w:rFonts w:eastAsia="Batang" w:cs="Times New Roman"/>
          <w:bCs/>
          <w:sz w:val="22"/>
        </w:rPr>
        <w:t xml:space="preserve"> млн. лв</w:t>
      </w:r>
      <w:r w:rsidRPr="00D01ABC">
        <w:rPr>
          <w:rFonts w:eastAsia="Batang" w:cs="Times New Roman"/>
          <w:bCs/>
          <w:sz w:val="22"/>
        </w:rPr>
        <w:t xml:space="preserve">. </w:t>
      </w:r>
    </w:p>
    <w:p w:rsidR="00D30534" w:rsidRPr="00D01ABC" w:rsidRDefault="00D30534" w:rsidP="00D30534">
      <w:pPr>
        <w:autoSpaceDE w:val="0"/>
        <w:autoSpaceDN w:val="0"/>
        <w:adjustRightInd w:val="0"/>
        <w:spacing w:after="120"/>
        <w:rPr>
          <w:rFonts w:eastAsia="Batang" w:cs="Times New Roman"/>
          <w:bCs/>
          <w:sz w:val="22"/>
        </w:rPr>
      </w:pPr>
      <w:r w:rsidRPr="00D01ABC">
        <w:rPr>
          <w:rFonts w:eastAsia="Batang" w:cs="Times New Roman"/>
          <w:bCs/>
          <w:sz w:val="22"/>
        </w:rPr>
        <w:t xml:space="preserve">Общата сума на </w:t>
      </w:r>
      <w:r w:rsidRPr="00D01ABC">
        <w:rPr>
          <w:rFonts w:eastAsia="Batang" w:cs="Times New Roman"/>
          <w:b/>
          <w:bCs/>
          <w:i/>
          <w:sz w:val="22"/>
        </w:rPr>
        <w:t>данъчните приходи</w:t>
      </w:r>
      <w:r w:rsidRPr="00D01ABC">
        <w:rPr>
          <w:rFonts w:eastAsia="Batang" w:cs="Times New Roman"/>
          <w:bCs/>
          <w:sz w:val="22"/>
        </w:rPr>
        <w:t xml:space="preserve"> (вкл. приходите от осигурителни вноски) е 2</w:t>
      </w:r>
      <w:r>
        <w:rPr>
          <w:rFonts w:eastAsia="Batang" w:cs="Times New Roman"/>
          <w:bCs/>
          <w:sz w:val="22"/>
        </w:rPr>
        <w:t>6</w:t>
      </w:r>
      <w:r w:rsidRPr="00D01ABC">
        <w:rPr>
          <w:rFonts w:eastAsia="Batang" w:cs="Times New Roman"/>
          <w:bCs/>
          <w:sz w:val="22"/>
        </w:rPr>
        <w:t> </w:t>
      </w:r>
      <w:r>
        <w:rPr>
          <w:rFonts w:eastAsia="Batang" w:cs="Times New Roman"/>
          <w:bCs/>
          <w:sz w:val="22"/>
        </w:rPr>
        <w:t>096</w:t>
      </w:r>
      <w:r w:rsidRPr="00D01ABC">
        <w:rPr>
          <w:rFonts w:eastAsia="Batang" w:cs="Times New Roman"/>
          <w:bCs/>
          <w:sz w:val="22"/>
        </w:rPr>
        <w:t>,</w:t>
      </w:r>
      <w:r>
        <w:rPr>
          <w:rFonts w:eastAsia="Batang" w:cs="Times New Roman"/>
          <w:bCs/>
          <w:sz w:val="22"/>
        </w:rPr>
        <w:t>2</w:t>
      </w:r>
      <w:r w:rsidRPr="00D01ABC">
        <w:rPr>
          <w:rFonts w:eastAsia="Batang" w:cs="Times New Roman"/>
          <w:bCs/>
          <w:sz w:val="22"/>
        </w:rPr>
        <w:t xml:space="preserve"> млн. лв., което представлява 7</w:t>
      </w:r>
      <w:r>
        <w:rPr>
          <w:rFonts w:eastAsia="Batang" w:cs="Times New Roman"/>
          <w:bCs/>
          <w:sz w:val="22"/>
        </w:rPr>
        <w:t>9</w:t>
      </w:r>
      <w:r w:rsidRPr="00D01ABC">
        <w:rPr>
          <w:rFonts w:eastAsia="Batang" w:cs="Times New Roman"/>
          <w:bCs/>
          <w:sz w:val="22"/>
        </w:rPr>
        <w:t>,</w:t>
      </w:r>
      <w:r>
        <w:rPr>
          <w:rFonts w:eastAsia="Batang" w:cs="Times New Roman"/>
          <w:bCs/>
          <w:sz w:val="22"/>
        </w:rPr>
        <w:t>6</w:t>
      </w:r>
      <w:r w:rsidRPr="00D01ABC">
        <w:rPr>
          <w:rFonts w:eastAsia="Batang" w:cs="Times New Roman"/>
          <w:bCs/>
          <w:sz w:val="22"/>
        </w:rPr>
        <w:t xml:space="preserve">% от общите постъпления по КФП за периода. Постъпленията в групата представляват </w:t>
      </w:r>
      <w:r>
        <w:rPr>
          <w:rFonts w:eastAsia="Batang" w:cs="Times New Roman"/>
          <w:bCs/>
          <w:sz w:val="22"/>
        </w:rPr>
        <w:t>75</w:t>
      </w:r>
      <w:r w:rsidRPr="00D01ABC">
        <w:rPr>
          <w:rFonts w:eastAsia="Batang" w:cs="Times New Roman"/>
          <w:bCs/>
          <w:sz w:val="22"/>
        </w:rPr>
        <w:t>,</w:t>
      </w:r>
      <w:r>
        <w:rPr>
          <w:rFonts w:eastAsia="Batang" w:cs="Times New Roman"/>
          <w:bCs/>
          <w:sz w:val="22"/>
        </w:rPr>
        <w:t>5</w:t>
      </w:r>
      <w:r w:rsidRPr="00D01ABC">
        <w:rPr>
          <w:rFonts w:eastAsia="Batang" w:cs="Times New Roman"/>
          <w:bCs/>
          <w:sz w:val="22"/>
        </w:rPr>
        <w:t xml:space="preserve">% от разчета за годината и нарастват номинално с </w:t>
      </w:r>
      <w:r>
        <w:rPr>
          <w:rFonts w:eastAsia="Batang" w:cs="Times New Roman"/>
          <w:bCs/>
          <w:sz w:val="22"/>
        </w:rPr>
        <w:t>2</w:t>
      </w:r>
      <w:r w:rsidRPr="00D01ABC">
        <w:rPr>
          <w:rFonts w:eastAsia="Batang" w:cs="Times New Roman"/>
          <w:bCs/>
          <w:sz w:val="22"/>
        </w:rPr>
        <w:t> </w:t>
      </w:r>
      <w:r>
        <w:rPr>
          <w:rFonts w:eastAsia="Batang" w:cs="Times New Roman"/>
          <w:bCs/>
          <w:sz w:val="22"/>
        </w:rPr>
        <w:t>107</w:t>
      </w:r>
      <w:r w:rsidRPr="00D01ABC">
        <w:rPr>
          <w:rFonts w:eastAsia="Batang" w:cs="Times New Roman"/>
          <w:bCs/>
          <w:sz w:val="22"/>
        </w:rPr>
        <w:t>,</w:t>
      </w:r>
      <w:r>
        <w:rPr>
          <w:rFonts w:eastAsia="Batang" w:cs="Times New Roman"/>
          <w:bCs/>
          <w:sz w:val="22"/>
        </w:rPr>
        <w:t>7</w:t>
      </w:r>
      <w:r w:rsidRPr="00D01ABC">
        <w:rPr>
          <w:rFonts w:eastAsia="Batang" w:cs="Times New Roman"/>
          <w:bCs/>
          <w:sz w:val="22"/>
        </w:rPr>
        <w:t xml:space="preserve"> млн. лв. (</w:t>
      </w:r>
      <w:r>
        <w:rPr>
          <w:rFonts w:eastAsia="Batang" w:cs="Times New Roman"/>
          <w:bCs/>
          <w:sz w:val="22"/>
        </w:rPr>
        <w:t>8</w:t>
      </w:r>
      <w:r w:rsidRPr="00D01ABC">
        <w:rPr>
          <w:rFonts w:eastAsia="Batang" w:cs="Times New Roman"/>
          <w:bCs/>
          <w:sz w:val="22"/>
        </w:rPr>
        <w:t>,</w:t>
      </w:r>
      <w:r>
        <w:rPr>
          <w:rFonts w:eastAsia="Batang" w:cs="Times New Roman"/>
          <w:bCs/>
          <w:sz w:val="22"/>
        </w:rPr>
        <w:t>8</w:t>
      </w:r>
      <w:r w:rsidRPr="00D01ABC">
        <w:rPr>
          <w:rFonts w:eastAsia="Batang" w:cs="Times New Roman"/>
          <w:bCs/>
          <w:sz w:val="22"/>
        </w:rPr>
        <w:t xml:space="preserve">%) спрямо отчетените към </w:t>
      </w:r>
      <w:r>
        <w:rPr>
          <w:rFonts w:eastAsia="Batang" w:cs="Times New Roman"/>
          <w:bCs/>
          <w:sz w:val="22"/>
        </w:rPr>
        <w:t>септември</w:t>
      </w:r>
      <w:r w:rsidRPr="00D01ABC">
        <w:rPr>
          <w:rFonts w:eastAsia="Batang" w:cs="Times New Roman"/>
          <w:bCs/>
          <w:sz w:val="22"/>
        </w:rPr>
        <w:t xml:space="preserve"> 2018 г.</w:t>
      </w:r>
    </w:p>
    <w:p w:rsidR="00D30534" w:rsidRPr="00D01ABC" w:rsidRDefault="00D30534" w:rsidP="00D30534">
      <w:pPr>
        <w:autoSpaceDE w:val="0"/>
        <w:autoSpaceDN w:val="0"/>
        <w:adjustRightInd w:val="0"/>
        <w:spacing w:after="120"/>
        <w:rPr>
          <w:rFonts w:eastAsia="Batang" w:cs="Times New Roman"/>
          <w:bCs/>
          <w:sz w:val="22"/>
        </w:rPr>
      </w:pPr>
      <w:r w:rsidRPr="00D01ABC">
        <w:rPr>
          <w:rFonts w:eastAsia="Batang" w:cs="Times New Roman"/>
          <w:bCs/>
          <w:sz w:val="22"/>
        </w:rPr>
        <w:t xml:space="preserve">Постъпленията в групата на </w:t>
      </w:r>
      <w:r w:rsidRPr="00D01ABC">
        <w:rPr>
          <w:rFonts w:eastAsia="Batang" w:cs="Times New Roman"/>
          <w:bCs/>
          <w:i/>
          <w:sz w:val="22"/>
        </w:rPr>
        <w:t>преките данъци</w:t>
      </w:r>
      <w:r w:rsidRPr="00D01ABC">
        <w:rPr>
          <w:rFonts w:eastAsia="Batang" w:cs="Times New Roman"/>
          <w:bCs/>
          <w:sz w:val="22"/>
        </w:rPr>
        <w:t xml:space="preserve"> са в размер на </w:t>
      </w:r>
      <w:r>
        <w:rPr>
          <w:rFonts w:eastAsia="Batang" w:cs="Times New Roman"/>
          <w:bCs/>
          <w:sz w:val="22"/>
        </w:rPr>
        <w:t>4</w:t>
      </w:r>
      <w:r w:rsidRPr="00D01ABC">
        <w:rPr>
          <w:rFonts w:eastAsia="Batang" w:cs="Times New Roman"/>
          <w:bCs/>
          <w:sz w:val="22"/>
        </w:rPr>
        <w:t> </w:t>
      </w:r>
      <w:r>
        <w:rPr>
          <w:rFonts w:eastAsia="Batang" w:cs="Times New Roman"/>
          <w:bCs/>
          <w:sz w:val="22"/>
        </w:rPr>
        <w:t>660</w:t>
      </w:r>
      <w:r w:rsidRPr="00D01ABC">
        <w:rPr>
          <w:rFonts w:eastAsia="Batang" w:cs="Times New Roman"/>
          <w:bCs/>
          <w:sz w:val="22"/>
        </w:rPr>
        <w:t>,</w:t>
      </w:r>
      <w:r>
        <w:rPr>
          <w:rFonts w:eastAsia="Batang" w:cs="Times New Roman"/>
          <w:bCs/>
          <w:sz w:val="22"/>
        </w:rPr>
        <w:t>2</w:t>
      </w:r>
      <w:r w:rsidRPr="00D01ABC">
        <w:rPr>
          <w:rFonts w:eastAsia="Batang" w:cs="Times New Roman"/>
          <w:bCs/>
          <w:sz w:val="22"/>
        </w:rPr>
        <w:t xml:space="preserve"> млн. лв., което представлява изпълнение от </w:t>
      </w:r>
      <w:r>
        <w:rPr>
          <w:rFonts w:eastAsia="Batang" w:cs="Times New Roman"/>
          <w:bCs/>
          <w:sz w:val="22"/>
        </w:rPr>
        <w:t>71</w:t>
      </w:r>
      <w:r w:rsidRPr="00D01ABC">
        <w:rPr>
          <w:rFonts w:eastAsia="Batang" w:cs="Times New Roman"/>
          <w:bCs/>
          <w:sz w:val="22"/>
        </w:rPr>
        <w:t>,</w:t>
      </w:r>
      <w:r>
        <w:rPr>
          <w:rFonts w:eastAsia="Batang" w:cs="Times New Roman"/>
          <w:bCs/>
          <w:sz w:val="22"/>
        </w:rPr>
        <w:t>0</w:t>
      </w:r>
      <w:r w:rsidRPr="00D01ABC">
        <w:rPr>
          <w:rFonts w:eastAsia="Batang" w:cs="Times New Roman"/>
          <w:bCs/>
          <w:sz w:val="22"/>
        </w:rPr>
        <w:t xml:space="preserve">% на разчета за годината, при </w:t>
      </w:r>
      <w:r>
        <w:rPr>
          <w:rFonts w:eastAsia="Batang" w:cs="Times New Roman"/>
          <w:bCs/>
          <w:sz w:val="22"/>
        </w:rPr>
        <w:t>4</w:t>
      </w:r>
      <w:r w:rsidRPr="00D01ABC">
        <w:rPr>
          <w:rFonts w:eastAsia="Batang" w:cs="Times New Roman"/>
          <w:bCs/>
          <w:sz w:val="22"/>
        </w:rPr>
        <w:t> </w:t>
      </w:r>
      <w:r>
        <w:rPr>
          <w:rFonts w:eastAsia="Batang" w:cs="Times New Roman"/>
          <w:bCs/>
          <w:sz w:val="22"/>
        </w:rPr>
        <w:t>317</w:t>
      </w:r>
      <w:r w:rsidRPr="00D01ABC">
        <w:rPr>
          <w:rFonts w:eastAsia="Batang" w:cs="Times New Roman"/>
          <w:bCs/>
          <w:sz w:val="22"/>
        </w:rPr>
        <w:t>,</w:t>
      </w:r>
      <w:r>
        <w:rPr>
          <w:rFonts w:eastAsia="Batang" w:cs="Times New Roman"/>
          <w:bCs/>
          <w:sz w:val="22"/>
        </w:rPr>
        <w:t>7</w:t>
      </w:r>
      <w:r w:rsidRPr="00D01ABC">
        <w:rPr>
          <w:rFonts w:eastAsia="Batang" w:cs="Times New Roman"/>
          <w:bCs/>
          <w:sz w:val="22"/>
        </w:rPr>
        <w:t xml:space="preserve"> млн. лв. за същия период на 2018 година. Ръстът при преките данъци е 7,</w:t>
      </w:r>
      <w:r>
        <w:rPr>
          <w:rFonts w:eastAsia="Batang" w:cs="Times New Roman"/>
          <w:bCs/>
          <w:sz w:val="22"/>
        </w:rPr>
        <w:t>9</w:t>
      </w:r>
      <w:r w:rsidRPr="00D01ABC">
        <w:rPr>
          <w:rFonts w:eastAsia="Batang" w:cs="Times New Roman"/>
          <w:bCs/>
          <w:sz w:val="22"/>
        </w:rPr>
        <w:t>% (</w:t>
      </w:r>
      <w:r>
        <w:rPr>
          <w:rFonts w:eastAsia="Batang" w:cs="Times New Roman"/>
          <w:bCs/>
          <w:sz w:val="22"/>
        </w:rPr>
        <w:t>342</w:t>
      </w:r>
      <w:r w:rsidRPr="00D01ABC">
        <w:rPr>
          <w:rFonts w:eastAsia="Batang" w:cs="Times New Roman"/>
          <w:bCs/>
          <w:sz w:val="22"/>
        </w:rPr>
        <w:t>,</w:t>
      </w:r>
      <w:r>
        <w:rPr>
          <w:rFonts w:eastAsia="Batang" w:cs="Times New Roman"/>
          <w:bCs/>
          <w:sz w:val="22"/>
        </w:rPr>
        <w:t>4</w:t>
      </w:r>
      <w:r w:rsidRPr="00D01ABC">
        <w:rPr>
          <w:rFonts w:eastAsia="Batang" w:cs="Times New Roman"/>
          <w:bCs/>
          <w:sz w:val="22"/>
        </w:rPr>
        <w:t xml:space="preserve"> млн. лв.). </w:t>
      </w:r>
    </w:p>
    <w:p w:rsidR="00D30534" w:rsidRPr="00D01ABC" w:rsidRDefault="00D30534" w:rsidP="00D30534">
      <w:pPr>
        <w:autoSpaceDE w:val="0"/>
        <w:autoSpaceDN w:val="0"/>
        <w:adjustRightInd w:val="0"/>
        <w:spacing w:after="120"/>
        <w:rPr>
          <w:rFonts w:eastAsia="Batang" w:cs="Times New Roman"/>
          <w:bCs/>
          <w:sz w:val="22"/>
        </w:rPr>
      </w:pPr>
      <w:r w:rsidRPr="00D01ABC">
        <w:rPr>
          <w:rFonts w:eastAsia="Batang" w:cs="Times New Roman"/>
          <w:bCs/>
          <w:sz w:val="22"/>
        </w:rPr>
        <w:t xml:space="preserve">Отчетените приходи от </w:t>
      </w:r>
      <w:r w:rsidRPr="00D01ABC">
        <w:rPr>
          <w:rFonts w:eastAsia="Batang" w:cs="Times New Roman"/>
          <w:bCs/>
          <w:i/>
          <w:sz w:val="22"/>
        </w:rPr>
        <w:t>осигурителни вноски</w:t>
      </w:r>
      <w:r w:rsidRPr="00D01ABC">
        <w:rPr>
          <w:rFonts w:eastAsia="Batang" w:cs="Times New Roman"/>
          <w:bCs/>
          <w:sz w:val="22"/>
        </w:rPr>
        <w:t xml:space="preserve"> на общественото и здравно осигуряване към 3</w:t>
      </w:r>
      <w:r>
        <w:rPr>
          <w:rFonts w:eastAsia="Batang" w:cs="Times New Roman"/>
          <w:bCs/>
          <w:sz w:val="22"/>
        </w:rPr>
        <w:t>0</w:t>
      </w:r>
      <w:r w:rsidRPr="00D01ABC">
        <w:rPr>
          <w:rFonts w:eastAsia="Batang" w:cs="Times New Roman"/>
          <w:bCs/>
          <w:sz w:val="22"/>
        </w:rPr>
        <w:t>.0</w:t>
      </w:r>
      <w:r>
        <w:rPr>
          <w:rFonts w:eastAsia="Batang" w:cs="Times New Roman"/>
          <w:bCs/>
          <w:sz w:val="22"/>
        </w:rPr>
        <w:t>9</w:t>
      </w:r>
      <w:r w:rsidRPr="00D01ABC">
        <w:rPr>
          <w:rFonts w:eastAsia="Batang" w:cs="Times New Roman"/>
          <w:bCs/>
          <w:sz w:val="22"/>
        </w:rPr>
        <w:t xml:space="preserve">.2019 г. са в размер на </w:t>
      </w:r>
      <w:r>
        <w:rPr>
          <w:rFonts w:eastAsia="Batang" w:cs="Times New Roman"/>
          <w:bCs/>
          <w:sz w:val="22"/>
        </w:rPr>
        <w:t>7</w:t>
      </w:r>
      <w:r w:rsidRPr="00D01ABC">
        <w:rPr>
          <w:rFonts w:eastAsia="Batang" w:cs="Times New Roman"/>
          <w:bCs/>
          <w:sz w:val="22"/>
        </w:rPr>
        <w:t> </w:t>
      </w:r>
      <w:r>
        <w:rPr>
          <w:rFonts w:eastAsia="Batang" w:cs="Times New Roman"/>
          <w:bCs/>
          <w:sz w:val="22"/>
        </w:rPr>
        <w:t>749</w:t>
      </w:r>
      <w:r w:rsidRPr="00D01ABC">
        <w:rPr>
          <w:rFonts w:eastAsia="Batang" w:cs="Times New Roman"/>
          <w:bCs/>
          <w:sz w:val="22"/>
        </w:rPr>
        <w:t>,</w:t>
      </w:r>
      <w:r>
        <w:rPr>
          <w:rFonts w:eastAsia="Batang" w:cs="Times New Roman"/>
          <w:bCs/>
          <w:sz w:val="22"/>
        </w:rPr>
        <w:t>6</w:t>
      </w:r>
      <w:r w:rsidRPr="00D01ABC">
        <w:rPr>
          <w:rFonts w:eastAsia="Batang" w:cs="Times New Roman"/>
          <w:bCs/>
          <w:sz w:val="22"/>
        </w:rPr>
        <w:t xml:space="preserve"> млн. лв. или 7</w:t>
      </w:r>
      <w:r>
        <w:rPr>
          <w:rFonts w:eastAsia="Batang" w:cs="Times New Roman"/>
          <w:bCs/>
          <w:sz w:val="22"/>
        </w:rPr>
        <w:t>4</w:t>
      </w:r>
      <w:r w:rsidRPr="00D01ABC">
        <w:rPr>
          <w:rFonts w:eastAsia="Batang" w:cs="Times New Roman"/>
          <w:bCs/>
          <w:sz w:val="22"/>
        </w:rPr>
        <w:t>,</w:t>
      </w:r>
      <w:r>
        <w:rPr>
          <w:rFonts w:eastAsia="Batang" w:cs="Times New Roman"/>
          <w:bCs/>
          <w:sz w:val="22"/>
        </w:rPr>
        <w:t>7</w:t>
      </w:r>
      <w:r w:rsidRPr="00D01ABC">
        <w:rPr>
          <w:rFonts w:eastAsia="Batang" w:cs="Times New Roman"/>
          <w:bCs/>
          <w:sz w:val="22"/>
        </w:rPr>
        <w:t>% изпълнение на разчета. В номинално изражение осигурителните вноски нарастват с 11,</w:t>
      </w:r>
      <w:r>
        <w:rPr>
          <w:rFonts w:eastAsia="Batang" w:cs="Times New Roman"/>
          <w:bCs/>
          <w:sz w:val="22"/>
        </w:rPr>
        <w:t>6</w:t>
      </w:r>
      <w:r w:rsidRPr="00D01ABC">
        <w:rPr>
          <w:rFonts w:eastAsia="Batang" w:cs="Times New Roman"/>
          <w:bCs/>
          <w:sz w:val="22"/>
        </w:rPr>
        <w:t>% (</w:t>
      </w:r>
      <w:r>
        <w:rPr>
          <w:rFonts w:eastAsia="Batang" w:cs="Times New Roman"/>
          <w:bCs/>
          <w:sz w:val="22"/>
        </w:rPr>
        <w:t>803</w:t>
      </w:r>
      <w:r w:rsidRPr="00D01ABC">
        <w:rPr>
          <w:rFonts w:eastAsia="Batang" w:cs="Times New Roman"/>
          <w:bCs/>
          <w:sz w:val="22"/>
        </w:rPr>
        <w:t>,</w:t>
      </w:r>
      <w:r>
        <w:rPr>
          <w:rFonts w:eastAsia="Batang" w:cs="Times New Roman"/>
          <w:bCs/>
          <w:sz w:val="22"/>
        </w:rPr>
        <w:t>9</w:t>
      </w:r>
      <w:r w:rsidRPr="00D01ABC">
        <w:rPr>
          <w:rFonts w:eastAsia="Batang" w:cs="Times New Roman"/>
          <w:bCs/>
          <w:sz w:val="22"/>
        </w:rPr>
        <w:t xml:space="preserve"> млн. лв.) спрямо </w:t>
      </w:r>
      <w:r>
        <w:rPr>
          <w:rFonts w:eastAsia="Batang" w:cs="Times New Roman"/>
          <w:bCs/>
          <w:sz w:val="22"/>
        </w:rPr>
        <w:t>септември</w:t>
      </w:r>
      <w:r w:rsidR="008A1F07">
        <w:rPr>
          <w:rFonts w:eastAsia="Batang" w:cs="Times New Roman"/>
          <w:bCs/>
          <w:sz w:val="22"/>
        </w:rPr>
        <w:t xml:space="preserve"> 2018 г</w:t>
      </w:r>
      <w:r w:rsidRPr="00D01ABC">
        <w:rPr>
          <w:rFonts w:eastAsia="Batang" w:cs="Times New Roman"/>
          <w:bCs/>
          <w:sz w:val="22"/>
        </w:rPr>
        <w:t>.</w:t>
      </w:r>
    </w:p>
    <w:p w:rsidR="00D30534" w:rsidRPr="00D01ABC" w:rsidRDefault="00D30534" w:rsidP="00D30534">
      <w:pPr>
        <w:autoSpaceDE w:val="0"/>
        <w:autoSpaceDN w:val="0"/>
        <w:adjustRightInd w:val="0"/>
        <w:spacing w:after="120"/>
        <w:rPr>
          <w:rFonts w:eastAsia="Batang" w:cs="Times New Roman"/>
          <w:bCs/>
          <w:sz w:val="22"/>
        </w:rPr>
      </w:pPr>
      <w:r w:rsidRPr="00D01ABC">
        <w:rPr>
          <w:rFonts w:eastAsia="Batang" w:cs="Times New Roman"/>
          <w:bCs/>
          <w:sz w:val="22"/>
        </w:rPr>
        <w:t xml:space="preserve">Постъпленията от </w:t>
      </w:r>
      <w:r w:rsidRPr="00D01ABC">
        <w:rPr>
          <w:rFonts w:eastAsia="Batang" w:cs="Times New Roman"/>
          <w:bCs/>
          <w:i/>
          <w:sz w:val="22"/>
        </w:rPr>
        <w:t>косвени</w:t>
      </w:r>
      <w:r w:rsidRPr="00D01ABC">
        <w:rPr>
          <w:rFonts w:eastAsia="Batang" w:cs="Times New Roman"/>
          <w:bCs/>
          <w:sz w:val="22"/>
        </w:rPr>
        <w:t xml:space="preserve"> </w:t>
      </w:r>
      <w:r w:rsidRPr="00D01ABC">
        <w:rPr>
          <w:rFonts w:eastAsia="Batang" w:cs="Times New Roman"/>
          <w:bCs/>
          <w:i/>
          <w:sz w:val="22"/>
        </w:rPr>
        <w:t>данъци</w:t>
      </w:r>
      <w:r w:rsidRPr="00D01ABC">
        <w:rPr>
          <w:rFonts w:eastAsia="Batang" w:cs="Times New Roman"/>
          <w:bCs/>
          <w:sz w:val="22"/>
        </w:rPr>
        <w:t xml:space="preserve"> са в размер на </w:t>
      </w:r>
      <w:r>
        <w:rPr>
          <w:rFonts w:eastAsia="Batang" w:cs="Times New Roman"/>
          <w:bCs/>
          <w:sz w:val="22"/>
        </w:rPr>
        <w:t>12</w:t>
      </w:r>
      <w:r w:rsidRPr="00D01ABC">
        <w:rPr>
          <w:rFonts w:eastAsia="Batang" w:cs="Times New Roman"/>
          <w:bCs/>
          <w:sz w:val="22"/>
        </w:rPr>
        <w:t> 7</w:t>
      </w:r>
      <w:r>
        <w:rPr>
          <w:rFonts w:eastAsia="Batang" w:cs="Times New Roman"/>
          <w:bCs/>
          <w:sz w:val="22"/>
        </w:rPr>
        <w:t>5</w:t>
      </w:r>
      <w:r w:rsidRPr="00D01ABC">
        <w:rPr>
          <w:rFonts w:eastAsia="Batang" w:cs="Times New Roman"/>
          <w:bCs/>
          <w:sz w:val="22"/>
        </w:rPr>
        <w:t>8,</w:t>
      </w:r>
      <w:r>
        <w:rPr>
          <w:rFonts w:eastAsia="Batang" w:cs="Times New Roman"/>
          <w:bCs/>
          <w:sz w:val="22"/>
        </w:rPr>
        <w:t>7</w:t>
      </w:r>
      <w:r w:rsidRPr="00D01ABC">
        <w:rPr>
          <w:rFonts w:eastAsia="Batang" w:cs="Times New Roman"/>
          <w:bCs/>
          <w:sz w:val="22"/>
        </w:rPr>
        <w:t xml:space="preserve"> млн. лв., което представлява </w:t>
      </w:r>
      <w:r>
        <w:rPr>
          <w:rFonts w:eastAsia="Batang" w:cs="Times New Roman"/>
          <w:bCs/>
          <w:sz w:val="22"/>
        </w:rPr>
        <w:t>77</w:t>
      </w:r>
      <w:r w:rsidRPr="00D01ABC">
        <w:rPr>
          <w:rFonts w:eastAsia="Batang" w:cs="Times New Roman"/>
          <w:bCs/>
          <w:sz w:val="22"/>
        </w:rPr>
        <w:t>,</w:t>
      </w:r>
      <w:r>
        <w:rPr>
          <w:rFonts w:eastAsia="Batang" w:cs="Times New Roman"/>
          <w:bCs/>
          <w:sz w:val="22"/>
        </w:rPr>
        <w:t>6</w:t>
      </w:r>
      <w:r w:rsidRPr="00D01ABC">
        <w:rPr>
          <w:rFonts w:eastAsia="Batang" w:cs="Times New Roman"/>
          <w:bCs/>
          <w:sz w:val="22"/>
        </w:rPr>
        <w:t xml:space="preserve">% от предвидените в ЗДБРБ за 2019 г. и нарастват с </w:t>
      </w:r>
      <w:r>
        <w:rPr>
          <w:rFonts w:eastAsia="Batang" w:cs="Times New Roman"/>
          <w:bCs/>
          <w:sz w:val="22"/>
        </w:rPr>
        <w:t>920</w:t>
      </w:r>
      <w:r w:rsidRPr="00D01ABC">
        <w:rPr>
          <w:rFonts w:eastAsia="Batang" w:cs="Times New Roman"/>
          <w:bCs/>
          <w:sz w:val="22"/>
        </w:rPr>
        <w:t>,5 млн. лв. (</w:t>
      </w:r>
      <w:r>
        <w:rPr>
          <w:rFonts w:eastAsia="Batang" w:cs="Times New Roman"/>
          <w:bCs/>
          <w:sz w:val="22"/>
        </w:rPr>
        <w:t>7</w:t>
      </w:r>
      <w:r w:rsidRPr="00D01ABC">
        <w:rPr>
          <w:rFonts w:eastAsia="Batang" w:cs="Times New Roman"/>
          <w:bCs/>
          <w:sz w:val="22"/>
        </w:rPr>
        <w:t>,</w:t>
      </w:r>
      <w:r>
        <w:rPr>
          <w:rFonts w:eastAsia="Batang" w:cs="Times New Roman"/>
          <w:bCs/>
          <w:sz w:val="22"/>
        </w:rPr>
        <w:t>8</w:t>
      </w:r>
      <w:r w:rsidRPr="00D01ABC">
        <w:rPr>
          <w:rFonts w:eastAsia="Batang" w:cs="Times New Roman"/>
          <w:bCs/>
          <w:sz w:val="22"/>
        </w:rPr>
        <w:t xml:space="preserve">%) спрямо същия период на предходната година. </w:t>
      </w:r>
    </w:p>
    <w:p w:rsidR="00D30534" w:rsidRPr="00D01ABC" w:rsidRDefault="00D30534" w:rsidP="00D30534">
      <w:pPr>
        <w:autoSpaceDE w:val="0"/>
        <w:autoSpaceDN w:val="0"/>
        <w:adjustRightInd w:val="0"/>
        <w:spacing w:after="120"/>
        <w:rPr>
          <w:rFonts w:eastAsia="Batang" w:cs="Times New Roman"/>
          <w:bCs/>
          <w:sz w:val="22"/>
        </w:rPr>
      </w:pPr>
      <w:r w:rsidRPr="00D01ABC">
        <w:rPr>
          <w:rFonts w:eastAsia="Batang" w:cs="Times New Roman"/>
          <w:bCs/>
          <w:sz w:val="22"/>
        </w:rPr>
        <w:t xml:space="preserve">Постъпленията от </w:t>
      </w:r>
      <w:r w:rsidRPr="00D01ABC">
        <w:rPr>
          <w:rFonts w:eastAsia="Batang" w:cs="Times New Roman"/>
          <w:bCs/>
          <w:i/>
          <w:sz w:val="22"/>
        </w:rPr>
        <w:t>други данъци</w:t>
      </w:r>
      <w:r w:rsidRPr="00D01ABC">
        <w:rPr>
          <w:rFonts w:eastAsia="Batang" w:cs="Times New Roman"/>
          <w:bCs/>
          <w:sz w:val="22"/>
        </w:rPr>
        <w:t xml:space="preserve"> (включват други данъци по ЗКПО, имуществени данъци и др.) са в размер на </w:t>
      </w:r>
      <w:r>
        <w:rPr>
          <w:rFonts w:eastAsia="Batang" w:cs="Times New Roman"/>
          <w:bCs/>
          <w:sz w:val="22"/>
        </w:rPr>
        <w:t>927</w:t>
      </w:r>
      <w:r w:rsidRPr="00D01ABC">
        <w:rPr>
          <w:rFonts w:eastAsia="Batang" w:cs="Times New Roman"/>
          <w:bCs/>
          <w:sz w:val="22"/>
        </w:rPr>
        <w:t xml:space="preserve">,7 млн. лв., което представлява </w:t>
      </w:r>
      <w:r>
        <w:rPr>
          <w:rFonts w:eastAsia="Batang" w:cs="Times New Roman"/>
          <w:bCs/>
          <w:sz w:val="22"/>
        </w:rPr>
        <w:t>79</w:t>
      </w:r>
      <w:r w:rsidRPr="00D01ABC">
        <w:rPr>
          <w:rFonts w:eastAsia="Batang" w:cs="Times New Roman"/>
          <w:bCs/>
          <w:sz w:val="22"/>
        </w:rPr>
        <w:t>,</w:t>
      </w:r>
      <w:r>
        <w:rPr>
          <w:rFonts w:eastAsia="Batang" w:cs="Times New Roman"/>
          <w:bCs/>
          <w:sz w:val="22"/>
        </w:rPr>
        <w:t>3</w:t>
      </w:r>
      <w:r w:rsidRPr="00D01ABC">
        <w:rPr>
          <w:rFonts w:eastAsia="Batang" w:cs="Times New Roman"/>
          <w:bCs/>
          <w:sz w:val="22"/>
        </w:rPr>
        <w:t>% от ра</w:t>
      </w:r>
      <w:r w:rsidR="008A1F07">
        <w:rPr>
          <w:rFonts w:eastAsia="Batang" w:cs="Times New Roman"/>
          <w:bCs/>
          <w:sz w:val="22"/>
        </w:rPr>
        <w:t>зчетите към ЗДБРБ за 2019 г</w:t>
      </w:r>
      <w:r w:rsidRPr="00D01ABC">
        <w:rPr>
          <w:rFonts w:eastAsia="Batang" w:cs="Times New Roman"/>
          <w:bCs/>
          <w:sz w:val="22"/>
        </w:rPr>
        <w:t>.</w:t>
      </w:r>
    </w:p>
    <w:p w:rsidR="00D30534" w:rsidRPr="00D01ABC" w:rsidRDefault="00D30534" w:rsidP="00D30534">
      <w:pPr>
        <w:autoSpaceDE w:val="0"/>
        <w:autoSpaceDN w:val="0"/>
        <w:adjustRightInd w:val="0"/>
        <w:spacing w:after="120"/>
        <w:rPr>
          <w:rFonts w:eastAsia="Batang" w:cs="Times New Roman"/>
          <w:bCs/>
          <w:sz w:val="22"/>
        </w:rPr>
      </w:pPr>
      <w:r w:rsidRPr="00D01ABC">
        <w:rPr>
          <w:rFonts w:eastAsia="Batang" w:cs="Times New Roman"/>
          <w:b/>
          <w:bCs/>
          <w:i/>
          <w:sz w:val="22"/>
        </w:rPr>
        <w:t>Неданъчните постъпления</w:t>
      </w:r>
      <w:r w:rsidRPr="00D01ABC">
        <w:rPr>
          <w:rFonts w:eastAsia="Batang" w:cs="Times New Roman"/>
          <w:bCs/>
          <w:sz w:val="22"/>
        </w:rPr>
        <w:t xml:space="preserve"> по КФП към края на месец </w:t>
      </w:r>
      <w:r>
        <w:rPr>
          <w:rFonts w:eastAsia="Batang" w:cs="Times New Roman"/>
          <w:bCs/>
          <w:sz w:val="22"/>
        </w:rPr>
        <w:t>септември</w:t>
      </w:r>
      <w:r w:rsidRPr="00D01ABC">
        <w:rPr>
          <w:rFonts w:eastAsia="Batang" w:cs="Times New Roman"/>
          <w:bCs/>
          <w:sz w:val="22"/>
        </w:rPr>
        <w:t xml:space="preserve"> 2019</w:t>
      </w:r>
      <w:r>
        <w:rPr>
          <w:rFonts w:eastAsia="Batang" w:cs="Times New Roman"/>
          <w:bCs/>
          <w:sz w:val="22"/>
        </w:rPr>
        <w:t> </w:t>
      </w:r>
      <w:r w:rsidRPr="00D01ABC">
        <w:rPr>
          <w:rFonts w:eastAsia="Batang" w:cs="Times New Roman"/>
          <w:bCs/>
          <w:sz w:val="22"/>
        </w:rPr>
        <w:t>г. са в размер на 4 </w:t>
      </w:r>
      <w:r>
        <w:rPr>
          <w:rFonts w:eastAsia="Batang" w:cs="Times New Roman"/>
          <w:bCs/>
          <w:sz w:val="22"/>
        </w:rPr>
        <w:t>954</w:t>
      </w:r>
      <w:r w:rsidRPr="00D01ABC">
        <w:rPr>
          <w:rFonts w:eastAsia="Batang" w:cs="Times New Roman"/>
          <w:bCs/>
          <w:sz w:val="22"/>
        </w:rPr>
        <w:t>,</w:t>
      </w:r>
      <w:r>
        <w:rPr>
          <w:rFonts w:eastAsia="Batang" w:cs="Times New Roman"/>
          <w:bCs/>
          <w:sz w:val="22"/>
        </w:rPr>
        <w:t>9</w:t>
      </w:r>
      <w:r w:rsidRPr="00D01ABC">
        <w:rPr>
          <w:rFonts w:eastAsia="Batang" w:cs="Times New Roman"/>
          <w:bCs/>
          <w:sz w:val="22"/>
        </w:rPr>
        <w:t xml:space="preserve"> млн. лв., което представлява </w:t>
      </w:r>
      <w:r>
        <w:rPr>
          <w:rFonts w:eastAsia="Batang" w:cs="Times New Roman"/>
          <w:bCs/>
          <w:sz w:val="22"/>
        </w:rPr>
        <w:t>74</w:t>
      </w:r>
      <w:r w:rsidRPr="00D01ABC">
        <w:rPr>
          <w:rFonts w:eastAsia="Batang" w:cs="Times New Roman"/>
          <w:bCs/>
          <w:sz w:val="22"/>
        </w:rPr>
        <w:t>,</w:t>
      </w:r>
      <w:r>
        <w:rPr>
          <w:rFonts w:eastAsia="Batang" w:cs="Times New Roman"/>
          <w:bCs/>
          <w:sz w:val="22"/>
        </w:rPr>
        <w:t>8</w:t>
      </w:r>
      <w:r w:rsidRPr="00D01ABC">
        <w:rPr>
          <w:rFonts w:eastAsia="Batang" w:cs="Times New Roman"/>
          <w:bCs/>
          <w:sz w:val="22"/>
        </w:rPr>
        <w:t xml:space="preserve">% изпълнение на годишните разчети. </w:t>
      </w:r>
    </w:p>
    <w:p w:rsidR="00D30534" w:rsidRPr="00D01ABC" w:rsidRDefault="00D30534" w:rsidP="00D30534">
      <w:pPr>
        <w:autoSpaceDE w:val="0"/>
        <w:autoSpaceDN w:val="0"/>
        <w:adjustRightInd w:val="0"/>
        <w:spacing w:after="120"/>
        <w:rPr>
          <w:rFonts w:eastAsia="Batang" w:cs="Times New Roman"/>
          <w:bCs/>
          <w:sz w:val="22"/>
        </w:rPr>
      </w:pPr>
      <w:r w:rsidRPr="00D01ABC">
        <w:rPr>
          <w:rFonts w:eastAsia="Batang" w:cs="Times New Roman"/>
          <w:bCs/>
          <w:sz w:val="22"/>
        </w:rPr>
        <w:t xml:space="preserve">Постъпилите </w:t>
      </w:r>
      <w:r w:rsidRPr="00D01ABC">
        <w:rPr>
          <w:rFonts w:eastAsia="Batang" w:cs="Times New Roman"/>
          <w:b/>
          <w:bCs/>
          <w:i/>
          <w:sz w:val="22"/>
        </w:rPr>
        <w:t>помощи и дарения</w:t>
      </w:r>
      <w:r w:rsidRPr="00D01ABC">
        <w:rPr>
          <w:rFonts w:eastAsia="Batang" w:cs="Times New Roman"/>
          <w:bCs/>
          <w:sz w:val="22"/>
        </w:rPr>
        <w:t xml:space="preserve"> от страната и чужбина (вкл. помощите от фондовете на ЕС) са в размер на 1 </w:t>
      </w:r>
      <w:r>
        <w:rPr>
          <w:rFonts w:eastAsia="Batang" w:cs="Times New Roman"/>
          <w:bCs/>
          <w:sz w:val="22"/>
        </w:rPr>
        <w:t>746</w:t>
      </w:r>
      <w:r w:rsidRPr="00D01ABC">
        <w:rPr>
          <w:rFonts w:eastAsia="Batang" w:cs="Times New Roman"/>
          <w:bCs/>
          <w:sz w:val="22"/>
        </w:rPr>
        <w:t>,</w:t>
      </w:r>
      <w:r>
        <w:rPr>
          <w:rFonts w:eastAsia="Batang" w:cs="Times New Roman"/>
          <w:bCs/>
          <w:sz w:val="22"/>
        </w:rPr>
        <w:t>8</w:t>
      </w:r>
      <w:r w:rsidRPr="00D01ABC">
        <w:rPr>
          <w:rFonts w:eastAsia="Batang" w:cs="Times New Roman"/>
          <w:bCs/>
          <w:sz w:val="22"/>
        </w:rPr>
        <w:t xml:space="preserve"> млн. лв., което представлява </w:t>
      </w:r>
      <w:r>
        <w:rPr>
          <w:rFonts w:eastAsia="Batang" w:cs="Times New Roman"/>
          <w:bCs/>
          <w:sz w:val="22"/>
        </w:rPr>
        <w:t>65</w:t>
      </w:r>
      <w:r w:rsidRPr="00D01ABC">
        <w:rPr>
          <w:rFonts w:eastAsia="Batang" w:cs="Times New Roman"/>
          <w:bCs/>
          <w:sz w:val="22"/>
        </w:rPr>
        <w:t>,</w:t>
      </w:r>
      <w:r>
        <w:rPr>
          <w:rFonts w:eastAsia="Batang" w:cs="Times New Roman"/>
          <w:bCs/>
          <w:sz w:val="22"/>
        </w:rPr>
        <w:t>1</w:t>
      </w:r>
      <w:r w:rsidRPr="00D01ABC">
        <w:rPr>
          <w:rFonts w:eastAsia="Batang" w:cs="Times New Roman"/>
          <w:bCs/>
          <w:sz w:val="22"/>
        </w:rPr>
        <w:t xml:space="preserve">% от годишния разчет. </w:t>
      </w:r>
    </w:p>
    <w:p w:rsidR="00D01ABC" w:rsidRDefault="00D01ABC" w:rsidP="00180E1F">
      <w:pPr>
        <w:autoSpaceDE w:val="0"/>
        <w:autoSpaceDN w:val="0"/>
        <w:adjustRightInd w:val="0"/>
        <w:spacing w:after="120"/>
        <w:rPr>
          <w:rFonts w:eastAsia="Batang" w:cs="Times New Roman"/>
          <w:bCs/>
          <w:sz w:val="22"/>
          <w:highlight w:val="yellow"/>
        </w:rPr>
      </w:pPr>
    </w:p>
    <w:p w:rsidR="00574A2C" w:rsidRPr="00DB7108" w:rsidRDefault="00FD6526" w:rsidP="00D30534">
      <w:pPr>
        <w:pStyle w:val="Caption"/>
        <w:ind w:left="851" w:hanging="851"/>
        <w:rPr>
          <w:sz w:val="22"/>
          <w:szCs w:val="22"/>
        </w:rPr>
      </w:pPr>
      <w:r w:rsidRPr="00180E1F">
        <w:rPr>
          <w:sz w:val="22"/>
          <w:szCs w:val="22"/>
        </w:rPr>
        <w:t>Граф.</w:t>
      </w:r>
      <w:r w:rsidR="00574A2C" w:rsidRPr="00180E1F">
        <w:rPr>
          <w:sz w:val="22"/>
          <w:szCs w:val="22"/>
        </w:rPr>
        <w:t xml:space="preserve">: </w:t>
      </w:r>
      <w:r w:rsidR="00D30534">
        <w:rPr>
          <w:sz w:val="22"/>
          <w:szCs w:val="22"/>
        </w:rPr>
        <w:t xml:space="preserve">  </w:t>
      </w:r>
      <w:r w:rsidR="00D30534" w:rsidRPr="00D30534">
        <w:rPr>
          <w:sz w:val="22"/>
          <w:szCs w:val="22"/>
        </w:rPr>
        <w:t>Данъчно-осигурителни приходи по КФП към септември 2018 г. и септември 2019 г.</w:t>
      </w:r>
    </w:p>
    <w:p w:rsidR="000A050F" w:rsidRPr="00D30534" w:rsidRDefault="00DB7108" w:rsidP="00D30534">
      <w:pPr>
        <w:pStyle w:val="textgraf"/>
        <w:rPr>
          <w:sz w:val="22"/>
        </w:rPr>
      </w:pPr>
      <w:r>
        <w:rPr>
          <w:sz w:val="22"/>
        </w:rPr>
        <w:t xml:space="preserve">  </w:t>
      </w:r>
      <w:r w:rsidR="00903869">
        <w:rPr>
          <w:sz w:val="22"/>
        </w:rPr>
        <w:t>(млн. лв.)</w:t>
      </w:r>
    </w:p>
    <w:p w:rsidR="00D30534" w:rsidRDefault="00D30534" w:rsidP="00180E1F">
      <w:pPr>
        <w:autoSpaceDE w:val="0"/>
        <w:autoSpaceDN w:val="0"/>
        <w:adjustRightInd w:val="0"/>
        <w:spacing w:after="120" w:line="276" w:lineRule="auto"/>
        <w:ind w:left="1134" w:hanging="1134"/>
        <w:rPr>
          <w:noProof/>
        </w:rPr>
      </w:pPr>
      <w:r>
        <w:rPr>
          <w:noProof/>
        </w:rPr>
        <w:drawing>
          <wp:inline distT="0" distB="0" distL="0" distR="0" wp14:anchorId="38C833A5" wp14:editId="73721588">
            <wp:extent cx="4324350" cy="2743200"/>
            <wp:effectExtent l="0" t="0" r="0" b="0"/>
            <wp:docPr id="672" name="Chart 672"/>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574A2C" w:rsidRPr="00DB7108" w:rsidRDefault="00931F81" w:rsidP="00180E1F">
      <w:pPr>
        <w:autoSpaceDE w:val="0"/>
        <w:autoSpaceDN w:val="0"/>
        <w:adjustRightInd w:val="0"/>
        <w:spacing w:after="120" w:line="276" w:lineRule="auto"/>
        <w:rPr>
          <w:rFonts w:eastAsia="Batang"/>
          <w:b/>
          <w:bCs/>
          <w:color w:val="943634"/>
          <w:sz w:val="22"/>
        </w:rPr>
      </w:pPr>
      <w:r>
        <w:rPr>
          <w:rFonts w:eastAsia="Batang"/>
          <w:b/>
          <w:bCs/>
          <w:color w:val="943634"/>
          <w:sz w:val="22"/>
        </w:rPr>
        <w:t>Изпълнение на разходите по КФП</w:t>
      </w:r>
    </w:p>
    <w:p w:rsidR="00D30534" w:rsidRPr="00EB4283" w:rsidRDefault="00D30534" w:rsidP="00D30534">
      <w:pPr>
        <w:autoSpaceDE w:val="0"/>
        <w:autoSpaceDN w:val="0"/>
        <w:adjustRightInd w:val="0"/>
        <w:spacing w:after="120"/>
        <w:rPr>
          <w:rFonts w:eastAsia="Batang" w:cs="Times New Roman"/>
          <w:bCs/>
          <w:sz w:val="22"/>
        </w:rPr>
      </w:pPr>
      <w:r w:rsidRPr="00EB4283">
        <w:rPr>
          <w:rFonts w:eastAsia="Batang" w:cs="Times New Roman"/>
          <w:b/>
          <w:bCs/>
          <w:sz w:val="22"/>
        </w:rPr>
        <w:t>Разходите по КФП</w:t>
      </w:r>
      <w:r w:rsidRPr="00EB4283">
        <w:rPr>
          <w:rFonts w:eastAsia="Batang" w:cs="Times New Roman"/>
          <w:bCs/>
          <w:sz w:val="22"/>
        </w:rPr>
        <w:t xml:space="preserve"> (вкл. вноската на Република България в общия бюджет на ЕС) към </w:t>
      </w:r>
      <w:r>
        <w:rPr>
          <w:rFonts w:eastAsia="Batang" w:cs="Times New Roman"/>
          <w:bCs/>
          <w:sz w:val="22"/>
        </w:rPr>
        <w:t>септември</w:t>
      </w:r>
      <w:r w:rsidRPr="00EB4283">
        <w:rPr>
          <w:rFonts w:eastAsia="Batang" w:cs="Times New Roman"/>
          <w:bCs/>
          <w:sz w:val="22"/>
        </w:rPr>
        <w:t xml:space="preserve"> 2019 г. са в размер на </w:t>
      </w:r>
      <w:r>
        <w:rPr>
          <w:rFonts w:eastAsia="Batang" w:cs="Times New Roman"/>
          <w:bCs/>
          <w:sz w:val="22"/>
        </w:rPr>
        <w:t>31 533,4</w:t>
      </w:r>
      <w:r w:rsidRPr="00EB4283">
        <w:rPr>
          <w:rFonts w:eastAsia="Batang" w:cs="Times New Roman"/>
          <w:bCs/>
          <w:sz w:val="22"/>
        </w:rPr>
        <w:t xml:space="preserve"> млн. лв., което </w:t>
      </w:r>
      <w:r>
        <w:rPr>
          <w:rFonts w:eastAsia="Batang" w:cs="Times New Roman"/>
          <w:bCs/>
          <w:sz w:val="22"/>
        </w:rPr>
        <w:t>представлява 68,1</w:t>
      </w:r>
      <w:r w:rsidR="00652B3F">
        <w:rPr>
          <w:rFonts w:eastAsia="Batang" w:cs="Times New Roman"/>
          <w:bCs/>
          <w:sz w:val="22"/>
        </w:rPr>
        <w:t>% от ревизираната оценка за 2019 г</w:t>
      </w:r>
      <w:r w:rsidRPr="00EB4283">
        <w:rPr>
          <w:rFonts w:eastAsia="Batang" w:cs="Times New Roman"/>
          <w:bCs/>
          <w:sz w:val="22"/>
        </w:rPr>
        <w:t>. Съпоставени със същия период на предходната година разходите по КФП нарастват номинално с 1</w:t>
      </w:r>
      <w:r>
        <w:rPr>
          <w:rFonts w:eastAsia="Batang" w:cs="Times New Roman"/>
          <w:bCs/>
          <w:sz w:val="22"/>
        </w:rPr>
        <w:t>9</w:t>
      </w:r>
      <w:r w:rsidRPr="00EB4283">
        <w:rPr>
          <w:rFonts w:eastAsia="Batang" w:cs="Times New Roman"/>
          <w:bCs/>
          <w:sz w:val="22"/>
        </w:rPr>
        <w:t>,</w:t>
      </w:r>
      <w:r>
        <w:rPr>
          <w:rFonts w:eastAsia="Batang" w:cs="Times New Roman"/>
          <w:bCs/>
          <w:sz w:val="22"/>
        </w:rPr>
        <w:t>0</w:t>
      </w:r>
      <w:r w:rsidRPr="00EB4283">
        <w:rPr>
          <w:rFonts w:eastAsia="Batang" w:cs="Times New Roman"/>
          <w:bCs/>
          <w:sz w:val="22"/>
        </w:rPr>
        <w:t xml:space="preserve"> на сто, което се дължи на по-високия размер на </w:t>
      </w:r>
      <w:r w:rsidRPr="00773C05">
        <w:rPr>
          <w:rFonts w:eastAsia="Batang" w:cs="Times New Roman"/>
          <w:bCs/>
          <w:sz w:val="22"/>
        </w:rPr>
        <w:t xml:space="preserve">капиталовите разходи (основно поради разходите, свързани с реализирането на инвестиционния проект за придобиване на нов тип боен самолет за българските ВВС), разходите за персонал (увеличение с 10 на сто на средствата за заплати, възнаграждения и осигурителни вноски на заетите в бюджетния сектор и поредната стъпка на увеличение на възнагражденията в сектор „Образование“), </w:t>
      </w:r>
      <w:r>
        <w:rPr>
          <w:rFonts w:eastAsia="Batang" w:cs="Times New Roman"/>
          <w:bCs/>
          <w:sz w:val="22"/>
        </w:rPr>
        <w:t xml:space="preserve">увеличение на разходите за субсидии, </w:t>
      </w:r>
      <w:r w:rsidRPr="00773C05">
        <w:rPr>
          <w:rFonts w:eastAsia="Batang" w:cs="Times New Roman"/>
          <w:bCs/>
          <w:sz w:val="22"/>
        </w:rPr>
        <w:t>по-високи социални и здравноосигурителни плащания (базов ефект от увеличението на пенсиите от юли 2018 г., индексирането на пенсиите от юли 2019 г. и увеличение на здравноосигурителните плащания, заложено в ЗБНЗОК за 2019 г.) и други.</w:t>
      </w:r>
      <w:r w:rsidRPr="00EB4283">
        <w:rPr>
          <w:rFonts w:eastAsia="Batang" w:cs="Times New Roman"/>
          <w:bCs/>
          <w:sz w:val="22"/>
        </w:rPr>
        <w:t xml:space="preserve">  </w:t>
      </w:r>
    </w:p>
    <w:p w:rsidR="00D30534" w:rsidRDefault="00D30534" w:rsidP="00D30534">
      <w:pPr>
        <w:autoSpaceDE w:val="0"/>
        <w:autoSpaceDN w:val="0"/>
        <w:adjustRightInd w:val="0"/>
        <w:spacing w:after="120"/>
        <w:rPr>
          <w:rFonts w:eastAsia="Batang" w:cs="Times New Roman"/>
          <w:bCs/>
          <w:sz w:val="22"/>
        </w:rPr>
      </w:pPr>
      <w:r w:rsidRPr="00EB4283">
        <w:rPr>
          <w:rFonts w:eastAsia="Batang" w:cs="Times New Roman"/>
          <w:b/>
          <w:bCs/>
          <w:i/>
          <w:sz w:val="22"/>
        </w:rPr>
        <w:t>Нелихвените разходи</w:t>
      </w:r>
      <w:r w:rsidRPr="00EB4283">
        <w:rPr>
          <w:rFonts w:eastAsia="Batang" w:cs="Times New Roman"/>
          <w:bCs/>
          <w:sz w:val="22"/>
        </w:rPr>
        <w:t xml:space="preserve"> са в ра</w:t>
      </w:r>
      <w:r w:rsidR="00652B3F">
        <w:rPr>
          <w:rFonts w:eastAsia="Batang" w:cs="Times New Roman"/>
          <w:bCs/>
          <w:sz w:val="22"/>
        </w:rPr>
        <w:t>змер на 29 954,3 млн. лв., 67,6</w:t>
      </w:r>
      <w:r w:rsidRPr="00EB4283">
        <w:rPr>
          <w:rFonts w:eastAsia="Batang" w:cs="Times New Roman"/>
          <w:bCs/>
          <w:sz w:val="22"/>
        </w:rPr>
        <w:t xml:space="preserve">% от </w:t>
      </w:r>
      <w:r w:rsidR="00652B3F">
        <w:rPr>
          <w:rFonts w:eastAsia="Batang" w:cs="Times New Roman"/>
          <w:bCs/>
          <w:sz w:val="22"/>
        </w:rPr>
        <w:t>ревизирания годишен</w:t>
      </w:r>
      <w:r w:rsidRPr="00EB4283">
        <w:rPr>
          <w:rFonts w:eastAsia="Batang" w:cs="Times New Roman"/>
          <w:bCs/>
          <w:sz w:val="22"/>
        </w:rPr>
        <w:t xml:space="preserve"> разчет. Текущите нелихвени разходи към </w:t>
      </w:r>
      <w:r>
        <w:rPr>
          <w:rFonts w:eastAsia="Batang" w:cs="Times New Roman"/>
          <w:bCs/>
          <w:sz w:val="22"/>
        </w:rPr>
        <w:t>септември</w:t>
      </w:r>
      <w:r w:rsidRPr="00EB4283">
        <w:rPr>
          <w:rFonts w:eastAsia="Batang" w:cs="Times New Roman"/>
          <w:bCs/>
          <w:sz w:val="22"/>
        </w:rPr>
        <w:t xml:space="preserve"> 2019 г. са в ра</w:t>
      </w:r>
      <w:r>
        <w:rPr>
          <w:rFonts w:eastAsia="Batang" w:cs="Times New Roman"/>
          <w:bCs/>
          <w:sz w:val="22"/>
        </w:rPr>
        <w:t>змер на 25 337,8 млн. лв. (71,0</w:t>
      </w:r>
      <w:r w:rsidRPr="00EB4283">
        <w:rPr>
          <w:rFonts w:eastAsia="Batang" w:cs="Times New Roman"/>
          <w:bCs/>
          <w:sz w:val="22"/>
        </w:rPr>
        <w:t xml:space="preserve">% от </w:t>
      </w:r>
      <w:r w:rsidR="00652B3F">
        <w:rPr>
          <w:rFonts w:eastAsia="Batang" w:cs="Times New Roman"/>
          <w:bCs/>
          <w:sz w:val="22"/>
        </w:rPr>
        <w:t>ревизирания разчет</w:t>
      </w:r>
      <w:r w:rsidRPr="00EB4283">
        <w:rPr>
          <w:rFonts w:eastAsia="Batang" w:cs="Times New Roman"/>
          <w:bCs/>
          <w:sz w:val="22"/>
        </w:rPr>
        <w:t xml:space="preserve"> за годината), капиталовите разходи (вкл. нетния прираст на държавния резерв) въз</w:t>
      </w:r>
      <w:r>
        <w:rPr>
          <w:rFonts w:eastAsia="Batang" w:cs="Times New Roman"/>
          <w:bCs/>
          <w:sz w:val="22"/>
        </w:rPr>
        <w:t>лизат на 4 588,7 млн. лв. (54,5</w:t>
      </w:r>
      <w:r w:rsidRPr="00EB4283">
        <w:rPr>
          <w:rFonts w:eastAsia="Batang" w:cs="Times New Roman"/>
          <w:bCs/>
          <w:sz w:val="22"/>
        </w:rPr>
        <w:t xml:space="preserve">% от </w:t>
      </w:r>
      <w:r w:rsidR="00652B3F">
        <w:rPr>
          <w:rFonts w:eastAsia="Batang" w:cs="Times New Roman"/>
          <w:bCs/>
          <w:sz w:val="22"/>
        </w:rPr>
        <w:t xml:space="preserve">ревизираната оценка </w:t>
      </w:r>
      <w:r w:rsidRPr="00EB4283">
        <w:rPr>
          <w:rFonts w:eastAsia="Batang" w:cs="Times New Roman"/>
          <w:bCs/>
          <w:sz w:val="22"/>
        </w:rPr>
        <w:t xml:space="preserve">за 2019 г.), предоставените текущи и капиталови трансфери за чужбина са в размер на </w:t>
      </w:r>
      <w:r>
        <w:rPr>
          <w:rFonts w:eastAsia="Batang" w:cs="Times New Roman"/>
          <w:bCs/>
          <w:sz w:val="22"/>
        </w:rPr>
        <w:t>27,8</w:t>
      </w:r>
      <w:r w:rsidR="008A1F07">
        <w:rPr>
          <w:rFonts w:eastAsia="Batang" w:cs="Times New Roman"/>
          <w:bCs/>
          <w:sz w:val="22"/>
        </w:rPr>
        <w:t xml:space="preserve"> млн. лв</w:t>
      </w:r>
      <w:r w:rsidRPr="00EB4283">
        <w:rPr>
          <w:rFonts w:eastAsia="Batang" w:cs="Times New Roman"/>
          <w:bCs/>
          <w:sz w:val="22"/>
        </w:rPr>
        <w:t xml:space="preserve">.  </w:t>
      </w:r>
    </w:p>
    <w:p w:rsidR="00D30534" w:rsidRPr="00EB4283" w:rsidRDefault="00D30534" w:rsidP="00D30534">
      <w:pPr>
        <w:autoSpaceDE w:val="0"/>
        <w:autoSpaceDN w:val="0"/>
        <w:adjustRightInd w:val="0"/>
        <w:spacing w:after="120"/>
        <w:rPr>
          <w:rFonts w:eastAsia="Batang" w:cs="Times New Roman"/>
          <w:bCs/>
          <w:sz w:val="22"/>
        </w:rPr>
      </w:pPr>
      <w:r w:rsidRPr="003C1282">
        <w:rPr>
          <w:rFonts w:eastAsia="Batang" w:cs="Times New Roman"/>
          <w:bCs/>
          <w:sz w:val="22"/>
        </w:rPr>
        <w:t xml:space="preserve">След приемане на Закона за изменение и допълнение на ЗДБРБ за 2019 г. и ратифицирането от Народното събрание на международните договори за закупуване на самолети F-16 Block 70, въоръжение и свързаните с него системи за дългосрочна експлоатация и поддръжка, както и цялостна подготовка на пилоти и помощен персонал, през месец </w:t>
      </w:r>
      <w:r>
        <w:rPr>
          <w:rFonts w:eastAsia="Batang" w:cs="Times New Roman"/>
          <w:bCs/>
          <w:sz w:val="22"/>
        </w:rPr>
        <w:t>август</w:t>
      </w:r>
      <w:r w:rsidRPr="003C1282">
        <w:rPr>
          <w:rFonts w:eastAsia="Batang" w:cs="Times New Roman"/>
          <w:bCs/>
          <w:sz w:val="22"/>
        </w:rPr>
        <w:t xml:space="preserve"> Министерството на отбраната преведе сумата в размер на 1,2 млрд. щатски долара по сметка на правителството на</w:t>
      </w:r>
      <w:r w:rsidRPr="00133BC2">
        <w:rPr>
          <w:rFonts w:eastAsia="Batang" w:cs="Times New Roman"/>
          <w:bCs/>
          <w:sz w:val="22"/>
          <w:lang w:val="ru-RU"/>
        </w:rPr>
        <w:t xml:space="preserve"> САЩ</w:t>
      </w:r>
      <w:r w:rsidRPr="003C1282">
        <w:rPr>
          <w:rFonts w:eastAsia="Batang" w:cs="Times New Roman"/>
          <w:bCs/>
          <w:sz w:val="22"/>
        </w:rPr>
        <w:t>. С това българската страна изпълни ангажимента си по договорите, сключени по проекта за инвестиционен разход „Придобиване на нов тип боен самолет“ за Военновъздушните сили на Република България и започна тяхното практическо изпълнение.</w:t>
      </w:r>
    </w:p>
    <w:p w:rsidR="00D30534" w:rsidRPr="00EB4283" w:rsidRDefault="00D30534" w:rsidP="00D30534">
      <w:pPr>
        <w:autoSpaceDE w:val="0"/>
        <w:autoSpaceDN w:val="0"/>
        <w:adjustRightInd w:val="0"/>
        <w:spacing w:after="120"/>
        <w:rPr>
          <w:rFonts w:eastAsia="Batang" w:cs="Times New Roman"/>
          <w:bCs/>
          <w:sz w:val="22"/>
        </w:rPr>
      </w:pPr>
      <w:r w:rsidRPr="00EB4283">
        <w:rPr>
          <w:rFonts w:eastAsia="Batang" w:cs="Times New Roman"/>
          <w:b/>
          <w:bCs/>
          <w:i/>
          <w:sz w:val="22"/>
        </w:rPr>
        <w:t>Лихвените плащания</w:t>
      </w:r>
      <w:r w:rsidRPr="00EB4283">
        <w:rPr>
          <w:rFonts w:eastAsia="Batang" w:cs="Times New Roman"/>
          <w:bCs/>
          <w:sz w:val="22"/>
        </w:rPr>
        <w:t xml:space="preserve"> са в</w:t>
      </w:r>
      <w:r>
        <w:rPr>
          <w:rFonts w:eastAsia="Batang" w:cs="Times New Roman"/>
          <w:bCs/>
          <w:sz w:val="22"/>
        </w:rPr>
        <w:t xml:space="preserve"> размер на 581,6 млн. лв. (86,9</w:t>
      </w:r>
      <w:r w:rsidRPr="00EB4283">
        <w:rPr>
          <w:rFonts w:eastAsia="Batang" w:cs="Times New Roman"/>
          <w:bCs/>
          <w:sz w:val="22"/>
        </w:rPr>
        <w:t xml:space="preserve">% от разчета към ЗДБРБ за 2019 г.). </w:t>
      </w:r>
    </w:p>
    <w:p w:rsidR="008B32EA" w:rsidRDefault="00D30534" w:rsidP="008B32EA">
      <w:pPr>
        <w:autoSpaceDE w:val="0"/>
        <w:autoSpaceDN w:val="0"/>
        <w:adjustRightInd w:val="0"/>
        <w:spacing w:after="120"/>
        <w:rPr>
          <w:rFonts w:eastAsia="Batang" w:cs="Times New Roman"/>
          <w:bCs/>
          <w:sz w:val="22"/>
        </w:rPr>
      </w:pPr>
      <w:r w:rsidRPr="00EB4283">
        <w:rPr>
          <w:rFonts w:eastAsia="Batang" w:cs="Times New Roman"/>
          <w:b/>
          <w:bCs/>
          <w:sz w:val="22"/>
        </w:rPr>
        <w:t>Частта от вноската на Република България в общия бюджет на ЕС</w:t>
      </w:r>
      <w:r w:rsidRPr="00EB4283">
        <w:rPr>
          <w:rFonts w:eastAsia="Batang" w:cs="Times New Roman"/>
          <w:bCs/>
          <w:sz w:val="22"/>
        </w:rPr>
        <w:t>, изплатена към 3</w:t>
      </w:r>
      <w:r>
        <w:rPr>
          <w:rFonts w:eastAsia="Batang" w:cs="Times New Roman"/>
          <w:bCs/>
          <w:sz w:val="22"/>
        </w:rPr>
        <w:t>0</w:t>
      </w:r>
      <w:r w:rsidRPr="00EB4283">
        <w:rPr>
          <w:rFonts w:eastAsia="Batang" w:cs="Times New Roman"/>
          <w:bCs/>
          <w:sz w:val="22"/>
        </w:rPr>
        <w:t>.0</w:t>
      </w:r>
      <w:r>
        <w:rPr>
          <w:rFonts w:eastAsia="Batang" w:cs="Times New Roman"/>
          <w:bCs/>
          <w:sz w:val="22"/>
        </w:rPr>
        <w:t>9</w:t>
      </w:r>
      <w:r w:rsidRPr="00EB4283">
        <w:rPr>
          <w:rFonts w:eastAsia="Batang" w:cs="Times New Roman"/>
          <w:bCs/>
          <w:sz w:val="22"/>
        </w:rPr>
        <w:t>.2019 г. от централния бюджет, възлиза на 9</w:t>
      </w:r>
      <w:r>
        <w:rPr>
          <w:rFonts w:eastAsia="Batang" w:cs="Times New Roman"/>
          <w:bCs/>
          <w:sz w:val="22"/>
        </w:rPr>
        <w:t>97,5</w:t>
      </w:r>
      <w:r w:rsidRPr="00EB4283">
        <w:rPr>
          <w:rFonts w:eastAsia="Batang" w:cs="Times New Roman"/>
          <w:bCs/>
          <w:sz w:val="22"/>
        </w:rPr>
        <w:t xml:space="preserve"> млн. лв., което е в изпълнение на действащото към момента законодателство в областта на собствените ресурси на ЕС - Решение на Съвета 2014/335/ЕС, Евратом относно системата на собствените ресурси на Европейския съюз, Регламент (ЕС, Евратом) № 608/2014 на Съвета от 26 май 2014 г. за определяне на мерки за прилагане на системата на собствените ресурси на ЕС и Регламент (EС, Евратом) № 609/2014 на</w:t>
      </w:r>
      <w:r w:rsidR="008B32EA">
        <w:rPr>
          <w:rFonts w:eastAsia="Batang" w:cs="Times New Roman"/>
          <w:bCs/>
          <w:sz w:val="22"/>
        </w:rPr>
        <w:t xml:space="preserve"> </w:t>
      </w:r>
      <w:r w:rsidR="008B32EA" w:rsidRPr="00EB4283">
        <w:rPr>
          <w:rFonts w:eastAsia="Batang" w:cs="Times New Roman"/>
          <w:bCs/>
          <w:sz w:val="22"/>
        </w:rPr>
        <w:t>Съвета от 26 май 2014 г. относно методите и процедурата за предоставяне на традиционните собствени ресурси, собствените ресурси на база ДДС и на база БНД и относно мерките за удовлетворяване на потребностите от парични средства, изменен с Регламент (EС, Евратом) 2016/804 на Съвета от 17 май 2016 г.</w:t>
      </w:r>
    </w:p>
    <w:p w:rsidR="00D30534" w:rsidRDefault="00D30534" w:rsidP="00B96FD7">
      <w:pPr>
        <w:autoSpaceDE w:val="0"/>
        <w:autoSpaceDN w:val="0"/>
        <w:adjustRightInd w:val="0"/>
        <w:spacing w:after="120"/>
        <w:rPr>
          <w:rFonts w:eastAsia="Batang" w:cs="Times New Roman"/>
          <w:bCs/>
          <w:szCs w:val="24"/>
        </w:rPr>
      </w:pPr>
    </w:p>
    <w:p w:rsidR="008B32EA" w:rsidRPr="008B32EA" w:rsidRDefault="00FD6526" w:rsidP="008B32EA">
      <w:pPr>
        <w:pStyle w:val="Caption"/>
        <w:tabs>
          <w:tab w:val="left" w:pos="851"/>
        </w:tabs>
        <w:ind w:left="851" w:hanging="851"/>
        <w:rPr>
          <w:sz w:val="22"/>
          <w:szCs w:val="22"/>
        </w:rPr>
      </w:pPr>
      <w:r w:rsidRPr="00B96FD7">
        <w:rPr>
          <w:sz w:val="22"/>
          <w:szCs w:val="22"/>
        </w:rPr>
        <w:t>Граф.</w:t>
      </w:r>
      <w:r w:rsidR="00574A2C" w:rsidRPr="00B96FD7">
        <w:rPr>
          <w:sz w:val="22"/>
          <w:szCs w:val="22"/>
        </w:rPr>
        <w:t xml:space="preserve">: </w:t>
      </w:r>
      <w:r w:rsidRPr="00B96FD7">
        <w:rPr>
          <w:sz w:val="22"/>
          <w:szCs w:val="22"/>
        </w:rPr>
        <w:tab/>
      </w:r>
      <w:r w:rsidR="008B32EA" w:rsidRPr="008B32EA">
        <w:rPr>
          <w:sz w:val="22"/>
          <w:szCs w:val="22"/>
        </w:rPr>
        <w:t>Основни разходни показатели по КФП към септември 2018 г. и септември 2019 г.</w:t>
      </w:r>
    </w:p>
    <w:p w:rsidR="00FD6526" w:rsidRPr="00B96FD7" w:rsidRDefault="00FD6526" w:rsidP="00B96FD7">
      <w:pPr>
        <w:pStyle w:val="textgraf"/>
        <w:ind w:firstLine="284"/>
        <w:rPr>
          <w:sz w:val="22"/>
        </w:rPr>
      </w:pPr>
      <w:r w:rsidRPr="00B96FD7">
        <w:rPr>
          <w:sz w:val="22"/>
        </w:rPr>
        <w:t>(млн. лв.)</w:t>
      </w:r>
    </w:p>
    <w:p w:rsidR="00FD6526" w:rsidRDefault="008B32EA" w:rsidP="00B96FD7">
      <w:pPr>
        <w:rPr>
          <w:noProof/>
        </w:rPr>
      </w:pPr>
      <w:r w:rsidRPr="00B96FD7">
        <w:rPr>
          <w:noProof/>
        </w:rPr>
        <w:drawing>
          <wp:inline distT="0" distB="0" distL="0" distR="0" wp14:anchorId="7AB10561" wp14:editId="7428478E">
            <wp:extent cx="4319905" cy="2165985"/>
            <wp:effectExtent l="0" t="0" r="4445" b="5715"/>
            <wp:docPr id="681" name="Chart 68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925E59" w:rsidRPr="00B96FD7" w:rsidRDefault="00574A2C" w:rsidP="00B96FD7">
      <w:pPr>
        <w:spacing w:after="0"/>
        <w:rPr>
          <w:rFonts w:eastAsia="Times New Roman" w:cs="Times New Roman"/>
          <w:bCs/>
          <w:iCs/>
          <w:sz w:val="16"/>
          <w:szCs w:val="16"/>
        </w:rPr>
      </w:pPr>
      <w:r w:rsidRPr="00B96FD7">
        <w:rPr>
          <w:rFonts w:eastAsia="Times New Roman"/>
          <w:bCs/>
          <w:iCs/>
          <w:sz w:val="16"/>
          <w:szCs w:val="16"/>
        </w:rPr>
        <w:t>*</w:t>
      </w:r>
      <w:r w:rsidR="00925E59" w:rsidRPr="00B96FD7">
        <w:rPr>
          <w:rFonts w:eastAsia="Times New Roman" w:cs="Times New Roman"/>
          <w:bCs/>
          <w:iCs/>
          <w:sz w:val="16"/>
          <w:szCs w:val="16"/>
        </w:rPr>
        <w:t xml:space="preserve"> Вкл. Предоставени текущи и капиталови трансфери за чужбина</w:t>
      </w:r>
    </w:p>
    <w:p w:rsidR="00925E59" w:rsidRPr="00AA72E4" w:rsidRDefault="00925E59" w:rsidP="00B96FD7">
      <w:pPr>
        <w:spacing w:after="0"/>
        <w:rPr>
          <w:rFonts w:eastAsia="Times New Roman" w:cs="Times New Roman"/>
          <w:bCs/>
          <w:iCs/>
          <w:sz w:val="16"/>
          <w:szCs w:val="16"/>
        </w:rPr>
      </w:pPr>
      <w:r w:rsidRPr="00B96FD7">
        <w:rPr>
          <w:rFonts w:eastAsia="Times New Roman" w:cs="Times New Roman"/>
          <w:bCs/>
          <w:iCs/>
          <w:sz w:val="16"/>
          <w:szCs w:val="16"/>
        </w:rPr>
        <w:t>** Вкл. Нетен прираст на държавния резерв</w:t>
      </w:r>
    </w:p>
    <w:p w:rsidR="00574A2C" w:rsidRDefault="00574A2C" w:rsidP="00B96FD7">
      <w:pPr>
        <w:spacing w:after="0"/>
        <w:jc w:val="left"/>
        <w:rPr>
          <w:rFonts w:eastAsia="Batang"/>
          <w:b/>
          <w:bCs/>
          <w:i/>
          <w:color w:val="943634"/>
          <w:szCs w:val="24"/>
        </w:rPr>
      </w:pPr>
    </w:p>
    <w:p w:rsidR="00A2260D" w:rsidRPr="00DB7108" w:rsidRDefault="00574A2C" w:rsidP="00EC670B">
      <w:pPr>
        <w:autoSpaceDE w:val="0"/>
        <w:autoSpaceDN w:val="0"/>
        <w:adjustRightInd w:val="0"/>
        <w:spacing w:after="120" w:line="276" w:lineRule="auto"/>
        <w:jc w:val="left"/>
        <w:rPr>
          <w:rFonts w:eastAsia="Batang"/>
          <w:b/>
          <w:bCs/>
          <w:i/>
          <w:color w:val="943634"/>
          <w:sz w:val="22"/>
        </w:rPr>
      </w:pPr>
      <w:r w:rsidRPr="00DB7108">
        <w:rPr>
          <w:rFonts w:eastAsia="Batang"/>
          <w:b/>
          <w:bCs/>
          <w:i/>
          <w:color w:val="943634"/>
          <w:sz w:val="22"/>
        </w:rPr>
        <w:t xml:space="preserve">Разходи по държавния бюджет, бюджетите на социалноосигурителните </w:t>
      </w:r>
      <w:r w:rsidR="00A2260D" w:rsidRPr="00DB7108">
        <w:rPr>
          <w:rFonts w:eastAsia="Batang"/>
          <w:b/>
          <w:bCs/>
          <w:i/>
          <w:color w:val="943634"/>
          <w:sz w:val="22"/>
        </w:rPr>
        <w:t>фондове и бюджетите на общините</w:t>
      </w:r>
    </w:p>
    <w:p w:rsidR="00574A2C" w:rsidRPr="000B72EB" w:rsidRDefault="00574A2C" w:rsidP="00B96FD7">
      <w:pPr>
        <w:numPr>
          <w:ilvl w:val="0"/>
          <w:numId w:val="2"/>
        </w:numPr>
        <w:autoSpaceDE w:val="0"/>
        <w:autoSpaceDN w:val="0"/>
        <w:adjustRightInd w:val="0"/>
        <w:spacing w:after="120" w:line="276" w:lineRule="auto"/>
        <w:ind w:left="426" w:hanging="426"/>
        <w:rPr>
          <w:rFonts w:eastAsia="Batang"/>
          <w:b/>
          <w:bCs/>
          <w:color w:val="943634"/>
          <w:szCs w:val="24"/>
        </w:rPr>
      </w:pPr>
      <w:r w:rsidRPr="000B72EB">
        <w:rPr>
          <w:rFonts w:eastAsia="Batang"/>
          <w:b/>
          <w:bCs/>
          <w:color w:val="943634"/>
          <w:szCs w:val="24"/>
        </w:rPr>
        <w:t>Държавен бюджет</w:t>
      </w:r>
    </w:p>
    <w:p w:rsidR="008A1F07" w:rsidRDefault="008B32EA" w:rsidP="008B32EA">
      <w:pPr>
        <w:autoSpaceDE w:val="0"/>
        <w:autoSpaceDN w:val="0"/>
        <w:adjustRightInd w:val="0"/>
        <w:spacing w:after="120"/>
        <w:rPr>
          <w:rFonts w:eastAsia="Batang" w:cs="Times New Roman"/>
          <w:bCs/>
          <w:sz w:val="22"/>
        </w:rPr>
      </w:pPr>
      <w:r w:rsidRPr="00DC60C7">
        <w:rPr>
          <w:rFonts w:eastAsia="Batang" w:cs="Times New Roman"/>
          <w:bCs/>
          <w:sz w:val="22"/>
        </w:rPr>
        <w:t xml:space="preserve">Общият размер на </w:t>
      </w:r>
      <w:r w:rsidRPr="00DC60C7">
        <w:rPr>
          <w:rFonts w:eastAsia="Batang" w:cs="Times New Roman"/>
          <w:b/>
          <w:bCs/>
          <w:i/>
          <w:sz w:val="22"/>
        </w:rPr>
        <w:t>разходите по държавния бюджет</w:t>
      </w:r>
      <w:r w:rsidRPr="00DC60C7">
        <w:rPr>
          <w:rFonts w:eastAsia="Batang" w:cs="Times New Roman"/>
          <w:bCs/>
          <w:sz w:val="22"/>
        </w:rPr>
        <w:t xml:space="preserve"> (вкл. и трансферите за др. бюджети и вноската в бюджета на ЕС) към </w:t>
      </w:r>
      <w:r>
        <w:rPr>
          <w:rFonts w:eastAsia="Batang" w:cs="Times New Roman"/>
          <w:bCs/>
          <w:sz w:val="22"/>
        </w:rPr>
        <w:t>септември</w:t>
      </w:r>
      <w:r w:rsidRPr="00DC60C7">
        <w:rPr>
          <w:rFonts w:eastAsia="Batang" w:cs="Times New Roman"/>
          <w:bCs/>
          <w:sz w:val="22"/>
        </w:rPr>
        <w:t xml:space="preserve"> 2019 г. е 1</w:t>
      </w:r>
      <w:r>
        <w:rPr>
          <w:rFonts w:eastAsia="Batang" w:cs="Times New Roman"/>
          <w:bCs/>
          <w:sz w:val="22"/>
        </w:rPr>
        <w:t>8 756,1</w:t>
      </w:r>
      <w:r w:rsidRPr="00DC60C7">
        <w:rPr>
          <w:rFonts w:eastAsia="Batang" w:cs="Times New Roman"/>
          <w:bCs/>
          <w:sz w:val="22"/>
        </w:rPr>
        <w:t xml:space="preserve"> млн. лв. или </w:t>
      </w:r>
      <w:r>
        <w:rPr>
          <w:rFonts w:eastAsia="Batang" w:cs="Times New Roman"/>
          <w:bCs/>
          <w:sz w:val="22"/>
        </w:rPr>
        <w:t>67,2</w:t>
      </w:r>
      <w:r w:rsidRPr="00DC60C7">
        <w:rPr>
          <w:rFonts w:eastAsia="Batang" w:cs="Times New Roman"/>
          <w:bCs/>
          <w:sz w:val="22"/>
        </w:rPr>
        <w:t>% от</w:t>
      </w:r>
      <w:r w:rsidR="00652B3F">
        <w:rPr>
          <w:rFonts w:eastAsia="Batang" w:cs="Times New Roman"/>
          <w:bCs/>
          <w:sz w:val="22"/>
        </w:rPr>
        <w:t xml:space="preserve"> ревизираната оценка за</w:t>
      </w:r>
      <w:r w:rsidR="008A1F07">
        <w:rPr>
          <w:rFonts w:eastAsia="Batang" w:cs="Times New Roman"/>
          <w:bCs/>
          <w:sz w:val="22"/>
        </w:rPr>
        <w:t xml:space="preserve"> 2019 г</w:t>
      </w:r>
      <w:r w:rsidRPr="00DC60C7">
        <w:rPr>
          <w:rFonts w:eastAsia="Batang" w:cs="Times New Roman"/>
          <w:bCs/>
          <w:sz w:val="22"/>
        </w:rPr>
        <w:t>.</w:t>
      </w:r>
    </w:p>
    <w:p w:rsidR="008B32EA" w:rsidRPr="00DC60C7" w:rsidRDefault="008B32EA" w:rsidP="008B32EA">
      <w:pPr>
        <w:autoSpaceDE w:val="0"/>
        <w:autoSpaceDN w:val="0"/>
        <w:adjustRightInd w:val="0"/>
        <w:spacing w:after="120"/>
        <w:rPr>
          <w:rFonts w:eastAsia="Batang" w:cs="Times New Roman"/>
          <w:bCs/>
          <w:sz w:val="22"/>
        </w:rPr>
      </w:pPr>
      <w:r w:rsidRPr="00DC60C7">
        <w:rPr>
          <w:rFonts w:eastAsia="Batang" w:cs="Times New Roman"/>
          <w:b/>
          <w:bCs/>
          <w:i/>
          <w:sz w:val="22"/>
        </w:rPr>
        <w:t>Нелихвените разходи по държавния бюджет</w:t>
      </w:r>
      <w:r w:rsidRPr="00DC60C7">
        <w:rPr>
          <w:rFonts w:eastAsia="Batang" w:cs="Times New Roman"/>
          <w:bCs/>
          <w:sz w:val="22"/>
        </w:rPr>
        <w:t xml:space="preserve"> (без трансферите за др. бюджети) към </w:t>
      </w:r>
      <w:r>
        <w:rPr>
          <w:rFonts w:eastAsia="Batang" w:cs="Times New Roman"/>
          <w:bCs/>
          <w:sz w:val="22"/>
        </w:rPr>
        <w:t>септември</w:t>
      </w:r>
      <w:r w:rsidRPr="00DC60C7">
        <w:rPr>
          <w:rFonts w:eastAsia="Batang" w:cs="Times New Roman"/>
          <w:bCs/>
          <w:sz w:val="22"/>
        </w:rPr>
        <w:t xml:space="preserve"> 2019 г. са в размер на </w:t>
      </w:r>
      <w:r>
        <w:rPr>
          <w:rFonts w:eastAsia="Batang" w:cs="Times New Roman"/>
          <w:bCs/>
          <w:sz w:val="22"/>
        </w:rPr>
        <w:t>9</w:t>
      </w:r>
      <w:r w:rsidRPr="00DC60C7">
        <w:rPr>
          <w:rFonts w:eastAsia="Batang" w:cs="Times New Roman"/>
          <w:bCs/>
          <w:sz w:val="22"/>
        </w:rPr>
        <w:t> </w:t>
      </w:r>
      <w:r>
        <w:rPr>
          <w:rFonts w:eastAsia="Batang" w:cs="Times New Roman"/>
          <w:bCs/>
          <w:sz w:val="22"/>
        </w:rPr>
        <w:t>122</w:t>
      </w:r>
      <w:r w:rsidRPr="00DC60C7">
        <w:rPr>
          <w:rFonts w:eastAsia="Batang" w:cs="Times New Roman"/>
          <w:bCs/>
          <w:sz w:val="22"/>
        </w:rPr>
        <w:t>,</w:t>
      </w:r>
      <w:r>
        <w:rPr>
          <w:rFonts w:eastAsia="Batang" w:cs="Times New Roman"/>
          <w:bCs/>
          <w:sz w:val="22"/>
        </w:rPr>
        <w:t>0</w:t>
      </w:r>
      <w:r w:rsidRPr="00DC60C7">
        <w:rPr>
          <w:rFonts w:eastAsia="Batang" w:cs="Times New Roman"/>
          <w:bCs/>
          <w:sz w:val="22"/>
        </w:rPr>
        <w:t xml:space="preserve"> млн. лв., което представлява </w:t>
      </w:r>
      <w:r>
        <w:rPr>
          <w:rFonts w:eastAsia="Batang" w:cs="Times New Roman"/>
          <w:bCs/>
          <w:sz w:val="22"/>
        </w:rPr>
        <w:t>62</w:t>
      </w:r>
      <w:r w:rsidRPr="00DC60C7">
        <w:rPr>
          <w:rFonts w:eastAsia="Batang" w:cs="Times New Roman"/>
          <w:bCs/>
          <w:sz w:val="22"/>
        </w:rPr>
        <w:t>,</w:t>
      </w:r>
      <w:r>
        <w:rPr>
          <w:rFonts w:eastAsia="Batang" w:cs="Times New Roman"/>
          <w:bCs/>
          <w:sz w:val="22"/>
        </w:rPr>
        <w:t>8</w:t>
      </w:r>
      <w:r w:rsidRPr="00DC60C7">
        <w:rPr>
          <w:rFonts w:eastAsia="Batang" w:cs="Times New Roman"/>
          <w:bCs/>
          <w:sz w:val="22"/>
        </w:rPr>
        <w:t xml:space="preserve">% от годишния разчет. </w:t>
      </w:r>
    </w:p>
    <w:p w:rsidR="008B32EA" w:rsidRPr="00DC60C7" w:rsidRDefault="008B32EA" w:rsidP="008B32EA">
      <w:pPr>
        <w:autoSpaceDE w:val="0"/>
        <w:autoSpaceDN w:val="0"/>
        <w:adjustRightInd w:val="0"/>
        <w:spacing w:after="120"/>
        <w:rPr>
          <w:rFonts w:eastAsia="Batang" w:cs="Times New Roman"/>
          <w:bCs/>
          <w:sz w:val="22"/>
        </w:rPr>
      </w:pPr>
      <w:r w:rsidRPr="00DC60C7">
        <w:rPr>
          <w:rFonts w:eastAsia="Batang" w:cs="Times New Roman"/>
          <w:bCs/>
          <w:sz w:val="22"/>
        </w:rPr>
        <w:t xml:space="preserve">Разходите за </w:t>
      </w:r>
      <w:r w:rsidRPr="00DC60C7">
        <w:rPr>
          <w:rFonts w:eastAsia="Batang" w:cs="Times New Roman"/>
          <w:bCs/>
          <w:i/>
          <w:sz w:val="22"/>
        </w:rPr>
        <w:t>персонал</w:t>
      </w:r>
      <w:r w:rsidRPr="00DC60C7">
        <w:rPr>
          <w:rFonts w:eastAsia="Batang" w:cs="Times New Roman"/>
          <w:bCs/>
          <w:sz w:val="22"/>
        </w:rPr>
        <w:t xml:space="preserve"> (заплати и възнаграждения, други възнаграждения и плащания за персонала и осигурителни вноски) са в общ размер на </w:t>
      </w:r>
      <w:r>
        <w:rPr>
          <w:rFonts w:eastAsia="Batang" w:cs="Times New Roman"/>
          <w:bCs/>
          <w:sz w:val="22"/>
        </w:rPr>
        <w:t xml:space="preserve">                   3 817,2 млн. лв. или 74,2</w:t>
      </w:r>
      <w:r w:rsidR="00652B3F">
        <w:rPr>
          <w:rFonts w:eastAsia="Batang" w:cs="Times New Roman"/>
          <w:bCs/>
          <w:sz w:val="22"/>
        </w:rPr>
        <w:t>% от ревизираната оценка</w:t>
      </w:r>
      <w:r w:rsidRPr="00DC60C7">
        <w:rPr>
          <w:rFonts w:eastAsia="Batang" w:cs="Times New Roman"/>
          <w:bCs/>
          <w:sz w:val="22"/>
        </w:rPr>
        <w:t xml:space="preserve"> за 2019 г. Разходите за </w:t>
      </w:r>
      <w:r w:rsidRPr="00DC60C7">
        <w:rPr>
          <w:rFonts w:eastAsia="Batang" w:cs="Times New Roman"/>
          <w:bCs/>
          <w:i/>
          <w:sz w:val="22"/>
        </w:rPr>
        <w:t>издръжка</w:t>
      </w:r>
      <w:r w:rsidRPr="00DC60C7">
        <w:rPr>
          <w:rFonts w:eastAsia="Batang" w:cs="Times New Roman"/>
          <w:bCs/>
          <w:sz w:val="22"/>
        </w:rPr>
        <w:t xml:space="preserve"> (вкл. разходи за членски внос и участие в нетърговски организации и дейности и платени данъци, такси и административни санкции) са в ра</w:t>
      </w:r>
      <w:r>
        <w:rPr>
          <w:rFonts w:eastAsia="Batang" w:cs="Times New Roman"/>
          <w:bCs/>
          <w:sz w:val="22"/>
        </w:rPr>
        <w:t>змер на 1 140,8 млн. лв. или 47,3</w:t>
      </w:r>
      <w:r w:rsidRPr="00DC60C7">
        <w:rPr>
          <w:rFonts w:eastAsia="Batang" w:cs="Times New Roman"/>
          <w:bCs/>
          <w:sz w:val="22"/>
        </w:rPr>
        <w:t xml:space="preserve">% от планираните за годината. </w:t>
      </w:r>
      <w:r w:rsidRPr="00DC60C7">
        <w:rPr>
          <w:rFonts w:eastAsia="Batang" w:cs="Times New Roman"/>
          <w:bCs/>
          <w:i/>
          <w:sz w:val="22"/>
        </w:rPr>
        <w:t>Социалните разходи (вкл. разходите за стипендии)</w:t>
      </w:r>
      <w:r w:rsidRPr="00DC60C7">
        <w:rPr>
          <w:rFonts w:eastAsia="Batang" w:cs="Times New Roman"/>
          <w:bCs/>
          <w:sz w:val="22"/>
        </w:rPr>
        <w:t xml:space="preserve"> са в размер на </w:t>
      </w:r>
      <w:r>
        <w:rPr>
          <w:rFonts w:eastAsia="Batang" w:cs="Times New Roman"/>
          <w:bCs/>
          <w:sz w:val="22"/>
        </w:rPr>
        <w:t>881,1</w:t>
      </w:r>
      <w:r w:rsidRPr="00DC60C7">
        <w:rPr>
          <w:rFonts w:eastAsia="Batang" w:cs="Times New Roman"/>
          <w:bCs/>
          <w:sz w:val="22"/>
        </w:rPr>
        <w:t xml:space="preserve"> млн. </w:t>
      </w:r>
      <w:r>
        <w:rPr>
          <w:rFonts w:eastAsia="Batang" w:cs="Times New Roman"/>
          <w:bCs/>
          <w:sz w:val="22"/>
        </w:rPr>
        <w:t>лв. или 67,8</w:t>
      </w:r>
      <w:r w:rsidRPr="00DC60C7">
        <w:rPr>
          <w:rFonts w:eastAsia="Batang" w:cs="Times New Roman"/>
          <w:bCs/>
          <w:sz w:val="22"/>
        </w:rPr>
        <w:t xml:space="preserve">% от предвидените за годината и са основно разходи по бюджета на МТСП за помощи по Закона за социално подпомагане, Закона за хората с увреждания, Закона за семейни помощи за деца и др. </w:t>
      </w:r>
      <w:r w:rsidRPr="00DC60C7">
        <w:rPr>
          <w:rFonts w:eastAsia="Batang" w:cs="Times New Roman"/>
          <w:bCs/>
          <w:i/>
          <w:sz w:val="22"/>
        </w:rPr>
        <w:t>Предоставените текущи и капиталови трансфери за чужбина</w:t>
      </w:r>
      <w:r w:rsidRPr="00DC60C7">
        <w:rPr>
          <w:rFonts w:eastAsia="Batang" w:cs="Times New Roman"/>
          <w:bCs/>
          <w:sz w:val="22"/>
        </w:rPr>
        <w:t xml:space="preserve"> са в размер на </w:t>
      </w:r>
      <w:r>
        <w:rPr>
          <w:rFonts w:eastAsia="Batang" w:cs="Times New Roman"/>
          <w:bCs/>
          <w:sz w:val="22"/>
        </w:rPr>
        <w:t>10,1</w:t>
      </w:r>
      <w:r w:rsidRPr="00DC60C7">
        <w:rPr>
          <w:rFonts w:eastAsia="Batang" w:cs="Times New Roman"/>
          <w:bCs/>
          <w:sz w:val="22"/>
        </w:rPr>
        <w:t xml:space="preserve"> млн. лв. Разходите за </w:t>
      </w:r>
      <w:r w:rsidRPr="00DC60C7">
        <w:rPr>
          <w:rFonts w:eastAsia="Batang" w:cs="Times New Roman"/>
          <w:bCs/>
          <w:i/>
          <w:sz w:val="22"/>
        </w:rPr>
        <w:t>субсидии</w:t>
      </w:r>
      <w:r w:rsidRPr="00DC60C7">
        <w:rPr>
          <w:rFonts w:eastAsia="Batang" w:cs="Times New Roman"/>
          <w:bCs/>
          <w:sz w:val="22"/>
        </w:rPr>
        <w:t xml:space="preserve"> са в ра</w:t>
      </w:r>
      <w:r>
        <w:rPr>
          <w:rFonts w:eastAsia="Batang" w:cs="Times New Roman"/>
          <w:bCs/>
          <w:sz w:val="22"/>
        </w:rPr>
        <w:t>змер на 770,2 млн. лв. или 80,6</w:t>
      </w:r>
      <w:r w:rsidRPr="00DC60C7">
        <w:rPr>
          <w:rFonts w:eastAsia="Batang" w:cs="Times New Roman"/>
          <w:bCs/>
          <w:sz w:val="22"/>
        </w:rPr>
        <w:t>% от планираните за годината. От тях 1</w:t>
      </w:r>
      <w:r>
        <w:rPr>
          <w:rFonts w:eastAsia="Batang" w:cs="Times New Roman"/>
          <w:bCs/>
          <w:sz w:val="22"/>
        </w:rPr>
        <w:t>29,6</w:t>
      </w:r>
      <w:r w:rsidRPr="00DC60C7">
        <w:rPr>
          <w:rFonts w:eastAsia="Batang" w:cs="Times New Roman"/>
          <w:bCs/>
          <w:sz w:val="22"/>
        </w:rPr>
        <w:t xml:space="preserve"> млн. лв. са субсидиите за „БДЖ – Пътнически превози” ЕООД; 13</w:t>
      </w:r>
      <w:r>
        <w:rPr>
          <w:rFonts w:eastAsia="Batang" w:cs="Times New Roman"/>
          <w:bCs/>
          <w:sz w:val="22"/>
        </w:rPr>
        <w:t>4</w:t>
      </w:r>
      <w:r w:rsidRPr="00DC60C7">
        <w:rPr>
          <w:rFonts w:eastAsia="Batang" w:cs="Times New Roman"/>
          <w:bCs/>
          <w:sz w:val="22"/>
        </w:rPr>
        <w:t>,</w:t>
      </w:r>
      <w:r>
        <w:rPr>
          <w:rFonts w:eastAsia="Batang" w:cs="Times New Roman"/>
          <w:bCs/>
          <w:sz w:val="22"/>
        </w:rPr>
        <w:t>9</w:t>
      </w:r>
      <w:r w:rsidRPr="00DC60C7">
        <w:rPr>
          <w:rFonts w:eastAsia="Batang" w:cs="Times New Roman"/>
          <w:bCs/>
          <w:sz w:val="22"/>
        </w:rPr>
        <w:t xml:space="preserve"> млн. лв. са субсидиите за Национална компания „Железопътна инфраструктура” и 1</w:t>
      </w:r>
      <w:r>
        <w:rPr>
          <w:rFonts w:eastAsia="Batang" w:cs="Times New Roman"/>
          <w:bCs/>
          <w:sz w:val="22"/>
        </w:rPr>
        <w:t>8,9</w:t>
      </w:r>
      <w:r w:rsidRPr="00DC60C7">
        <w:rPr>
          <w:rFonts w:eastAsia="Batang" w:cs="Times New Roman"/>
          <w:bCs/>
          <w:sz w:val="22"/>
        </w:rPr>
        <w:t xml:space="preserve"> млн. лв. за „Български пощи” ЕАД. Към края на месец </w:t>
      </w:r>
      <w:r>
        <w:rPr>
          <w:rFonts w:eastAsia="Batang" w:cs="Times New Roman"/>
          <w:bCs/>
          <w:sz w:val="22"/>
        </w:rPr>
        <w:t>септември</w:t>
      </w:r>
      <w:r w:rsidRPr="00DC60C7">
        <w:rPr>
          <w:rFonts w:eastAsia="Batang" w:cs="Times New Roman"/>
          <w:bCs/>
          <w:sz w:val="22"/>
        </w:rPr>
        <w:t xml:space="preserve"> 2019 г. ДФ „Земеделие“ e изплатил субсидии в общ размер на 20</w:t>
      </w:r>
      <w:r>
        <w:rPr>
          <w:rFonts w:eastAsia="Batang" w:cs="Times New Roman"/>
          <w:bCs/>
          <w:sz w:val="22"/>
        </w:rPr>
        <w:t>9,4</w:t>
      </w:r>
      <w:r w:rsidRPr="00DC60C7">
        <w:rPr>
          <w:rFonts w:eastAsia="Batang" w:cs="Times New Roman"/>
          <w:bCs/>
          <w:sz w:val="22"/>
        </w:rPr>
        <w:t xml:space="preserve"> млн. лв., от които 9</w:t>
      </w:r>
      <w:r>
        <w:rPr>
          <w:rFonts w:eastAsia="Batang" w:cs="Times New Roman"/>
          <w:bCs/>
          <w:sz w:val="22"/>
        </w:rPr>
        <w:t>0,4</w:t>
      </w:r>
      <w:r w:rsidRPr="00DC60C7">
        <w:rPr>
          <w:rFonts w:eastAsia="Batang" w:cs="Times New Roman"/>
          <w:bCs/>
          <w:sz w:val="22"/>
        </w:rPr>
        <w:t xml:space="preserve"> млн. лв. държавна помощ; 80,</w:t>
      </w:r>
      <w:r>
        <w:rPr>
          <w:rFonts w:eastAsia="Batang" w:cs="Times New Roman"/>
          <w:bCs/>
          <w:sz w:val="22"/>
        </w:rPr>
        <w:t>1</w:t>
      </w:r>
      <w:r w:rsidRPr="00DC60C7">
        <w:rPr>
          <w:rFonts w:eastAsia="Batang" w:cs="Times New Roman"/>
          <w:bCs/>
          <w:sz w:val="22"/>
        </w:rPr>
        <w:t xml:space="preserve"> млн. лв. преходна национална помощ за тютюн; 35,0 млн. лв. преходна национална помощ за сектор „Животновъдство“ и 3,</w:t>
      </w:r>
      <w:r>
        <w:rPr>
          <w:rFonts w:eastAsia="Batang" w:cs="Times New Roman"/>
          <w:bCs/>
          <w:sz w:val="22"/>
        </w:rPr>
        <w:t>5</w:t>
      </w:r>
      <w:r w:rsidRPr="00DC60C7">
        <w:rPr>
          <w:rFonts w:eastAsia="Batang" w:cs="Times New Roman"/>
          <w:bCs/>
          <w:sz w:val="22"/>
        </w:rPr>
        <w:t xml:space="preserve"> млн. лв. средства за ДДС по схеми „Училищен плод“ и „Училищно мляко“. </w:t>
      </w:r>
      <w:r w:rsidRPr="00DC60C7">
        <w:rPr>
          <w:rFonts w:eastAsia="Batang" w:cs="Times New Roman"/>
          <w:bCs/>
          <w:i/>
          <w:sz w:val="22"/>
        </w:rPr>
        <w:t>Капиталовите разходи</w:t>
      </w:r>
      <w:r w:rsidRPr="00DC60C7">
        <w:rPr>
          <w:rFonts w:eastAsia="Batang" w:cs="Times New Roman"/>
          <w:bCs/>
          <w:sz w:val="22"/>
        </w:rPr>
        <w:t xml:space="preserve"> (вкл. нетния прираст на държавния резерв) по държавния бюджет възлизат на </w:t>
      </w:r>
      <w:r>
        <w:rPr>
          <w:rFonts w:eastAsia="Batang" w:cs="Times New Roman"/>
          <w:bCs/>
          <w:sz w:val="22"/>
        </w:rPr>
        <w:t>2 502,5</w:t>
      </w:r>
      <w:r w:rsidR="008A1F07">
        <w:rPr>
          <w:rFonts w:eastAsia="Batang" w:cs="Times New Roman"/>
          <w:bCs/>
          <w:sz w:val="22"/>
        </w:rPr>
        <w:t xml:space="preserve"> млн. лв</w:t>
      </w:r>
      <w:r w:rsidRPr="00DC60C7">
        <w:rPr>
          <w:rFonts w:eastAsia="Batang" w:cs="Times New Roman"/>
          <w:bCs/>
          <w:sz w:val="22"/>
        </w:rPr>
        <w:t>.</w:t>
      </w:r>
    </w:p>
    <w:p w:rsidR="008B32EA" w:rsidRPr="00DC60C7" w:rsidRDefault="008B32EA" w:rsidP="008B32EA">
      <w:pPr>
        <w:autoSpaceDE w:val="0"/>
        <w:autoSpaceDN w:val="0"/>
        <w:adjustRightInd w:val="0"/>
        <w:spacing w:after="120"/>
        <w:rPr>
          <w:rFonts w:eastAsia="Batang" w:cs="Times New Roman"/>
          <w:bCs/>
          <w:sz w:val="22"/>
        </w:rPr>
      </w:pPr>
      <w:r w:rsidRPr="00DC60C7">
        <w:rPr>
          <w:rFonts w:eastAsia="Batang" w:cs="Times New Roman"/>
          <w:b/>
          <w:bCs/>
          <w:i/>
          <w:sz w:val="22"/>
        </w:rPr>
        <w:t>Лихвените плащания по държавния бюджет</w:t>
      </w:r>
      <w:r w:rsidRPr="00DC60C7">
        <w:rPr>
          <w:rFonts w:eastAsia="Batang" w:cs="Times New Roman"/>
          <w:bCs/>
          <w:sz w:val="22"/>
        </w:rPr>
        <w:t xml:space="preserve"> към 3</w:t>
      </w:r>
      <w:r>
        <w:rPr>
          <w:rFonts w:eastAsia="Batang" w:cs="Times New Roman"/>
          <w:bCs/>
          <w:sz w:val="22"/>
        </w:rPr>
        <w:t>0</w:t>
      </w:r>
      <w:r w:rsidRPr="00DC60C7">
        <w:rPr>
          <w:rFonts w:eastAsia="Batang" w:cs="Times New Roman"/>
          <w:bCs/>
          <w:sz w:val="22"/>
        </w:rPr>
        <w:t>.0</w:t>
      </w:r>
      <w:r>
        <w:rPr>
          <w:rFonts w:eastAsia="Batang" w:cs="Times New Roman"/>
          <w:bCs/>
          <w:sz w:val="22"/>
        </w:rPr>
        <w:t>9</w:t>
      </w:r>
      <w:r w:rsidRPr="00DC60C7">
        <w:rPr>
          <w:rFonts w:eastAsia="Batang" w:cs="Times New Roman"/>
          <w:bCs/>
          <w:sz w:val="22"/>
        </w:rPr>
        <w:t xml:space="preserve">.2019 г. са в общ размер на </w:t>
      </w:r>
      <w:r>
        <w:rPr>
          <w:rFonts w:eastAsia="Batang" w:cs="Times New Roman"/>
          <w:bCs/>
          <w:sz w:val="22"/>
        </w:rPr>
        <w:t>553,3</w:t>
      </w:r>
      <w:r w:rsidRPr="00DC60C7">
        <w:rPr>
          <w:rFonts w:eastAsia="Batang" w:cs="Times New Roman"/>
          <w:bCs/>
          <w:sz w:val="22"/>
        </w:rPr>
        <w:t xml:space="preserve"> млн. лв. или </w:t>
      </w:r>
      <w:r>
        <w:rPr>
          <w:rFonts w:eastAsia="Batang" w:cs="Times New Roman"/>
          <w:bCs/>
          <w:sz w:val="22"/>
        </w:rPr>
        <w:t>87,4</w:t>
      </w:r>
      <w:r w:rsidRPr="00DC60C7">
        <w:rPr>
          <w:rFonts w:eastAsia="Batang" w:cs="Times New Roman"/>
          <w:bCs/>
          <w:sz w:val="22"/>
        </w:rPr>
        <w:t xml:space="preserve">% от предвидените в годишните разчети. </w:t>
      </w:r>
    </w:p>
    <w:p w:rsidR="008B32EA" w:rsidRPr="006A68F2" w:rsidRDefault="008B32EA" w:rsidP="00DC60C7">
      <w:pPr>
        <w:autoSpaceDE w:val="0"/>
        <w:autoSpaceDN w:val="0"/>
        <w:adjustRightInd w:val="0"/>
        <w:spacing w:after="120"/>
        <w:rPr>
          <w:rFonts w:eastAsia="Batang" w:cs="Times New Roman"/>
          <w:bCs/>
          <w:sz w:val="22"/>
        </w:rPr>
      </w:pPr>
      <w:r w:rsidRPr="00DC60C7">
        <w:rPr>
          <w:rFonts w:eastAsia="Batang" w:cs="Times New Roman"/>
          <w:bCs/>
          <w:sz w:val="22"/>
        </w:rPr>
        <w:t xml:space="preserve">Нетният размер на </w:t>
      </w:r>
      <w:r w:rsidRPr="00DC60C7">
        <w:rPr>
          <w:rFonts w:eastAsia="Batang" w:cs="Times New Roman"/>
          <w:b/>
          <w:bCs/>
          <w:i/>
          <w:sz w:val="22"/>
        </w:rPr>
        <w:t>трансферите по държавния бюджет</w:t>
      </w:r>
      <w:r w:rsidRPr="00DC60C7">
        <w:rPr>
          <w:rFonts w:eastAsia="Batang" w:cs="Times New Roman"/>
          <w:bCs/>
          <w:sz w:val="22"/>
        </w:rPr>
        <w:t xml:space="preserve"> към края на </w:t>
      </w:r>
      <w:r>
        <w:rPr>
          <w:rFonts w:eastAsia="Batang" w:cs="Times New Roman"/>
          <w:bCs/>
          <w:sz w:val="22"/>
        </w:rPr>
        <w:t>септември</w:t>
      </w:r>
      <w:r w:rsidRPr="00DC60C7">
        <w:rPr>
          <w:rFonts w:eastAsia="Batang" w:cs="Times New Roman"/>
          <w:bCs/>
          <w:sz w:val="22"/>
        </w:rPr>
        <w:t xml:space="preserve"> 2019 г. е </w:t>
      </w:r>
      <w:r>
        <w:rPr>
          <w:rFonts w:eastAsia="Batang" w:cs="Times New Roman"/>
          <w:bCs/>
          <w:sz w:val="22"/>
        </w:rPr>
        <w:t>8 083,2</w:t>
      </w:r>
      <w:r w:rsidR="008A1F07">
        <w:rPr>
          <w:rFonts w:eastAsia="Batang" w:cs="Times New Roman"/>
          <w:bCs/>
          <w:sz w:val="22"/>
        </w:rPr>
        <w:t xml:space="preserve"> млн. лв</w:t>
      </w:r>
      <w:r w:rsidRPr="00DC60C7">
        <w:rPr>
          <w:rFonts w:eastAsia="Batang" w:cs="Times New Roman"/>
          <w:bCs/>
          <w:sz w:val="22"/>
        </w:rPr>
        <w:t>.</w:t>
      </w:r>
    </w:p>
    <w:p w:rsidR="00B96FD7" w:rsidRPr="00E603C0" w:rsidRDefault="00574A2C" w:rsidP="00E603C0">
      <w:pPr>
        <w:numPr>
          <w:ilvl w:val="0"/>
          <w:numId w:val="2"/>
        </w:numPr>
        <w:autoSpaceDE w:val="0"/>
        <w:autoSpaceDN w:val="0"/>
        <w:adjustRightInd w:val="0"/>
        <w:spacing w:after="120" w:line="276" w:lineRule="auto"/>
        <w:ind w:left="426" w:hanging="426"/>
        <w:rPr>
          <w:rFonts w:eastAsia="Batang"/>
          <w:b/>
          <w:bCs/>
          <w:color w:val="943634"/>
          <w:sz w:val="22"/>
        </w:rPr>
      </w:pPr>
      <w:r w:rsidRPr="00E603C0">
        <w:rPr>
          <w:rFonts w:eastAsia="Batang"/>
          <w:b/>
          <w:bCs/>
          <w:color w:val="943634"/>
          <w:sz w:val="22"/>
        </w:rPr>
        <w:t>Разходи по бюджетите на социалноосигурителните фондове</w:t>
      </w:r>
    </w:p>
    <w:p w:rsidR="00833B2F" w:rsidRDefault="00833B2F" w:rsidP="00AC23F9">
      <w:pPr>
        <w:autoSpaceDE w:val="0"/>
        <w:autoSpaceDN w:val="0"/>
        <w:adjustRightInd w:val="0"/>
        <w:spacing w:after="120"/>
        <w:rPr>
          <w:rFonts w:eastAsia="Batang" w:cs="Times New Roman"/>
          <w:bCs/>
          <w:sz w:val="22"/>
        </w:rPr>
      </w:pPr>
      <w:r w:rsidRPr="00DE3C55">
        <w:rPr>
          <w:rFonts w:eastAsia="Batang" w:cs="Times New Roman"/>
          <w:bCs/>
          <w:sz w:val="22"/>
        </w:rPr>
        <w:t xml:space="preserve">Извършените разходи по бюджетите на социалноосигурителните фондове към </w:t>
      </w:r>
      <w:r>
        <w:rPr>
          <w:rFonts w:eastAsia="Batang" w:cs="Times New Roman"/>
          <w:bCs/>
          <w:sz w:val="22"/>
        </w:rPr>
        <w:t>септември</w:t>
      </w:r>
      <w:r w:rsidRPr="00DE3C55">
        <w:rPr>
          <w:rFonts w:eastAsia="Batang" w:cs="Times New Roman"/>
          <w:bCs/>
          <w:sz w:val="22"/>
        </w:rPr>
        <w:t xml:space="preserve"> 2019 г. са в размер на </w:t>
      </w:r>
      <w:r>
        <w:rPr>
          <w:rFonts w:eastAsia="Batang" w:cs="Times New Roman"/>
          <w:bCs/>
          <w:sz w:val="22"/>
        </w:rPr>
        <w:t>11 712,2</w:t>
      </w:r>
      <w:r w:rsidRPr="00DE3C55">
        <w:rPr>
          <w:rFonts w:eastAsia="Batang" w:cs="Times New Roman"/>
          <w:bCs/>
          <w:sz w:val="22"/>
        </w:rPr>
        <w:t xml:space="preserve"> мл</w:t>
      </w:r>
      <w:r>
        <w:rPr>
          <w:rFonts w:eastAsia="Batang" w:cs="Times New Roman"/>
          <w:bCs/>
          <w:sz w:val="22"/>
        </w:rPr>
        <w:t>н. лв., което представлява 72,5</w:t>
      </w:r>
      <w:r w:rsidRPr="00DE3C55">
        <w:rPr>
          <w:rFonts w:eastAsia="Batang" w:cs="Times New Roman"/>
          <w:bCs/>
          <w:sz w:val="22"/>
        </w:rPr>
        <w:t xml:space="preserve">% от разчета за годината, в т.ч. пенсии, помощи и обезщетения по КСО в размер на </w:t>
      </w:r>
      <w:r>
        <w:rPr>
          <w:rFonts w:eastAsia="Batang" w:cs="Times New Roman"/>
          <w:bCs/>
          <w:sz w:val="22"/>
        </w:rPr>
        <w:t>8 542,6</w:t>
      </w:r>
      <w:r w:rsidRPr="00DE3C55">
        <w:rPr>
          <w:rFonts w:eastAsia="Batang" w:cs="Times New Roman"/>
          <w:bCs/>
          <w:sz w:val="22"/>
        </w:rPr>
        <w:t xml:space="preserve"> млн. лв. и здравноосигурителни плащания в размер на </w:t>
      </w:r>
      <w:r>
        <w:rPr>
          <w:rFonts w:eastAsia="Batang" w:cs="Times New Roman"/>
          <w:bCs/>
          <w:sz w:val="22"/>
        </w:rPr>
        <w:t>3 043,0</w:t>
      </w:r>
      <w:r w:rsidR="008A1F07">
        <w:rPr>
          <w:rFonts w:eastAsia="Batang" w:cs="Times New Roman"/>
          <w:bCs/>
          <w:sz w:val="22"/>
        </w:rPr>
        <w:t xml:space="preserve"> млн. лв</w:t>
      </w:r>
      <w:r w:rsidRPr="00DE3C55">
        <w:rPr>
          <w:rFonts w:eastAsia="Batang" w:cs="Times New Roman"/>
          <w:bCs/>
          <w:sz w:val="22"/>
        </w:rPr>
        <w:t>.</w:t>
      </w:r>
    </w:p>
    <w:p w:rsidR="00574A2C" w:rsidRPr="006F6F0F" w:rsidRDefault="00574A2C" w:rsidP="00B96FD7">
      <w:pPr>
        <w:numPr>
          <w:ilvl w:val="0"/>
          <w:numId w:val="2"/>
        </w:numPr>
        <w:autoSpaceDE w:val="0"/>
        <w:autoSpaceDN w:val="0"/>
        <w:adjustRightInd w:val="0"/>
        <w:spacing w:after="120" w:line="276" w:lineRule="auto"/>
        <w:ind w:left="426" w:hanging="426"/>
        <w:rPr>
          <w:rFonts w:eastAsia="Batang"/>
          <w:b/>
          <w:bCs/>
          <w:color w:val="943634"/>
          <w:sz w:val="22"/>
        </w:rPr>
      </w:pPr>
      <w:r w:rsidRPr="006F6F0F">
        <w:rPr>
          <w:rFonts w:eastAsia="Batang"/>
          <w:b/>
          <w:bCs/>
          <w:color w:val="943634"/>
          <w:sz w:val="22"/>
        </w:rPr>
        <w:t>Разходи по бюджетите на общините</w:t>
      </w:r>
    </w:p>
    <w:p w:rsidR="00833B2F" w:rsidRDefault="00833B2F" w:rsidP="00B96FD7">
      <w:pPr>
        <w:pStyle w:val="ListParagraph"/>
        <w:numPr>
          <w:ilvl w:val="0"/>
          <w:numId w:val="0"/>
        </w:numPr>
        <w:autoSpaceDE w:val="0"/>
        <w:autoSpaceDN w:val="0"/>
        <w:adjustRightInd w:val="0"/>
        <w:rPr>
          <w:rFonts w:eastAsia="Batang" w:cs="Times New Roman"/>
          <w:bCs/>
          <w:sz w:val="22"/>
        </w:rPr>
      </w:pPr>
      <w:r w:rsidRPr="00DE3C55">
        <w:rPr>
          <w:rFonts w:eastAsia="Batang" w:cs="Times New Roman"/>
          <w:bCs/>
          <w:sz w:val="22"/>
        </w:rPr>
        <w:t>Извършените разходи по общинските бюджети, включително и за сметка на предоставените целеви трансфери от други бюджети са в разм</w:t>
      </w:r>
      <w:r>
        <w:rPr>
          <w:rFonts w:eastAsia="Batang" w:cs="Times New Roman"/>
          <w:bCs/>
          <w:sz w:val="22"/>
        </w:rPr>
        <w:t>ер на              4 840,1 млн. лв. или 79,0</w:t>
      </w:r>
      <w:r w:rsidRPr="00DE3C55">
        <w:rPr>
          <w:rFonts w:eastAsia="Batang" w:cs="Times New Roman"/>
          <w:bCs/>
          <w:sz w:val="22"/>
        </w:rPr>
        <w:t>% от ра</w:t>
      </w:r>
      <w:r>
        <w:rPr>
          <w:rFonts w:eastAsia="Batang" w:cs="Times New Roman"/>
          <w:bCs/>
          <w:sz w:val="22"/>
        </w:rPr>
        <w:t>зчетите към ЗДБРБ за 2019 г</w:t>
      </w:r>
      <w:r w:rsidRPr="00DE3C55">
        <w:rPr>
          <w:rFonts w:eastAsia="Batang" w:cs="Times New Roman"/>
          <w:bCs/>
          <w:sz w:val="22"/>
        </w:rPr>
        <w:t>. Текущите нелихвени разходи въз</w:t>
      </w:r>
      <w:r>
        <w:rPr>
          <w:rFonts w:eastAsia="Batang" w:cs="Times New Roman"/>
          <w:bCs/>
          <w:sz w:val="22"/>
        </w:rPr>
        <w:t>лизат на 4 155,2 млн. лв. (79,7</w:t>
      </w:r>
      <w:r w:rsidRPr="00DE3C55">
        <w:rPr>
          <w:rFonts w:eastAsia="Batang" w:cs="Times New Roman"/>
          <w:bCs/>
          <w:sz w:val="22"/>
        </w:rPr>
        <w:t xml:space="preserve">% от годишния разчет), а капиталовите разходи са в размер на </w:t>
      </w:r>
      <w:r>
        <w:rPr>
          <w:rFonts w:eastAsia="Batang" w:cs="Times New Roman"/>
          <w:bCs/>
          <w:sz w:val="22"/>
        </w:rPr>
        <w:t>656,8</w:t>
      </w:r>
      <w:r w:rsidRPr="00DE3C55">
        <w:rPr>
          <w:rFonts w:eastAsia="Batang" w:cs="Times New Roman"/>
          <w:bCs/>
          <w:sz w:val="22"/>
        </w:rPr>
        <w:t xml:space="preserve"> млн. лв. или </w:t>
      </w:r>
      <w:r>
        <w:rPr>
          <w:rFonts w:eastAsia="Batang" w:cs="Times New Roman"/>
          <w:bCs/>
          <w:sz w:val="22"/>
        </w:rPr>
        <w:t>74,9</w:t>
      </w:r>
      <w:r w:rsidRPr="00DE3C55">
        <w:rPr>
          <w:rFonts w:eastAsia="Batang" w:cs="Times New Roman"/>
          <w:bCs/>
          <w:sz w:val="22"/>
        </w:rPr>
        <w:t>% от разчета за годината. Лихвените плащания са в р</w:t>
      </w:r>
      <w:r>
        <w:rPr>
          <w:rFonts w:eastAsia="Batang" w:cs="Times New Roman"/>
          <w:bCs/>
          <w:sz w:val="22"/>
        </w:rPr>
        <w:t>азмер на 28,0 млн. лв. или 78,1</w:t>
      </w:r>
      <w:r w:rsidRPr="00DE3C55">
        <w:rPr>
          <w:rFonts w:eastAsia="Batang" w:cs="Times New Roman"/>
          <w:bCs/>
          <w:sz w:val="22"/>
        </w:rPr>
        <w:t>% от разчета за годината.</w:t>
      </w:r>
    </w:p>
    <w:p w:rsidR="00B96FD7" w:rsidRPr="00A56BD9" w:rsidRDefault="00574A2C" w:rsidP="00A56BD9">
      <w:pPr>
        <w:numPr>
          <w:ilvl w:val="0"/>
          <w:numId w:val="2"/>
        </w:numPr>
        <w:autoSpaceDE w:val="0"/>
        <w:autoSpaceDN w:val="0"/>
        <w:adjustRightInd w:val="0"/>
        <w:spacing w:after="120" w:line="276" w:lineRule="auto"/>
        <w:ind w:left="426" w:hanging="426"/>
        <w:rPr>
          <w:rFonts w:eastAsia="Batang"/>
          <w:b/>
          <w:bCs/>
          <w:color w:val="943634"/>
          <w:szCs w:val="24"/>
        </w:rPr>
      </w:pPr>
      <w:r w:rsidRPr="00A56BD9">
        <w:rPr>
          <w:rFonts w:eastAsia="Batang"/>
          <w:b/>
          <w:bCs/>
          <w:color w:val="943634"/>
          <w:szCs w:val="24"/>
        </w:rPr>
        <w:t>Бюджетно салдо по консоли</w:t>
      </w:r>
      <w:bookmarkStart w:id="790" w:name="_Toc465205586"/>
      <w:bookmarkStart w:id="791" w:name="_Toc465206051"/>
      <w:r w:rsidR="00931F81">
        <w:rPr>
          <w:rFonts w:eastAsia="Batang"/>
          <w:b/>
          <w:bCs/>
          <w:color w:val="943634"/>
          <w:szCs w:val="24"/>
        </w:rPr>
        <w:t>дираната фискална програма</w:t>
      </w:r>
    </w:p>
    <w:p w:rsidR="00833B2F" w:rsidRDefault="00833B2F" w:rsidP="00833B2F">
      <w:pPr>
        <w:autoSpaceDE w:val="0"/>
        <w:autoSpaceDN w:val="0"/>
        <w:adjustRightInd w:val="0"/>
        <w:spacing w:after="120"/>
        <w:rPr>
          <w:rFonts w:eastAsia="Batang" w:cs="Times New Roman"/>
          <w:bCs/>
          <w:sz w:val="22"/>
        </w:rPr>
      </w:pPr>
      <w:r w:rsidRPr="00DE3C55">
        <w:rPr>
          <w:rFonts w:eastAsia="Batang" w:cs="Times New Roman"/>
          <w:b/>
          <w:bCs/>
          <w:sz w:val="22"/>
        </w:rPr>
        <w:t>Бюджетното салдо по КФП към 3</w:t>
      </w:r>
      <w:r>
        <w:rPr>
          <w:rFonts w:eastAsia="Batang" w:cs="Times New Roman"/>
          <w:b/>
          <w:bCs/>
          <w:sz w:val="22"/>
        </w:rPr>
        <w:t>0</w:t>
      </w:r>
      <w:r w:rsidRPr="00DE3C55">
        <w:rPr>
          <w:rFonts w:eastAsia="Batang" w:cs="Times New Roman"/>
          <w:b/>
          <w:bCs/>
          <w:sz w:val="22"/>
        </w:rPr>
        <w:t>.0</w:t>
      </w:r>
      <w:r>
        <w:rPr>
          <w:rFonts w:eastAsia="Batang" w:cs="Times New Roman"/>
          <w:b/>
          <w:bCs/>
          <w:sz w:val="22"/>
        </w:rPr>
        <w:t>9</w:t>
      </w:r>
      <w:r w:rsidRPr="00DE3C55">
        <w:rPr>
          <w:rFonts w:eastAsia="Batang" w:cs="Times New Roman"/>
          <w:b/>
          <w:bCs/>
          <w:sz w:val="22"/>
        </w:rPr>
        <w:t>.2019 г.</w:t>
      </w:r>
      <w:r w:rsidRPr="00DE3C55">
        <w:rPr>
          <w:rFonts w:eastAsia="Batang" w:cs="Times New Roman"/>
          <w:bCs/>
          <w:sz w:val="22"/>
        </w:rPr>
        <w:t xml:space="preserve"> е положително в </w:t>
      </w:r>
      <w:r>
        <w:rPr>
          <w:rFonts w:eastAsia="Batang" w:cs="Times New Roman"/>
          <w:bCs/>
          <w:sz w:val="22"/>
        </w:rPr>
        <w:t>размер на 1 264,5 млн. лв. (1,1</w:t>
      </w:r>
      <w:r w:rsidRPr="00DE3C55">
        <w:rPr>
          <w:rFonts w:eastAsia="Batang" w:cs="Times New Roman"/>
          <w:bCs/>
          <w:sz w:val="22"/>
        </w:rPr>
        <w:t xml:space="preserve">% от прогнозния БВП) и се формира от превишение на приходите над разходите по националния бюджет в размер на </w:t>
      </w:r>
      <w:r>
        <w:rPr>
          <w:rFonts w:eastAsia="Batang" w:cs="Times New Roman"/>
          <w:bCs/>
          <w:sz w:val="22"/>
        </w:rPr>
        <w:t>1 205,7</w:t>
      </w:r>
      <w:r w:rsidRPr="00DE3C55">
        <w:rPr>
          <w:rFonts w:eastAsia="Batang" w:cs="Times New Roman"/>
          <w:bCs/>
          <w:sz w:val="22"/>
        </w:rPr>
        <w:t xml:space="preserve"> млн. лв. и по европейските ср</w:t>
      </w:r>
      <w:r>
        <w:rPr>
          <w:rFonts w:eastAsia="Batang" w:cs="Times New Roman"/>
          <w:bCs/>
          <w:sz w:val="22"/>
        </w:rPr>
        <w:t>едства в размер на 58,8 млн. лв</w:t>
      </w:r>
      <w:r w:rsidRPr="00DE3C55">
        <w:rPr>
          <w:rFonts w:eastAsia="Batang" w:cs="Times New Roman"/>
          <w:bCs/>
          <w:sz w:val="22"/>
        </w:rPr>
        <w:t xml:space="preserve">. </w:t>
      </w:r>
    </w:p>
    <w:p w:rsidR="00833B2F" w:rsidRDefault="00833B2F" w:rsidP="00833B2F">
      <w:pPr>
        <w:autoSpaceDE w:val="0"/>
        <w:autoSpaceDN w:val="0"/>
        <w:adjustRightInd w:val="0"/>
        <w:spacing w:after="120"/>
        <w:rPr>
          <w:rFonts w:eastAsia="Batang" w:cs="Times New Roman"/>
          <w:bCs/>
          <w:sz w:val="22"/>
        </w:rPr>
      </w:pPr>
      <w:r w:rsidRPr="00DE3C55">
        <w:rPr>
          <w:rFonts w:eastAsia="Batang" w:cs="Times New Roman"/>
          <w:bCs/>
          <w:sz w:val="22"/>
        </w:rPr>
        <w:t xml:space="preserve">Общият размер на </w:t>
      </w:r>
      <w:r w:rsidRPr="00DE3C55">
        <w:rPr>
          <w:rFonts w:eastAsia="Batang" w:cs="Times New Roman"/>
          <w:b/>
          <w:bCs/>
          <w:sz w:val="22"/>
        </w:rPr>
        <w:t>касовите постъпления от ЕС</w:t>
      </w:r>
      <w:r w:rsidRPr="00DE3C55">
        <w:rPr>
          <w:rFonts w:eastAsia="Batang" w:cs="Times New Roman"/>
          <w:bCs/>
          <w:sz w:val="22"/>
        </w:rPr>
        <w:t xml:space="preserve"> (от Кохезионния </w:t>
      </w:r>
      <w:r>
        <w:rPr>
          <w:rFonts w:eastAsia="Batang" w:cs="Times New Roman"/>
          <w:bCs/>
          <w:sz w:val="22"/>
        </w:rPr>
        <w:t xml:space="preserve"> и </w:t>
      </w:r>
      <w:r w:rsidRPr="00DE3C55">
        <w:rPr>
          <w:rFonts w:eastAsia="Batang" w:cs="Times New Roman"/>
          <w:bCs/>
          <w:sz w:val="22"/>
        </w:rPr>
        <w:t>Структурните фондове, от ЕЗФРСР и ЕФР, от средства за директни плащания към земеделските производители и плащания по пазарни мерки и др.) към 3</w:t>
      </w:r>
      <w:r>
        <w:rPr>
          <w:rFonts w:eastAsia="Batang" w:cs="Times New Roman"/>
          <w:bCs/>
          <w:sz w:val="22"/>
        </w:rPr>
        <w:t>0</w:t>
      </w:r>
      <w:r w:rsidRPr="00DE3C55">
        <w:rPr>
          <w:rFonts w:eastAsia="Batang" w:cs="Times New Roman"/>
          <w:bCs/>
          <w:sz w:val="22"/>
        </w:rPr>
        <w:t>.0</w:t>
      </w:r>
      <w:r>
        <w:rPr>
          <w:rFonts w:eastAsia="Batang" w:cs="Times New Roman"/>
          <w:bCs/>
          <w:sz w:val="22"/>
        </w:rPr>
        <w:t>9</w:t>
      </w:r>
      <w:r w:rsidRPr="00DE3C55">
        <w:rPr>
          <w:rFonts w:eastAsia="Batang" w:cs="Times New Roman"/>
          <w:bCs/>
          <w:sz w:val="22"/>
        </w:rPr>
        <w:t>.2019 г. е 3</w:t>
      </w:r>
      <w:r>
        <w:rPr>
          <w:rFonts w:eastAsia="Batang" w:cs="Times New Roman"/>
          <w:bCs/>
          <w:sz w:val="22"/>
        </w:rPr>
        <w:t> 607,5</w:t>
      </w:r>
      <w:r w:rsidR="008A1F07">
        <w:rPr>
          <w:rFonts w:eastAsia="Batang" w:cs="Times New Roman"/>
          <w:bCs/>
          <w:sz w:val="22"/>
        </w:rPr>
        <w:t xml:space="preserve"> млн. лв</w:t>
      </w:r>
      <w:r w:rsidRPr="00DE3C55">
        <w:rPr>
          <w:rFonts w:eastAsia="Batang" w:cs="Times New Roman"/>
          <w:bCs/>
          <w:sz w:val="22"/>
        </w:rPr>
        <w:t xml:space="preserve">. Нетните постъпления от ЕС към </w:t>
      </w:r>
      <w:r>
        <w:rPr>
          <w:rFonts w:eastAsia="Batang" w:cs="Times New Roman"/>
          <w:bCs/>
          <w:sz w:val="22"/>
        </w:rPr>
        <w:t>30</w:t>
      </w:r>
      <w:r w:rsidRPr="00DE3C55">
        <w:rPr>
          <w:rFonts w:eastAsia="Batang" w:cs="Times New Roman"/>
          <w:bCs/>
          <w:sz w:val="22"/>
        </w:rPr>
        <w:t>.0</w:t>
      </w:r>
      <w:r>
        <w:rPr>
          <w:rFonts w:eastAsia="Batang" w:cs="Times New Roman"/>
          <w:bCs/>
          <w:sz w:val="22"/>
        </w:rPr>
        <w:t>9</w:t>
      </w:r>
      <w:r w:rsidRPr="00DE3C55">
        <w:rPr>
          <w:rFonts w:eastAsia="Batang" w:cs="Times New Roman"/>
          <w:bCs/>
          <w:sz w:val="22"/>
        </w:rPr>
        <w:t xml:space="preserve">.2019 г. (касови постъпления от ЕС, намалени с вноската в общия бюджет на ЕС) са положителни </w:t>
      </w:r>
      <w:r>
        <w:rPr>
          <w:rFonts w:eastAsia="Batang" w:cs="Times New Roman"/>
          <w:bCs/>
          <w:sz w:val="22"/>
        </w:rPr>
        <w:t>в размер на 2 610,0</w:t>
      </w:r>
      <w:r w:rsidR="008A1F07">
        <w:rPr>
          <w:rFonts w:eastAsia="Batang" w:cs="Times New Roman"/>
          <w:bCs/>
          <w:sz w:val="22"/>
        </w:rPr>
        <w:t xml:space="preserve"> млн. лв</w:t>
      </w:r>
      <w:r>
        <w:rPr>
          <w:rFonts w:eastAsia="Batang" w:cs="Times New Roman"/>
          <w:bCs/>
          <w:sz w:val="22"/>
        </w:rPr>
        <w:t xml:space="preserve">. </w:t>
      </w:r>
    </w:p>
    <w:p w:rsidR="00833B2F" w:rsidRPr="00805506" w:rsidRDefault="00833B2F" w:rsidP="00833B2F">
      <w:pPr>
        <w:autoSpaceDE w:val="0"/>
        <w:autoSpaceDN w:val="0"/>
        <w:adjustRightInd w:val="0"/>
        <w:spacing w:after="120"/>
        <w:rPr>
          <w:rFonts w:eastAsia="Batang" w:cs="Times New Roman"/>
          <w:bCs/>
          <w:sz w:val="22"/>
        </w:rPr>
      </w:pPr>
      <w:r w:rsidRPr="00DE3C55">
        <w:rPr>
          <w:rFonts w:eastAsia="Batang" w:cs="Times New Roman"/>
          <w:bCs/>
          <w:sz w:val="22"/>
        </w:rPr>
        <w:t xml:space="preserve">Размерът на </w:t>
      </w:r>
      <w:r w:rsidRPr="00DE3C55">
        <w:rPr>
          <w:rFonts w:eastAsia="Batang" w:cs="Times New Roman"/>
          <w:b/>
          <w:bCs/>
          <w:sz w:val="22"/>
        </w:rPr>
        <w:t>фискалния резерв</w:t>
      </w:r>
      <w:r>
        <w:rPr>
          <w:rStyle w:val="FootnoteReference"/>
          <w:rFonts w:eastAsia="Batang"/>
          <w:bCs/>
        </w:rPr>
        <w:footnoteReference w:id="38"/>
      </w:r>
      <w:r>
        <w:rPr>
          <w:rFonts w:eastAsia="Batang" w:cs="Times New Roman"/>
          <w:b/>
          <w:bCs/>
          <w:sz w:val="22"/>
        </w:rPr>
        <w:t xml:space="preserve"> </w:t>
      </w:r>
      <w:r w:rsidRPr="00DE3C55">
        <w:rPr>
          <w:rFonts w:eastAsia="Batang" w:cs="Times New Roman"/>
          <w:bCs/>
          <w:sz w:val="22"/>
        </w:rPr>
        <w:t>към 3</w:t>
      </w:r>
      <w:r>
        <w:rPr>
          <w:rFonts w:eastAsia="Batang" w:cs="Times New Roman"/>
          <w:bCs/>
          <w:sz w:val="22"/>
        </w:rPr>
        <w:t>0</w:t>
      </w:r>
      <w:r w:rsidRPr="00DE3C55">
        <w:rPr>
          <w:rFonts w:eastAsia="Batang" w:cs="Times New Roman"/>
          <w:bCs/>
          <w:sz w:val="22"/>
        </w:rPr>
        <w:t>.0</w:t>
      </w:r>
      <w:r>
        <w:rPr>
          <w:rFonts w:eastAsia="Batang" w:cs="Times New Roman"/>
          <w:bCs/>
          <w:sz w:val="22"/>
        </w:rPr>
        <w:t>9</w:t>
      </w:r>
      <w:r w:rsidRPr="00DE3C55">
        <w:rPr>
          <w:rFonts w:eastAsia="Batang" w:cs="Times New Roman"/>
          <w:bCs/>
          <w:sz w:val="22"/>
        </w:rPr>
        <w:t>.2019 г. е 1</w:t>
      </w:r>
      <w:r>
        <w:rPr>
          <w:rFonts w:eastAsia="Batang" w:cs="Times New Roman"/>
          <w:bCs/>
          <w:sz w:val="22"/>
        </w:rPr>
        <w:t>0,14</w:t>
      </w:r>
      <w:r w:rsidRPr="00DE3C55">
        <w:rPr>
          <w:rFonts w:eastAsia="Batang" w:cs="Times New Roman"/>
          <w:bCs/>
          <w:sz w:val="22"/>
        </w:rPr>
        <w:t xml:space="preserve"> млрд. лв., в т.ч. 1</w:t>
      </w:r>
      <w:r>
        <w:rPr>
          <w:rFonts w:eastAsia="Batang" w:cs="Times New Roman"/>
          <w:bCs/>
          <w:sz w:val="22"/>
        </w:rPr>
        <w:t>0</w:t>
      </w:r>
      <w:r w:rsidRPr="00DE3C55">
        <w:rPr>
          <w:rFonts w:eastAsia="Batang" w:cs="Times New Roman"/>
          <w:bCs/>
          <w:sz w:val="22"/>
        </w:rPr>
        <w:t>,</w:t>
      </w:r>
      <w:r>
        <w:rPr>
          <w:rFonts w:eastAsia="Batang" w:cs="Times New Roman"/>
          <w:bCs/>
          <w:sz w:val="22"/>
        </w:rPr>
        <w:t>12</w:t>
      </w:r>
      <w:r w:rsidRPr="00DE3C55">
        <w:rPr>
          <w:rFonts w:eastAsia="Batang" w:cs="Times New Roman"/>
          <w:bCs/>
          <w:sz w:val="22"/>
        </w:rPr>
        <w:t xml:space="preserve"> млрд. лв. депозити на фискалния резерв в БНБ и банки и 0,</w:t>
      </w:r>
      <w:r>
        <w:rPr>
          <w:rFonts w:eastAsia="Batang" w:cs="Times New Roman"/>
          <w:bCs/>
          <w:sz w:val="22"/>
        </w:rPr>
        <w:t>02</w:t>
      </w:r>
      <w:r w:rsidRPr="00DE3C55">
        <w:rPr>
          <w:rFonts w:eastAsia="Batang" w:cs="Times New Roman"/>
          <w:bCs/>
          <w:sz w:val="22"/>
        </w:rPr>
        <w:t xml:space="preserve"> млрд. лв. вземания от фондовете на Европейския съюз за сертифицирани разходи, аванси и други.  </w:t>
      </w:r>
    </w:p>
    <w:p w:rsidR="00AD5FB7" w:rsidRDefault="00AD5FB7" w:rsidP="00FF41B8">
      <w:pPr>
        <w:shd w:val="clear" w:color="auto" w:fill="D9D9D9" w:themeFill="background1" w:themeFillShade="D9"/>
        <w:autoSpaceDE w:val="0"/>
        <w:autoSpaceDN w:val="0"/>
        <w:adjustRightInd w:val="0"/>
        <w:spacing w:after="120"/>
        <w:jc w:val="left"/>
        <w:rPr>
          <w:rFonts w:eastAsia="Batang" w:cs="Times New Roman"/>
          <w:bCs/>
          <w:sz w:val="22"/>
        </w:rPr>
        <w:sectPr w:rsidR="00AD5FB7" w:rsidSect="00FF16A0">
          <w:headerReference w:type="even" r:id="rId61"/>
          <w:headerReference w:type="default" r:id="rId62"/>
          <w:headerReference w:type="first" r:id="rId63"/>
          <w:type w:val="oddPage"/>
          <w:pgSz w:w="16838" w:h="11906" w:orient="landscape" w:code="9"/>
          <w:pgMar w:top="1418" w:right="1134" w:bottom="851" w:left="1134" w:header="709" w:footer="709" w:gutter="0"/>
          <w:cols w:num="2" w:space="708"/>
          <w:titlePg/>
          <w:docGrid w:linePitch="360"/>
        </w:sectPr>
      </w:pPr>
    </w:p>
    <w:p w:rsidR="00574A2C" w:rsidRPr="000C4029" w:rsidRDefault="00931F81" w:rsidP="00DE2BDB">
      <w:pPr>
        <w:pStyle w:val="Heading2"/>
      </w:pPr>
      <w:bookmarkStart w:id="792" w:name="_Toc23337501"/>
      <w:r>
        <w:t>Оценка н</w:t>
      </w:r>
      <w:r w:rsidR="00574A2C" w:rsidRPr="000C4029">
        <w:t>а изпълнението на КФП за 201</w:t>
      </w:r>
      <w:r>
        <w:t>9</w:t>
      </w:r>
      <w:r w:rsidR="00574A2C" w:rsidRPr="000C4029">
        <w:t> г.</w:t>
      </w:r>
      <w:bookmarkEnd w:id="790"/>
      <w:bookmarkEnd w:id="791"/>
      <w:bookmarkEnd w:id="792"/>
    </w:p>
    <w:p w:rsidR="00894B24" w:rsidRPr="00894B24" w:rsidRDefault="00894B24" w:rsidP="00DE28AE">
      <w:pPr>
        <w:spacing w:after="120"/>
        <w:rPr>
          <w:rFonts w:eastAsia="Batang" w:cs="Times New Roman"/>
          <w:bCs/>
          <w:color w:val="000000" w:themeColor="text1"/>
          <w:sz w:val="22"/>
        </w:rPr>
      </w:pPr>
      <w:r w:rsidRPr="00894B24">
        <w:rPr>
          <w:rFonts w:eastAsia="Batang" w:cs="Times New Roman"/>
          <w:bCs/>
          <w:color w:val="000000" w:themeColor="text1"/>
          <w:sz w:val="22"/>
        </w:rPr>
        <w:t xml:space="preserve">За поредна година параметрите по изпълнението на приходите отчитат  подобрение спрямо същия период на предходната година, като постъпленията при някои от основните данъци и осигурителни вноски отчитат значителен номинален растеж. Основните фактори за това са от една страна, продължаващото подобрение при някои от важните макроикономически индикатори, като вътрешното потребление, нетния износ, нивото на безработица и други, и от друга – на  изпълнението на мерките за повишаване събираемостта на приходите и борба със сивата икономика. Данъчните постъпления като цяло нарастват в номинално изражение с 2,1 млрд. лв. (8,8%) спрямо септември 2018 г., като с най-голям принос са косвените данъци и приходите от осигурителни вноски. Съпоставено със същия период на предходната година ръст се отчита във всички данъчни групи, като преките данъци нарастват със 7,9%, социално и здравноосигурителните вноски отчитат ръст от 11,6%, косвените данъци нарастват със 7,8%, а постъпленията от други данъци – с 4,6 процента. Неданъчните приходи са в размер на 5,0 млрд. лв., което представлява 74,8% изпълнение на годишните разчети, а приходите от помощи и дарения са в размер на 1,7 млрд. лв., като нарастват значително (номинален ръст от 30,6 на сто) спрямо същия период на предходната година. Следва да се отбележи, че ръстът в приходите от помощи и дарения се дължи основно на ускоряване при усвояването на средствата по оперативните програми и фондовете на ЕС през настоящата година, което се отразява в по-високи разходи по сметките за средства от ЕС, и съответно по-високи по размер грантове от ЕК за възстановени сертифицирани разходи. </w:t>
      </w:r>
    </w:p>
    <w:p w:rsidR="00894B24" w:rsidRPr="00894B24" w:rsidRDefault="00894B24" w:rsidP="00DE28AE">
      <w:pPr>
        <w:spacing w:after="120"/>
        <w:rPr>
          <w:rFonts w:eastAsia="Batang" w:cs="Times New Roman"/>
          <w:bCs/>
          <w:color w:val="000000" w:themeColor="text1"/>
          <w:sz w:val="22"/>
        </w:rPr>
      </w:pPr>
      <w:r w:rsidRPr="00894B24">
        <w:rPr>
          <w:rFonts w:eastAsia="Batang" w:cs="Times New Roman"/>
          <w:bCs/>
          <w:color w:val="000000" w:themeColor="text1"/>
          <w:sz w:val="22"/>
        </w:rPr>
        <w:t>На база на тези параметри и изготвените прогнози в годишен план не се очертава напрежение при изпълнението на планираните данъчни приходи по националния бюджет. Прогнозите очертават изпълнение на разчетите за 2019 г. при данъчните приходи, като може да се очаква известно превишение на плана за годината при постъпленията от социално и здравноосигурителни вноски, косвените данъци, ДДФЛ и др. Тук е важно да се отбележат и усилията на приходните администрации за повишаване събираемостта на приходите – активните мерки за изтласкване на светло на оборотите от сивия сектор на икономиката чрез засилен фискален контрол, включително и контрол в реално време на фискалните устройства на търговците в страната, мерките за засилване на контрола при търговията с акцизни стоки, борбата с контрабандния внос, както и противодействието на опитите за данъчни нарушения и измами. Системното прилагане на тези мерки вече оказва дисциплиниращ ефект и натиск върху сивата икономика, което се потвърждава от отчетените за поредна година добри параметри по изпълнението на данъчните и осигурителни приходи.</w:t>
      </w:r>
    </w:p>
    <w:p w:rsidR="003957D4" w:rsidRDefault="003957D4" w:rsidP="00DE28AE">
      <w:pPr>
        <w:spacing w:after="0"/>
        <w:rPr>
          <w:rFonts w:eastAsia="Batang" w:cs="Times New Roman"/>
          <w:bCs/>
          <w:color w:val="000000" w:themeColor="text1"/>
          <w:sz w:val="22"/>
        </w:rPr>
      </w:pPr>
      <w:r w:rsidRPr="00894B24">
        <w:rPr>
          <w:rFonts w:eastAsia="Batang" w:cs="Times New Roman"/>
          <w:bCs/>
          <w:color w:val="000000" w:themeColor="text1"/>
          <w:sz w:val="22"/>
        </w:rPr>
        <w:t xml:space="preserve">Параметрите по разходите се развиват съобразно разчетите към ЗДБРБ за 2019 г. Усвояването на разходите през първите три тримесечия традиционно не е толкова интензивно, както през четвъртото тримесечие на годината. Параметрите по изпълнението към деветмесечието сочат, че разходите по КФП, включително вноската в общия бюджет на ЕС,  представляват 68,1 на сто от </w:t>
      </w:r>
      <w:r>
        <w:rPr>
          <w:rFonts w:eastAsia="Batang" w:cs="Times New Roman"/>
          <w:bCs/>
          <w:color w:val="000000" w:themeColor="text1"/>
          <w:sz w:val="22"/>
        </w:rPr>
        <w:t>ревизираната оценка</w:t>
      </w:r>
      <w:r w:rsidRPr="00894B24">
        <w:rPr>
          <w:rFonts w:eastAsia="Batang" w:cs="Times New Roman"/>
          <w:bCs/>
          <w:color w:val="000000" w:themeColor="text1"/>
          <w:sz w:val="22"/>
        </w:rPr>
        <w:t xml:space="preserve"> за 2019 г. Това се дължи основно на изместване на</w:t>
      </w:r>
      <w:r w:rsidRPr="007D6981">
        <w:rPr>
          <w:rFonts w:eastAsia="Batang" w:cs="Times New Roman"/>
          <w:bCs/>
          <w:color w:val="000000" w:themeColor="text1"/>
          <w:sz w:val="22"/>
          <w:lang w:val="ru-RU"/>
        </w:rPr>
        <w:t xml:space="preserve"> </w:t>
      </w:r>
      <w:r w:rsidRPr="00894B24">
        <w:rPr>
          <w:rFonts w:eastAsia="Batang" w:cs="Times New Roman"/>
          <w:bCs/>
          <w:color w:val="000000" w:themeColor="text1"/>
          <w:sz w:val="22"/>
        </w:rPr>
        <w:t xml:space="preserve">част от инвестиционните и капиталови разходи за последното тримесечие на годината. Неравномерното усвояване на капиталовите разходи е обективно обусловено от календара на строителния сезон, като изпълнението на повечето инфраструктурни проекти се извършва през летните месеци и разплащането за извършената работа се концентрира в последното тримесечие. </w:t>
      </w:r>
    </w:p>
    <w:p w:rsidR="003957D4" w:rsidRDefault="003957D4" w:rsidP="00DE28AE">
      <w:pPr>
        <w:spacing w:after="120"/>
        <w:rPr>
          <w:rFonts w:eastAsia="Batang" w:cs="Times New Roman"/>
          <w:bCs/>
          <w:color w:val="000000" w:themeColor="text1"/>
          <w:sz w:val="22"/>
        </w:rPr>
      </w:pPr>
      <w:r>
        <w:rPr>
          <w:rFonts w:eastAsia="Batang" w:cs="Times New Roman"/>
          <w:bCs/>
          <w:color w:val="000000" w:themeColor="text1"/>
          <w:sz w:val="22"/>
        </w:rPr>
        <w:t>В</w:t>
      </w:r>
      <w:r w:rsidRPr="00894B24">
        <w:rPr>
          <w:rFonts w:eastAsia="Batang" w:cs="Times New Roman"/>
          <w:bCs/>
          <w:color w:val="000000" w:themeColor="text1"/>
          <w:sz w:val="22"/>
        </w:rPr>
        <w:t>следствие на отчетените добри параметри по изпълнението на приходите и традиционно по-ниското усвояване на разходите, бюджетното салдо по консолидираната фискална програма към 30.09.2019 г. е положително в размер на 1 264,5 млн. лв. (1,1% от прогнозния БВП) и се формира от превишение на приходите над разходите по националния бюджет в размер на 1 205,7 млн. лв. и по европейските средства - в раз</w:t>
      </w:r>
      <w:r>
        <w:rPr>
          <w:rFonts w:eastAsia="Batang" w:cs="Times New Roman"/>
          <w:bCs/>
          <w:color w:val="000000" w:themeColor="text1"/>
          <w:sz w:val="22"/>
        </w:rPr>
        <w:t>мер на 58,8 млн. лв</w:t>
      </w:r>
      <w:r w:rsidRPr="00894B24">
        <w:rPr>
          <w:rFonts w:eastAsia="Batang" w:cs="Times New Roman"/>
          <w:bCs/>
          <w:color w:val="000000" w:themeColor="text1"/>
          <w:sz w:val="22"/>
        </w:rPr>
        <w:t xml:space="preserve">. </w:t>
      </w:r>
    </w:p>
    <w:p w:rsidR="003957D4" w:rsidRPr="00894B24" w:rsidRDefault="003957D4" w:rsidP="003957D4">
      <w:pPr>
        <w:spacing w:after="120"/>
        <w:rPr>
          <w:rFonts w:eastAsia="Batang" w:cs="Times New Roman"/>
          <w:bCs/>
          <w:color w:val="000000" w:themeColor="text1"/>
          <w:sz w:val="22"/>
        </w:rPr>
      </w:pPr>
      <w:r w:rsidRPr="000B72EB">
        <w:rPr>
          <w:rFonts w:eastAsia="Batang" w:cs="Times New Roman"/>
          <w:bCs/>
          <w:color w:val="000000" w:themeColor="text1"/>
          <w:sz w:val="22"/>
        </w:rPr>
        <w:t xml:space="preserve">На база на изложеното може да се обобщи, че развитието на параметрите по приходите и разходите към </w:t>
      </w:r>
      <w:r>
        <w:rPr>
          <w:rFonts w:eastAsia="Batang" w:cs="Times New Roman"/>
          <w:bCs/>
          <w:color w:val="000000" w:themeColor="text1"/>
          <w:sz w:val="22"/>
        </w:rPr>
        <w:t xml:space="preserve">септември </w:t>
      </w:r>
      <w:r w:rsidRPr="000B72EB">
        <w:rPr>
          <w:rFonts w:eastAsia="Batang" w:cs="Times New Roman"/>
          <w:bCs/>
          <w:color w:val="000000" w:themeColor="text1"/>
          <w:sz w:val="22"/>
        </w:rPr>
        <w:t xml:space="preserve">очертават в годишен план </w:t>
      </w:r>
      <w:r>
        <w:rPr>
          <w:rFonts w:eastAsia="Batang" w:cs="Times New Roman"/>
          <w:bCs/>
          <w:color w:val="000000" w:themeColor="text1"/>
          <w:sz w:val="22"/>
        </w:rPr>
        <w:t>бюджетното салдо по консолидираната фискална програма да бъде близко до заложената цел в разчетите към ревизираната оценка за 2019 г., като дефицитът за годината няма да надвиши 2,0 на сто от прогнозния БВП.</w:t>
      </w:r>
      <w:r w:rsidRPr="000B72EB">
        <w:rPr>
          <w:rFonts w:eastAsia="Batang" w:cs="Times New Roman"/>
          <w:bCs/>
          <w:color w:val="000000" w:themeColor="text1"/>
          <w:sz w:val="22"/>
        </w:rPr>
        <w:t xml:space="preserve"> </w:t>
      </w:r>
      <w:r>
        <w:rPr>
          <w:rFonts w:eastAsia="Batang" w:cs="Times New Roman"/>
          <w:bCs/>
          <w:color w:val="000000" w:themeColor="text1"/>
          <w:sz w:val="22"/>
        </w:rPr>
        <w:t>На база на изготвените оценки салдото на сектор „Държавно управление“ за 2019 г. се очаква да бъде близко до балансирано.</w:t>
      </w:r>
    </w:p>
    <w:p w:rsidR="003957D4" w:rsidRDefault="003957D4" w:rsidP="00894B24">
      <w:pPr>
        <w:spacing w:after="120"/>
        <w:rPr>
          <w:rFonts w:eastAsia="Batang" w:cs="Times New Roman"/>
          <w:bCs/>
          <w:color w:val="000000" w:themeColor="text1"/>
          <w:sz w:val="22"/>
        </w:rPr>
      </w:pPr>
    </w:p>
    <w:p w:rsidR="000B72EB" w:rsidRPr="000B72EB" w:rsidRDefault="000B72EB" w:rsidP="00B606FC">
      <w:pPr>
        <w:rPr>
          <w:rFonts w:eastAsia="Batang" w:cs="Times New Roman"/>
          <w:bCs/>
          <w:color w:val="000000" w:themeColor="text1"/>
          <w:sz w:val="22"/>
          <w:highlight w:val="lightGray"/>
        </w:rPr>
      </w:pPr>
    </w:p>
    <w:p w:rsidR="000B72EB" w:rsidRPr="000B72EB" w:rsidRDefault="000B72EB" w:rsidP="00B606FC">
      <w:pPr>
        <w:rPr>
          <w:rFonts w:eastAsia="Batang" w:cs="Times New Roman"/>
          <w:bCs/>
          <w:color w:val="000000" w:themeColor="text1"/>
          <w:sz w:val="22"/>
          <w:highlight w:val="lightGray"/>
        </w:rPr>
      </w:pPr>
    </w:p>
    <w:p w:rsidR="000B72EB" w:rsidRPr="000B72EB" w:rsidRDefault="000B72EB" w:rsidP="00B606FC">
      <w:pPr>
        <w:rPr>
          <w:rFonts w:eastAsia="Batang" w:cs="Times New Roman"/>
          <w:bCs/>
          <w:color w:val="000000" w:themeColor="text1"/>
          <w:sz w:val="22"/>
          <w:highlight w:val="lightGray"/>
        </w:rPr>
      </w:pPr>
    </w:p>
    <w:p w:rsidR="000B72EB" w:rsidRPr="000B72EB" w:rsidRDefault="000B72EB" w:rsidP="00B606FC">
      <w:pPr>
        <w:rPr>
          <w:rFonts w:eastAsia="Batang" w:cs="Times New Roman"/>
          <w:bCs/>
          <w:color w:val="000000" w:themeColor="text1"/>
          <w:sz w:val="22"/>
          <w:highlight w:val="lightGray"/>
        </w:rPr>
      </w:pPr>
    </w:p>
    <w:p w:rsidR="000B72EB" w:rsidRPr="000B72EB" w:rsidRDefault="000B72EB" w:rsidP="00B606FC">
      <w:pPr>
        <w:rPr>
          <w:rFonts w:eastAsia="Batang" w:cs="Times New Roman"/>
          <w:bCs/>
          <w:color w:val="000000" w:themeColor="text1"/>
          <w:sz w:val="22"/>
          <w:highlight w:val="lightGray"/>
        </w:rPr>
      </w:pPr>
    </w:p>
    <w:p w:rsidR="000B72EB" w:rsidRPr="000B72EB" w:rsidRDefault="000B72EB" w:rsidP="00B606FC">
      <w:pPr>
        <w:rPr>
          <w:rFonts w:eastAsia="Batang" w:cs="Times New Roman"/>
          <w:bCs/>
          <w:color w:val="000000" w:themeColor="text1"/>
          <w:sz w:val="22"/>
          <w:highlight w:val="lightGray"/>
        </w:rPr>
      </w:pPr>
    </w:p>
    <w:p w:rsidR="007A65BF" w:rsidRPr="000B72EB" w:rsidRDefault="007A65BF" w:rsidP="00B606FC">
      <w:pPr>
        <w:rPr>
          <w:rFonts w:eastAsia="Batang" w:cs="Times New Roman"/>
          <w:bCs/>
          <w:color w:val="000000" w:themeColor="text1"/>
          <w:sz w:val="22"/>
        </w:rPr>
      </w:pPr>
    </w:p>
    <w:p w:rsidR="0083619E" w:rsidRPr="000B72EB" w:rsidRDefault="0083619E" w:rsidP="00B606FC">
      <w:pPr>
        <w:rPr>
          <w:rFonts w:eastAsia="Batang" w:cs="Times New Roman"/>
          <w:bCs/>
          <w:color w:val="000000" w:themeColor="text1"/>
          <w:sz w:val="22"/>
        </w:rPr>
      </w:pPr>
    </w:p>
    <w:p w:rsidR="0083619E" w:rsidRPr="000B72EB" w:rsidRDefault="0083619E" w:rsidP="00B606FC">
      <w:pPr>
        <w:rPr>
          <w:rFonts w:eastAsia="Batang" w:cs="Times New Roman"/>
          <w:bCs/>
          <w:color w:val="000000" w:themeColor="text1"/>
          <w:sz w:val="22"/>
        </w:rPr>
      </w:pPr>
    </w:p>
    <w:p w:rsidR="007A65BF" w:rsidRPr="000B72EB" w:rsidRDefault="007A65BF" w:rsidP="00B606FC">
      <w:pPr>
        <w:rPr>
          <w:rFonts w:eastAsia="Batang" w:cs="Times New Roman"/>
          <w:bCs/>
          <w:color w:val="000000" w:themeColor="text1"/>
          <w:sz w:val="22"/>
        </w:rPr>
      </w:pPr>
    </w:p>
    <w:p w:rsidR="007A65BF" w:rsidRPr="000B72EB" w:rsidRDefault="007A65BF" w:rsidP="00B606FC">
      <w:pPr>
        <w:rPr>
          <w:rFonts w:eastAsia="Batang" w:cs="Times New Roman"/>
          <w:bCs/>
          <w:color w:val="000000" w:themeColor="text1"/>
          <w:sz w:val="22"/>
        </w:rPr>
      </w:pPr>
    </w:p>
    <w:p w:rsidR="007A65BF" w:rsidRPr="000B72EB" w:rsidRDefault="007A65BF" w:rsidP="00B606FC">
      <w:pPr>
        <w:rPr>
          <w:rFonts w:eastAsia="Batang" w:cs="Times New Roman"/>
          <w:bCs/>
          <w:color w:val="000000" w:themeColor="text1"/>
          <w:sz w:val="22"/>
        </w:rPr>
      </w:pPr>
    </w:p>
    <w:p w:rsidR="007A65BF" w:rsidRPr="000B72EB" w:rsidRDefault="007A65BF" w:rsidP="00B606FC">
      <w:pPr>
        <w:rPr>
          <w:rFonts w:eastAsia="Batang" w:cs="Times New Roman"/>
          <w:bCs/>
          <w:color w:val="000000" w:themeColor="text1"/>
          <w:sz w:val="22"/>
        </w:rPr>
      </w:pPr>
    </w:p>
    <w:p w:rsidR="007A65BF" w:rsidRPr="000B72EB" w:rsidRDefault="007A65BF" w:rsidP="00B606FC">
      <w:pPr>
        <w:rPr>
          <w:rFonts w:eastAsia="Batang" w:cs="Times New Roman"/>
          <w:bCs/>
          <w:color w:val="000000" w:themeColor="text1"/>
          <w:sz w:val="22"/>
        </w:rPr>
      </w:pPr>
    </w:p>
    <w:p w:rsidR="007A65BF" w:rsidRPr="000B72EB" w:rsidRDefault="007A65BF" w:rsidP="00B606FC">
      <w:pPr>
        <w:rPr>
          <w:rFonts w:eastAsia="Batang" w:cs="Times New Roman"/>
          <w:bCs/>
          <w:color w:val="000000" w:themeColor="text1"/>
          <w:sz w:val="22"/>
        </w:rPr>
      </w:pPr>
    </w:p>
    <w:p w:rsidR="007A65BF" w:rsidRPr="000B72EB" w:rsidRDefault="007A65BF" w:rsidP="00B606FC">
      <w:pPr>
        <w:rPr>
          <w:rFonts w:eastAsia="Batang" w:cs="Times New Roman"/>
          <w:bCs/>
          <w:color w:val="000000" w:themeColor="text1"/>
          <w:sz w:val="22"/>
        </w:rPr>
      </w:pPr>
    </w:p>
    <w:p w:rsidR="007A65BF" w:rsidRPr="000B72EB" w:rsidRDefault="007A65BF" w:rsidP="00B606FC">
      <w:pPr>
        <w:rPr>
          <w:rFonts w:eastAsia="Batang"/>
          <w:bCs/>
          <w:color w:val="000000"/>
          <w:sz w:val="22"/>
        </w:rPr>
      </w:pPr>
    </w:p>
    <w:p w:rsidR="00030F0C" w:rsidRPr="000B72EB" w:rsidRDefault="00030F0C" w:rsidP="00574A2C">
      <w:pPr>
        <w:rPr>
          <w:rFonts w:eastAsia="Batang"/>
          <w:bCs/>
          <w:color w:val="000000"/>
          <w:sz w:val="22"/>
        </w:rPr>
        <w:sectPr w:rsidR="00030F0C" w:rsidRPr="000B72EB" w:rsidSect="00FF16A0">
          <w:pgSz w:w="16838" w:h="11906" w:orient="landscape" w:code="9"/>
          <w:pgMar w:top="1418" w:right="1134" w:bottom="851" w:left="1134" w:header="709" w:footer="709" w:gutter="0"/>
          <w:cols w:num="2" w:space="708"/>
          <w:titlePg/>
          <w:docGrid w:linePitch="360"/>
        </w:sectPr>
      </w:pPr>
    </w:p>
    <w:p w:rsidR="00247129" w:rsidRPr="000B72EB" w:rsidRDefault="00247129" w:rsidP="00574A2C">
      <w:pPr>
        <w:rPr>
          <w:rFonts w:eastAsia="Batang"/>
          <w:bCs/>
          <w:color w:val="000000"/>
          <w:sz w:val="22"/>
        </w:rPr>
      </w:pPr>
    </w:p>
    <w:p w:rsidR="004D5B39" w:rsidRDefault="004D5B39" w:rsidP="00DE2BDB">
      <w:pPr>
        <w:pStyle w:val="Heading2"/>
        <w:sectPr w:rsidR="004D5B39" w:rsidSect="00FF16A0">
          <w:type w:val="continuous"/>
          <w:pgSz w:w="16838" w:h="11906" w:orient="landscape" w:code="9"/>
          <w:pgMar w:top="1418" w:right="1134" w:bottom="851" w:left="1134" w:header="709" w:footer="709" w:gutter="0"/>
          <w:cols w:space="708"/>
          <w:titlePg/>
          <w:docGrid w:linePitch="360"/>
        </w:sectPr>
      </w:pPr>
      <w:bookmarkStart w:id="793" w:name="_Toc464224824"/>
      <w:bookmarkStart w:id="794" w:name="_Toc464225474"/>
      <w:bookmarkStart w:id="795" w:name="_Toc464459021"/>
      <w:bookmarkStart w:id="796" w:name="_Toc464459769"/>
      <w:bookmarkStart w:id="797" w:name="_Toc464460722"/>
      <w:bookmarkStart w:id="798" w:name="_Toc464463121"/>
      <w:bookmarkStart w:id="799" w:name="_Toc464464950"/>
      <w:bookmarkStart w:id="800" w:name="_Toc464465457"/>
      <w:bookmarkStart w:id="801" w:name="_Toc464465645"/>
      <w:bookmarkStart w:id="802" w:name="_Toc464466469"/>
      <w:bookmarkStart w:id="803" w:name="_Toc464466712"/>
      <w:bookmarkStart w:id="804" w:name="_Toc464645033"/>
      <w:bookmarkStart w:id="805" w:name="_Toc465205587"/>
    </w:p>
    <w:p w:rsidR="00E26381" w:rsidRPr="00B46E28" w:rsidRDefault="002B149E" w:rsidP="00DE2BDB">
      <w:pPr>
        <w:pStyle w:val="Heading2"/>
        <w:numPr>
          <w:ilvl w:val="0"/>
          <w:numId w:val="0"/>
        </w:numPr>
      </w:pPr>
      <w:bookmarkStart w:id="806" w:name="_Toc23337502"/>
      <w:r w:rsidRPr="00BC7843">
        <w:t xml:space="preserve">Приложение № 2: </w:t>
      </w:r>
      <w:r w:rsidR="00DD4BBB">
        <w:br/>
      </w:r>
      <w:r w:rsidRPr="00B46E28">
        <w:t xml:space="preserve">Основни допускания по актуализираната средносрочна </w:t>
      </w:r>
      <w:r w:rsidR="00931F81">
        <w:t>бюджетна прогноза за периода 2020</w:t>
      </w:r>
      <w:r w:rsidRPr="00B46E28">
        <w:t>-20</w:t>
      </w:r>
      <w:r w:rsidR="00931F81">
        <w:t>22</w:t>
      </w:r>
      <w:r w:rsidR="00AA3035" w:rsidRPr="00B46E28">
        <w:t> г.</w:t>
      </w:r>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p>
    <w:p w:rsidR="00086A06" w:rsidRDefault="00086A06" w:rsidP="00086A06">
      <w:pPr>
        <w:rPr>
          <w:rFonts w:eastAsia="Times New Roman" w:cs="Times New Roman"/>
          <w:sz w:val="20"/>
          <w:szCs w:val="20"/>
        </w:rPr>
      </w:pPr>
    </w:p>
    <w:tbl>
      <w:tblPr>
        <w:tblW w:w="5005" w:type="pct"/>
        <w:jc w:val="center"/>
        <w:tblBorders>
          <w:top w:val="single" w:sz="2" w:space="0" w:color="auto"/>
          <w:bottom w:val="single" w:sz="2" w:space="0" w:color="auto"/>
        </w:tblBorders>
        <w:tblCellMar>
          <w:left w:w="57" w:type="dxa"/>
          <w:right w:w="57" w:type="dxa"/>
        </w:tblCellMar>
        <w:tblLook w:val="04A0" w:firstRow="1" w:lastRow="0" w:firstColumn="1" w:lastColumn="0" w:noHBand="0" w:noVBand="1"/>
      </w:tblPr>
      <w:tblGrid>
        <w:gridCol w:w="540"/>
        <w:gridCol w:w="66"/>
        <w:gridCol w:w="5181"/>
        <w:gridCol w:w="1496"/>
        <w:gridCol w:w="2433"/>
        <w:gridCol w:w="2436"/>
        <w:gridCol w:w="2433"/>
      </w:tblGrid>
      <w:tr w:rsidR="004B0448" w:rsidRPr="00560E70" w:rsidTr="0082145B">
        <w:trPr>
          <w:trHeight w:val="20"/>
          <w:tblHeader/>
          <w:jc w:val="center"/>
        </w:trPr>
        <w:tc>
          <w:tcPr>
            <w:tcW w:w="208" w:type="pct"/>
            <w:gridSpan w:val="2"/>
            <w:tcBorders>
              <w:top w:val="single" w:sz="2" w:space="0" w:color="auto"/>
              <w:bottom w:val="single" w:sz="2" w:space="0" w:color="auto"/>
            </w:tcBorders>
            <w:shd w:val="clear" w:color="auto" w:fill="F8CEC7" w:themeFill="accent3" w:themeFillTint="33"/>
            <w:vAlign w:val="center"/>
          </w:tcPr>
          <w:p w:rsidR="004B0448" w:rsidRPr="00560E70" w:rsidRDefault="004B0448" w:rsidP="0082145B">
            <w:pPr>
              <w:spacing w:beforeLines="40" w:before="96" w:afterLines="20" w:after="48"/>
              <w:jc w:val="center"/>
              <w:rPr>
                <w:rFonts w:eastAsia="Times New Roman" w:cs="Times New Roman"/>
                <w:b/>
                <w:bCs/>
                <w:sz w:val="20"/>
                <w:szCs w:val="20"/>
              </w:rPr>
            </w:pPr>
          </w:p>
        </w:tc>
        <w:tc>
          <w:tcPr>
            <w:tcW w:w="1776" w:type="pct"/>
            <w:tcBorders>
              <w:top w:val="single" w:sz="2" w:space="0" w:color="auto"/>
              <w:bottom w:val="single" w:sz="2" w:space="0" w:color="auto"/>
            </w:tcBorders>
            <w:shd w:val="clear" w:color="auto" w:fill="F8CEC7" w:themeFill="accent3" w:themeFillTint="33"/>
            <w:vAlign w:val="center"/>
          </w:tcPr>
          <w:p w:rsidR="004B0448" w:rsidRPr="00560E70" w:rsidRDefault="004B0448" w:rsidP="0082145B">
            <w:pPr>
              <w:spacing w:beforeLines="40" w:before="96" w:afterLines="20" w:after="48"/>
              <w:jc w:val="center"/>
              <w:rPr>
                <w:rFonts w:eastAsia="Times New Roman" w:cs="Times New Roman"/>
                <w:b/>
                <w:bCs/>
                <w:sz w:val="20"/>
                <w:szCs w:val="20"/>
              </w:rPr>
            </w:pPr>
            <w:r w:rsidRPr="00560E70">
              <w:rPr>
                <w:rFonts w:eastAsia="Times New Roman" w:cs="Times New Roman"/>
                <w:b/>
                <w:bCs/>
                <w:sz w:val="20"/>
                <w:szCs w:val="20"/>
              </w:rPr>
              <w:t>ОСНОВНИ ДОПУСКАНИЯ</w:t>
            </w:r>
          </w:p>
        </w:tc>
        <w:tc>
          <w:tcPr>
            <w:tcW w:w="513" w:type="pct"/>
            <w:tcBorders>
              <w:top w:val="single" w:sz="2" w:space="0" w:color="auto"/>
              <w:bottom w:val="single" w:sz="2" w:space="0" w:color="auto"/>
            </w:tcBorders>
            <w:shd w:val="clear" w:color="auto" w:fill="F8CEC7" w:themeFill="accent3" w:themeFillTint="33"/>
            <w:vAlign w:val="center"/>
          </w:tcPr>
          <w:p w:rsidR="004B0448" w:rsidRPr="00560E70" w:rsidRDefault="004B0448" w:rsidP="0082145B">
            <w:pPr>
              <w:pStyle w:val="texttable"/>
              <w:spacing w:beforeLines="40" w:before="96" w:afterLines="20" w:after="48"/>
              <w:jc w:val="center"/>
              <w:rPr>
                <w:rFonts w:cs="Times New Roman"/>
                <w:b/>
                <w:bCs w:val="0"/>
              </w:rPr>
            </w:pPr>
            <w:r w:rsidRPr="00560E70">
              <w:rPr>
                <w:rFonts w:cs="Times New Roman"/>
                <w:b/>
              </w:rPr>
              <w:t>Мерна единица</w:t>
            </w:r>
          </w:p>
        </w:tc>
        <w:tc>
          <w:tcPr>
            <w:tcW w:w="834" w:type="pct"/>
            <w:tcBorders>
              <w:top w:val="single" w:sz="2" w:space="0" w:color="auto"/>
              <w:bottom w:val="single" w:sz="2" w:space="0" w:color="auto"/>
            </w:tcBorders>
            <w:shd w:val="clear" w:color="auto" w:fill="F8CEC7" w:themeFill="accent3" w:themeFillTint="33"/>
            <w:vAlign w:val="center"/>
          </w:tcPr>
          <w:p w:rsidR="004B0448" w:rsidRPr="00560E70" w:rsidRDefault="004B0448" w:rsidP="0082145B">
            <w:pPr>
              <w:spacing w:beforeLines="40" w:before="96" w:afterLines="20" w:after="48"/>
              <w:jc w:val="center"/>
              <w:rPr>
                <w:rFonts w:eastAsia="Times New Roman" w:cs="Times New Roman"/>
                <w:b/>
                <w:bCs/>
                <w:sz w:val="20"/>
                <w:szCs w:val="20"/>
                <w:lang w:val="en-US"/>
              </w:rPr>
            </w:pPr>
            <w:r w:rsidRPr="00560E70">
              <w:rPr>
                <w:rFonts w:cs="Times New Roman"/>
                <w:b/>
                <w:sz w:val="20"/>
                <w:szCs w:val="20"/>
              </w:rPr>
              <w:t>20</w:t>
            </w:r>
            <w:r>
              <w:rPr>
                <w:rFonts w:cs="Times New Roman"/>
                <w:b/>
                <w:sz w:val="20"/>
                <w:szCs w:val="20"/>
              </w:rPr>
              <w:t>20</w:t>
            </w:r>
            <w:r w:rsidRPr="00560E70">
              <w:rPr>
                <w:rFonts w:cs="Times New Roman"/>
                <w:b/>
                <w:sz w:val="20"/>
                <w:szCs w:val="20"/>
              </w:rPr>
              <w:t xml:space="preserve"> г.</w:t>
            </w:r>
          </w:p>
        </w:tc>
        <w:tc>
          <w:tcPr>
            <w:tcW w:w="835" w:type="pct"/>
            <w:tcBorders>
              <w:top w:val="single" w:sz="2" w:space="0" w:color="auto"/>
              <w:bottom w:val="single" w:sz="2" w:space="0" w:color="auto"/>
            </w:tcBorders>
            <w:shd w:val="clear" w:color="auto" w:fill="F8CEC7" w:themeFill="accent3" w:themeFillTint="33"/>
            <w:vAlign w:val="center"/>
          </w:tcPr>
          <w:p w:rsidR="004B0448" w:rsidRPr="00560E70" w:rsidRDefault="004B0448" w:rsidP="0082145B">
            <w:pPr>
              <w:spacing w:beforeLines="40" w:before="96" w:afterLines="20" w:after="48"/>
              <w:jc w:val="center"/>
              <w:rPr>
                <w:rFonts w:eastAsia="Times New Roman" w:cs="Times New Roman"/>
                <w:b/>
                <w:bCs/>
                <w:sz w:val="20"/>
                <w:szCs w:val="20"/>
                <w:lang w:val="en-US"/>
              </w:rPr>
            </w:pPr>
            <w:r w:rsidRPr="00560E70">
              <w:rPr>
                <w:rFonts w:cs="Times New Roman"/>
                <w:b/>
                <w:sz w:val="20"/>
                <w:szCs w:val="20"/>
              </w:rPr>
              <w:t>202</w:t>
            </w:r>
            <w:r>
              <w:rPr>
                <w:rFonts w:cs="Times New Roman"/>
                <w:b/>
                <w:sz w:val="20"/>
                <w:szCs w:val="20"/>
              </w:rPr>
              <w:t>1</w:t>
            </w:r>
            <w:r w:rsidRPr="00560E70">
              <w:rPr>
                <w:rFonts w:cs="Times New Roman"/>
                <w:b/>
                <w:sz w:val="20"/>
                <w:szCs w:val="20"/>
              </w:rPr>
              <w:t xml:space="preserve"> г.</w:t>
            </w:r>
          </w:p>
        </w:tc>
        <w:tc>
          <w:tcPr>
            <w:tcW w:w="834" w:type="pct"/>
            <w:tcBorders>
              <w:top w:val="single" w:sz="2" w:space="0" w:color="auto"/>
              <w:bottom w:val="single" w:sz="2" w:space="0" w:color="auto"/>
            </w:tcBorders>
            <w:shd w:val="clear" w:color="auto" w:fill="F8CEC7" w:themeFill="accent3" w:themeFillTint="33"/>
            <w:vAlign w:val="center"/>
          </w:tcPr>
          <w:p w:rsidR="004B0448" w:rsidRPr="00560E70" w:rsidRDefault="004B0448" w:rsidP="0082145B">
            <w:pPr>
              <w:spacing w:beforeLines="40" w:before="96" w:afterLines="20" w:after="48"/>
              <w:jc w:val="center"/>
              <w:rPr>
                <w:rFonts w:eastAsia="Times New Roman" w:cs="Times New Roman"/>
                <w:b/>
                <w:bCs/>
                <w:sz w:val="20"/>
                <w:szCs w:val="20"/>
                <w:lang w:val="en-US"/>
              </w:rPr>
            </w:pPr>
            <w:r w:rsidRPr="00560E70">
              <w:rPr>
                <w:rFonts w:cs="Times New Roman"/>
                <w:b/>
                <w:sz w:val="20"/>
                <w:szCs w:val="20"/>
              </w:rPr>
              <w:t>20</w:t>
            </w:r>
            <w:r w:rsidRPr="00560E70">
              <w:rPr>
                <w:rFonts w:cs="Times New Roman"/>
                <w:b/>
                <w:sz w:val="20"/>
                <w:szCs w:val="20"/>
                <w:lang w:val="en-US"/>
              </w:rPr>
              <w:t>2</w:t>
            </w:r>
            <w:r>
              <w:rPr>
                <w:rFonts w:cs="Times New Roman"/>
                <w:b/>
                <w:sz w:val="20"/>
                <w:szCs w:val="20"/>
              </w:rPr>
              <w:t>2</w:t>
            </w:r>
            <w:r w:rsidRPr="00560E70">
              <w:rPr>
                <w:rFonts w:cs="Times New Roman"/>
                <w:b/>
                <w:sz w:val="20"/>
                <w:szCs w:val="20"/>
              </w:rPr>
              <w:t xml:space="preserve"> г.</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val="restart"/>
            <w:tcBorders>
              <w:top w:val="single" w:sz="2" w:space="0" w:color="auto"/>
              <w:bottom w:val="nil"/>
            </w:tcBorders>
            <w:shd w:val="clear" w:color="auto" w:fill="auto"/>
            <w:hideMark/>
          </w:tcPr>
          <w:p w:rsidR="004B0448" w:rsidRPr="00560E70" w:rsidRDefault="004B0448" w:rsidP="0082145B">
            <w:pPr>
              <w:spacing w:after="0"/>
              <w:rPr>
                <w:b/>
                <w:bCs/>
                <w:sz w:val="20"/>
                <w:szCs w:val="20"/>
              </w:rPr>
            </w:pPr>
            <w:r w:rsidRPr="00560E70">
              <w:rPr>
                <w:b/>
                <w:bCs/>
                <w:sz w:val="20"/>
                <w:szCs w:val="20"/>
              </w:rPr>
              <w:t>1.</w:t>
            </w:r>
          </w:p>
        </w:tc>
        <w:tc>
          <w:tcPr>
            <w:tcW w:w="1799" w:type="pct"/>
            <w:gridSpan w:val="2"/>
            <w:tcBorders>
              <w:top w:val="single" w:sz="2" w:space="0" w:color="auto"/>
              <w:bottom w:val="nil"/>
            </w:tcBorders>
            <w:shd w:val="clear" w:color="auto" w:fill="auto"/>
            <w:hideMark/>
          </w:tcPr>
          <w:p w:rsidR="004B0448" w:rsidRPr="00560E70" w:rsidRDefault="004B0448" w:rsidP="0082145B">
            <w:pPr>
              <w:spacing w:after="0"/>
              <w:rPr>
                <w:sz w:val="20"/>
                <w:szCs w:val="20"/>
              </w:rPr>
            </w:pPr>
            <w:r w:rsidRPr="00560E70">
              <w:rPr>
                <w:sz w:val="20"/>
                <w:szCs w:val="20"/>
              </w:rPr>
              <w:t>Размер на данъчната ставка за облагане с ДДС</w:t>
            </w:r>
          </w:p>
        </w:tc>
        <w:tc>
          <w:tcPr>
            <w:tcW w:w="513" w:type="pct"/>
            <w:vMerge w:val="restart"/>
            <w:tcBorders>
              <w:top w:val="single" w:sz="2" w:space="0" w:color="auto"/>
              <w:bottom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2"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20</w:t>
            </w:r>
          </w:p>
        </w:tc>
        <w:tc>
          <w:tcPr>
            <w:tcW w:w="835" w:type="pct"/>
            <w:tcBorders>
              <w:top w:val="single" w:sz="2"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20</w:t>
            </w:r>
          </w:p>
        </w:tc>
        <w:tc>
          <w:tcPr>
            <w:tcW w:w="834" w:type="pct"/>
            <w:tcBorders>
              <w:top w:val="single" w:sz="2"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20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bottom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bottom w:val="nil"/>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в т.ч.:</w:t>
            </w:r>
          </w:p>
        </w:tc>
        <w:tc>
          <w:tcPr>
            <w:tcW w:w="513" w:type="pct"/>
            <w:vMerge/>
            <w:tcBorders>
              <w:bottom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c>
          <w:tcPr>
            <w:tcW w:w="835"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c>
          <w:tcPr>
            <w:tcW w:w="834"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55"/>
        </w:trPr>
        <w:tc>
          <w:tcPr>
            <w:tcW w:w="185" w:type="pct"/>
            <w:vMerge/>
            <w:tcBorders>
              <w:bottom w:val="single" w:sz="4" w:space="0" w:color="auto"/>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bottom w:val="single" w:sz="4" w:space="0" w:color="auto"/>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Данъчна ставка за настаняване, предоставяно в хотели и подобни заведения</w:t>
            </w:r>
          </w:p>
        </w:tc>
        <w:tc>
          <w:tcPr>
            <w:tcW w:w="513" w:type="pct"/>
            <w:vMerge/>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9</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9</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9</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55"/>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основната данъчна ставка на корпоративния данък</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single" w:sz="4" w:space="0" w:color="auto"/>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10</w:t>
            </w:r>
          </w:p>
        </w:tc>
        <w:tc>
          <w:tcPr>
            <w:tcW w:w="835" w:type="pct"/>
            <w:tcBorders>
              <w:top w:val="single" w:sz="4" w:space="0" w:color="auto"/>
              <w:bottom w:val="single" w:sz="4" w:space="0" w:color="auto"/>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10</w:t>
            </w:r>
          </w:p>
        </w:tc>
        <w:tc>
          <w:tcPr>
            <w:tcW w:w="834" w:type="pct"/>
            <w:tcBorders>
              <w:top w:val="single" w:sz="4" w:space="0" w:color="auto"/>
              <w:bottom w:val="single" w:sz="4" w:space="0" w:color="auto"/>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10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10"/>
        </w:trPr>
        <w:tc>
          <w:tcPr>
            <w:tcW w:w="185" w:type="pct"/>
            <w:vMerge w:val="restart"/>
            <w:tcBorders>
              <w:top w:val="single" w:sz="4" w:space="0" w:color="auto"/>
              <w:bottom w:val="nil"/>
            </w:tcBorders>
            <w:shd w:val="clear" w:color="auto" w:fill="auto"/>
            <w:hideMark/>
          </w:tcPr>
          <w:p w:rsidR="004B0448" w:rsidRPr="00560E70" w:rsidRDefault="004B0448" w:rsidP="0082145B">
            <w:pPr>
              <w:spacing w:after="0"/>
              <w:rPr>
                <w:b/>
                <w:bCs/>
                <w:sz w:val="20"/>
                <w:szCs w:val="20"/>
              </w:rPr>
            </w:pPr>
            <w:r w:rsidRPr="00560E70">
              <w:rPr>
                <w:b/>
                <w:bCs/>
                <w:sz w:val="20"/>
                <w:szCs w:val="20"/>
              </w:rPr>
              <w:t>3.</w:t>
            </w:r>
          </w:p>
        </w:tc>
        <w:tc>
          <w:tcPr>
            <w:tcW w:w="1799" w:type="pct"/>
            <w:gridSpan w:val="2"/>
            <w:tcBorders>
              <w:top w:val="single" w:sz="4" w:space="0" w:color="auto"/>
              <w:bottom w:val="nil"/>
            </w:tcBorders>
            <w:shd w:val="clear" w:color="auto" w:fill="auto"/>
            <w:hideMark/>
          </w:tcPr>
          <w:p w:rsidR="004B0448" w:rsidRPr="00560E70" w:rsidRDefault="004B0448" w:rsidP="0082145B">
            <w:pPr>
              <w:spacing w:after="0"/>
              <w:rPr>
                <w:sz w:val="20"/>
                <w:szCs w:val="20"/>
              </w:rPr>
            </w:pPr>
            <w:r w:rsidRPr="00560E70">
              <w:rPr>
                <w:sz w:val="20"/>
                <w:szCs w:val="20"/>
              </w:rPr>
              <w:t>Данък върху доходите на физическите лица, основна ставка</w:t>
            </w:r>
          </w:p>
        </w:tc>
        <w:tc>
          <w:tcPr>
            <w:tcW w:w="513" w:type="pct"/>
            <w:vMerge w:val="restart"/>
            <w:tcBorders>
              <w:top w:val="single" w:sz="4" w:space="0" w:color="auto"/>
              <w:bottom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10</w:t>
            </w:r>
          </w:p>
        </w:tc>
        <w:tc>
          <w:tcPr>
            <w:tcW w:w="835"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10</w:t>
            </w:r>
          </w:p>
        </w:tc>
        <w:tc>
          <w:tcPr>
            <w:tcW w:w="834"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10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bottom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bottom w:val="nil"/>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в т.ч.: </w:t>
            </w:r>
          </w:p>
        </w:tc>
        <w:tc>
          <w:tcPr>
            <w:tcW w:w="513" w:type="pct"/>
            <w:vMerge/>
            <w:tcBorders>
              <w:bottom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c>
          <w:tcPr>
            <w:tcW w:w="835"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c>
          <w:tcPr>
            <w:tcW w:w="834"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10"/>
        </w:trPr>
        <w:tc>
          <w:tcPr>
            <w:tcW w:w="185" w:type="pct"/>
            <w:vMerge/>
            <w:tcBorders>
              <w:bottom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bottom w:val="nil"/>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Данъчна ставка за данъка върху доходите от стопанска дейност на едноличните търговци</w:t>
            </w:r>
          </w:p>
        </w:tc>
        <w:tc>
          <w:tcPr>
            <w:tcW w:w="513" w:type="pct"/>
            <w:vMerge/>
            <w:tcBorders>
              <w:bottom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15</w:t>
            </w:r>
          </w:p>
        </w:tc>
        <w:tc>
          <w:tcPr>
            <w:tcW w:w="835"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15</w:t>
            </w:r>
          </w:p>
        </w:tc>
        <w:tc>
          <w:tcPr>
            <w:tcW w:w="834" w:type="pct"/>
            <w:tcBorders>
              <w:bottom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15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10"/>
        </w:trPr>
        <w:tc>
          <w:tcPr>
            <w:tcW w:w="185" w:type="pct"/>
            <w:vMerge/>
            <w:tcBorders>
              <w:bottom w:val="single" w:sz="4" w:space="0" w:color="auto"/>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bottom w:val="single" w:sz="4" w:space="0" w:color="auto"/>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Данък върху придобитите от местни физически лица доходи от лихви по банкови сметки</w:t>
            </w:r>
          </w:p>
        </w:tc>
        <w:tc>
          <w:tcPr>
            <w:tcW w:w="513" w:type="pct"/>
            <w:vMerge/>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8</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8</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8</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nil"/>
            </w:tcBorders>
            <w:shd w:val="clear" w:color="auto" w:fill="auto"/>
            <w:hideMark/>
          </w:tcPr>
          <w:p w:rsidR="004B0448" w:rsidRPr="00560E70" w:rsidRDefault="004B0448" w:rsidP="0082145B">
            <w:pPr>
              <w:spacing w:after="0"/>
              <w:rPr>
                <w:b/>
                <w:bCs/>
                <w:sz w:val="20"/>
                <w:szCs w:val="20"/>
              </w:rPr>
            </w:pPr>
            <w:r w:rsidRPr="00560E70">
              <w:rPr>
                <w:b/>
                <w:bCs/>
                <w:sz w:val="20"/>
                <w:szCs w:val="20"/>
              </w:rPr>
              <w:t>4.</w:t>
            </w:r>
          </w:p>
        </w:tc>
        <w:tc>
          <w:tcPr>
            <w:tcW w:w="1799" w:type="pct"/>
            <w:gridSpan w:val="2"/>
            <w:tcBorders>
              <w:top w:val="single" w:sz="4" w:space="0" w:color="auto"/>
              <w:bottom w:val="nil"/>
            </w:tcBorders>
            <w:shd w:val="clear" w:color="auto" w:fill="auto"/>
            <w:hideMark/>
          </w:tcPr>
          <w:p w:rsidR="004B0448" w:rsidRPr="00560E70" w:rsidRDefault="004B0448" w:rsidP="0082145B">
            <w:pPr>
              <w:spacing w:after="0"/>
              <w:rPr>
                <w:sz w:val="20"/>
                <w:szCs w:val="20"/>
              </w:rPr>
            </w:pPr>
            <w:r w:rsidRPr="00560E70">
              <w:rPr>
                <w:sz w:val="20"/>
                <w:szCs w:val="20"/>
              </w:rPr>
              <w:t>Данъци, удържани при източника</w:t>
            </w:r>
          </w:p>
        </w:tc>
        <w:tc>
          <w:tcPr>
            <w:tcW w:w="513" w:type="pct"/>
            <w:tcBorders>
              <w:top w:val="single" w:sz="4" w:space="0" w:color="auto"/>
              <w:bottom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nil"/>
              <w:bottom w:val="nil"/>
            </w:tcBorders>
            <w:shd w:val="clear" w:color="auto" w:fill="auto"/>
            <w:hideMark/>
          </w:tcPr>
          <w:p w:rsidR="004B0448" w:rsidRPr="00560E70" w:rsidRDefault="004B0448" w:rsidP="0082145B">
            <w:pPr>
              <w:spacing w:after="0"/>
              <w:rPr>
                <w:b/>
                <w:bCs/>
                <w:sz w:val="20"/>
                <w:szCs w:val="20"/>
              </w:rPr>
            </w:pPr>
            <w:r w:rsidRPr="00560E70">
              <w:rPr>
                <w:b/>
                <w:bCs/>
                <w:sz w:val="20"/>
                <w:szCs w:val="20"/>
              </w:rPr>
              <w:t> </w:t>
            </w:r>
          </w:p>
        </w:tc>
        <w:tc>
          <w:tcPr>
            <w:tcW w:w="1799" w:type="pct"/>
            <w:gridSpan w:val="2"/>
            <w:tcBorders>
              <w:top w:val="nil"/>
              <w:bottom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в т.ч.:</w:t>
            </w:r>
          </w:p>
        </w:tc>
        <w:tc>
          <w:tcPr>
            <w:tcW w:w="513" w:type="pct"/>
            <w:tcBorders>
              <w:top w:val="nil"/>
              <w:bottom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nil"/>
              <w:bottom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nil"/>
              <w:bottom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nil"/>
              <w:bottom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1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4.1.</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Данък, удържан при доходи от дивидентите и ликвидационните дялове</w:t>
            </w:r>
          </w:p>
        </w:tc>
        <w:tc>
          <w:tcPr>
            <w:tcW w:w="513" w:type="pct"/>
            <w:vMerge w:val="restar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5</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5</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rFonts w:eastAsia="Times New Roman" w:cs="Times New Roman"/>
                <w:sz w:val="20"/>
                <w:szCs w:val="20"/>
              </w:rPr>
            </w:pPr>
            <w:r w:rsidRPr="00560E70">
              <w:rPr>
                <w:b/>
                <w:bCs/>
                <w:sz w:val="20"/>
                <w:szCs w:val="20"/>
              </w:rPr>
              <w:t> </w:t>
            </w:r>
          </w:p>
        </w:tc>
        <w:tc>
          <w:tcPr>
            <w:tcW w:w="1799" w:type="pct"/>
            <w:gridSpan w:val="2"/>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в т.ч.: </w:t>
            </w:r>
          </w:p>
        </w:tc>
        <w:tc>
          <w:tcPr>
            <w:tcW w:w="513" w:type="pct"/>
            <w:vMerge/>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c>
          <w:tcPr>
            <w:tcW w:w="835"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c>
          <w:tcPr>
            <w:tcW w:w="834"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1875"/>
        </w:trPr>
        <w:tc>
          <w:tcPr>
            <w:tcW w:w="185" w:type="pct"/>
            <w:tcBorders>
              <w:bottom w:val="single" w:sz="2" w:space="0" w:color="auto"/>
            </w:tcBorders>
            <w:shd w:val="clear" w:color="auto" w:fill="auto"/>
            <w:hideMark/>
          </w:tcPr>
          <w:p w:rsidR="004B0448" w:rsidRPr="00560E70" w:rsidRDefault="004B0448" w:rsidP="0082145B">
            <w:pPr>
              <w:spacing w:after="0"/>
              <w:rPr>
                <w:rFonts w:eastAsia="Times New Roman" w:cs="Times New Roman"/>
                <w:sz w:val="20"/>
                <w:szCs w:val="20"/>
              </w:rPr>
            </w:pPr>
            <w:r w:rsidRPr="00560E70">
              <w:rPr>
                <w:b/>
                <w:bCs/>
                <w:sz w:val="20"/>
                <w:szCs w:val="20"/>
              </w:rPr>
              <w:t> </w:t>
            </w:r>
          </w:p>
        </w:tc>
        <w:tc>
          <w:tcPr>
            <w:tcW w:w="1799" w:type="pct"/>
            <w:gridSpan w:val="2"/>
            <w:tcBorders>
              <w:bottom w:val="single" w:sz="2"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 от дивидентите и ликвидационните дялове, разпределени в полза на чуждестранно юридическо лице, което е местно лице за данъчни цели на държава</w:t>
            </w:r>
            <w:r>
              <w:rPr>
                <w:sz w:val="20"/>
                <w:szCs w:val="20"/>
              </w:rPr>
              <w:t xml:space="preserve"> </w:t>
            </w:r>
            <w:r w:rsidRPr="00560E70">
              <w:rPr>
                <w:sz w:val="20"/>
                <w:szCs w:val="20"/>
              </w:rPr>
              <w:t>–</w:t>
            </w:r>
            <w:r>
              <w:rPr>
                <w:sz w:val="20"/>
                <w:szCs w:val="20"/>
              </w:rPr>
              <w:t xml:space="preserve"> </w:t>
            </w:r>
            <w:r w:rsidRPr="00560E70">
              <w:rPr>
                <w:sz w:val="20"/>
                <w:szCs w:val="20"/>
              </w:rPr>
              <w:t>членка на Европейс</w:t>
            </w:r>
            <w:r>
              <w:rPr>
                <w:sz w:val="20"/>
                <w:szCs w:val="20"/>
              </w:rPr>
              <w:t xml:space="preserve">кия съюз, или на друга държава </w:t>
            </w:r>
            <w:r w:rsidRPr="00560E70">
              <w:rPr>
                <w:sz w:val="20"/>
                <w:szCs w:val="20"/>
              </w:rPr>
              <w:t>– страна по Споразумението за Европейското икономическо пространство и другите лица по чл. 194, ал. 3 от ЗКПО</w:t>
            </w:r>
          </w:p>
          <w:p w:rsidR="004B0448" w:rsidRPr="00560E70" w:rsidRDefault="004B0448" w:rsidP="0082145B">
            <w:pPr>
              <w:spacing w:after="0"/>
              <w:rPr>
                <w:sz w:val="20"/>
                <w:szCs w:val="20"/>
              </w:rPr>
            </w:pPr>
          </w:p>
          <w:p w:rsidR="004B0448" w:rsidRPr="00560E70" w:rsidRDefault="004B0448" w:rsidP="0082145B">
            <w:pPr>
              <w:spacing w:after="0"/>
              <w:rPr>
                <w:sz w:val="20"/>
                <w:szCs w:val="20"/>
              </w:rPr>
            </w:pPr>
          </w:p>
          <w:p w:rsidR="004B0448" w:rsidRPr="00560E70" w:rsidRDefault="004B0448" w:rsidP="0082145B">
            <w:pPr>
              <w:spacing w:after="0"/>
              <w:rPr>
                <w:rFonts w:eastAsia="Times New Roman" w:cs="Times New Roman"/>
                <w:sz w:val="20"/>
                <w:szCs w:val="20"/>
              </w:rPr>
            </w:pPr>
          </w:p>
        </w:tc>
        <w:tc>
          <w:tcPr>
            <w:tcW w:w="513" w:type="pct"/>
            <w:vMerge/>
            <w:tcBorders>
              <w:bottom w:val="single" w:sz="2" w:space="0" w:color="auto"/>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bottom w:val="single" w:sz="2"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c>
          <w:tcPr>
            <w:tcW w:w="835" w:type="pct"/>
            <w:tcBorders>
              <w:bottom w:val="single" w:sz="2"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c>
          <w:tcPr>
            <w:tcW w:w="834" w:type="pct"/>
            <w:tcBorders>
              <w:bottom w:val="single" w:sz="2"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10"/>
        </w:trPr>
        <w:tc>
          <w:tcPr>
            <w:tcW w:w="185" w:type="pct"/>
            <w:tcBorders>
              <w:top w:val="single" w:sz="2" w:space="0" w:color="auto"/>
              <w:bottom w:val="nil"/>
            </w:tcBorders>
            <w:shd w:val="clear" w:color="auto" w:fill="auto"/>
            <w:hideMark/>
          </w:tcPr>
          <w:p w:rsidR="004B0448" w:rsidRPr="00560E70" w:rsidRDefault="004B0448" w:rsidP="0082145B">
            <w:pPr>
              <w:spacing w:after="0"/>
              <w:rPr>
                <w:b/>
                <w:bCs/>
                <w:sz w:val="20"/>
                <w:szCs w:val="20"/>
              </w:rPr>
            </w:pPr>
            <w:r w:rsidRPr="00560E70">
              <w:rPr>
                <w:b/>
                <w:bCs/>
                <w:sz w:val="20"/>
                <w:szCs w:val="20"/>
              </w:rPr>
              <w:t>4.2.</w:t>
            </w:r>
          </w:p>
        </w:tc>
        <w:tc>
          <w:tcPr>
            <w:tcW w:w="1799" w:type="pct"/>
            <w:gridSpan w:val="2"/>
            <w:tcBorders>
              <w:top w:val="single" w:sz="2" w:space="0" w:color="auto"/>
              <w:bottom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Данък върху доходите на чуждестранни юридически лица</w:t>
            </w:r>
          </w:p>
        </w:tc>
        <w:tc>
          <w:tcPr>
            <w:tcW w:w="513" w:type="pct"/>
            <w:vMerge w:val="restart"/>
            <w:tcBorders>
              <w:top w:val="single" w:sz="2" w:space="0" w:color="auto"/>
              <w:bottom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vMerge w:val="restart"/>
            <w:tcBorders>
              <w:top w:val="single" w:sz="2" w:space="0" w:color="auto"/>
              <w:bottom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w:t>
            </w:r>
          </w:p>
        </w:tc>
        <w:tc>
          <w:tcPr>
            <w:tcW w:w="835" w:type="pct"/>
            <w:vMerge w:val="restart"/>
            <w:tcBorders>
              <w:top w:val="single" w:sz="2" w:space="0" w:color="auto"/>
              <w:bottom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w:t>
            </w:r>
          </w:p>
        </w:tc>
        <w:tc>
          <w:tcPr>
            <w:tcW w:w="834" w:type="pct"/>
            <w:vMerge w:val="restart"/>
            <w:tcBorders>
              <w:top w:val="single" w:sz="2" w:space="0" w:color="auto"/>
              <w:bottom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rFonts w:eastAsia="Times New Roman" w:cs="Times New Roman"/>
                <w:sz w:val="20"/>
                <w:szCs w:val="20"/>
              </w:rPr>
            </w:pPr>
            <w:r w:rsidRPr="00560E70">
              <w:rPr>
                <w:b/>
                <w:bCs/>
                <w:sz w:val="20"/>
                <w:szCs w:val="20"/>
              </w:rPr>
              <w:t> </w:t>
            </w:r>
          </w:p>
        </w:tc>
        <w:tc>
          <w:tcPr>
            <w:tcW w:w="1799" w:type="pct"/>
            <w:gridSpan w:val="2"/>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в т.ч.:</w:t>
            </w:r>
          </w:p>
        </w:tc>
        <w:tc>
          <w:tcPr>
            <w:tcW w:w="513" w:type="pct"/>
            <w:vMerge/>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vMerge/>
            <w:vAlign w:val="center"/>
            <w:hideMark/>
          </w:tcPr>
          <w:p w:rsidR="004B0448" w:rsidRPr="00560E70" w:rsidRDefault="004B0448" w:rsidP="0082145B">
            <w:pPr>
              <w:spacing w:after="0"/>
              <w:rPr>
                <w:rFonts w:eastAsia="Times New Roman" w:cs="Times New Roman"/>
                <w:sz w:val="20"/>
                <w:szCs w:val="20"/>
              </w:rPr>
            </w:pPr>
          </w:p>
        </w:tc>
        <w:tc>
          <w:tcPr>
            <w:tcW w:w="835" w:type="pct"/>
            <w:vMerge/>
            <w:vAlign w:val="center"/>
            <w:hideMark/>
          </w:tcPr>
          <w:p w:rsidR="004B0448" w:rsidRPr="00560E70" w:rsidRDefault="004B0448" w:rsidP="0082145B">
            <w:pPr>
              <w:spacing w:after="0"/>
              <w:rPr>
                <w:rFonts w:eastAsia="Times New Roman" w:cs="Times New Roman"/>
                <w:sz w:val="20"/>
                <w:szCs w:val="20"/>
              </w:rPr>
            </w:pPr>
          </w:p>
        </w:tc>
        <w:tc>
          <w:tcPr>
            <w:tcW w:w="834" w:type="pct"/>
            <w:vMerge/>
            <w:vAlign w:val="center"/>
            <w:hideMark/>
          </w:tcPr>
          <w:p w:rsidR="004B0448" w:rsidRPr="00560E70" w:rsidRDefault="004B0448" w:rsidP="0082145B">
            <w:pPr>
              <w:spacing w:after="0"/>
              <w:rPr>
                <w:rFonts w:eastAsia="Times New Roman" w:cs="Times New Roman"/>
                <w:sz w:val="20"/>
                <w:szCs w:val="20"/>
              </w:rPr>
            </w:pP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1350"/>
        </w:trPr>
        <w:tc>
          <w:tcPr>
            <w:tcW w:w="185" w:type="pct"/>
            <w:tcBorders>
              <w:top w:val="nil"/>
              <w:bottom w:val="single" w:sz="4" w:space="0" w:color="auto"/>
            </w:tcBorders>
            <w:shd w:val="clear" w:color="auto" w:fill="auto"/>
            <w:hideMark/>
          </w:tcPr>
          <w:p w:rsidR="004B0448" w:rsidRPr="00560E70" w:rsidRDefault="004B0448" w:rsidP="0082145B">
            <w:pPr>
              <w:spacing w:after="0"/>
              <w:rPr>
                <w:rFonts w:eastAsia="Times New Roman" w:cs="Times New Roman"/>
                <w:sz w:val="20"/>
                <w:szCs w:val="20"/>
              </w:rPr>
            </w:pPr>
            <w:r w:rsidRPr="00560E70">
              <w:rPr>
                <w:b/>
                <w:bCs/>
                <w:sz w:val="20"/>
                <w:szCs w:val="20"/>
              </w:rPr>
              <w:t> </w:t>
            </w:r>
          </w:p>
        </w:tc>
        <w:tc>
          <w:tcPr>
            <w:tcW w:w="1799" w:type="pct"/>
            <w:gridSpan w:val="2"/>
            <w:tcBorders>
              <w:top w:val="nil"/>
              <w:bottom w:val="single" w:sz="4" w:space="0" w:color="auto"/>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Данъчна ставка за данъка върху доходите от лихви, авторски и лицензионни възнаграждения, когато са изпълнени допълнителните условия по чл. 195, ал. 7-12 от Закона за корпоративното подоходно облагане</w:t>
            </w:r>
          </w:p>
        </w:tc>
        <w:tc>
          <w:tcPr>
            <w:tcW w:w="513" w:type="pct"/>
            <w:vMerge/>
            <w:tcBorders>
              <w:top w:val="nil"/>
              <w:bottom w:val="single" w:sz="4" w:space="0" w:color="auto"/>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c>
          <w:tcPr>
            <w:tcW w:w="835" w:type="pct"/>
            <w:tcBorders>
              <w:top w:val="nil"/>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c>
          <w:tcPr>
            <w:tcW w:w="834" w:type="pct"/>
            <w:tcBorders>
              <w:top w:val="nil"/>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5.</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Данък върху разходите</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111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6.</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Данък върху хазартната дейност от игри, при които залогът за участие е чрез цената на телефонна или друга електронна съобщителна услуга (основна ставка)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nil"/>
            </w:tcBorders>
            <w:shd w:val="clear" w:color="auto" w:fill="auto"/>
            <w:hideMark/>
          </w:tcPr>
          <w:p w:rsidR="004B0448" w:rsidRPr="00560E70" w:rsidRDefault="004B0448" w:rsidP="0082145B">
            <w:pPr>
              <w:spacing w:after="0"/>
              <w:rPr>
                <w:b/>
                <w:bCs/>
                <w:sz w:val="20"/>
                <w:szCs w:val="20"/>
              </w:rPr>
            </w:pPr>
            <w:r w:rsidRPr="00560E70">
              <w:rPr>
                <w:b/>
                <w:bCs/>
                <w:sz w:val="20"/>
                <w:szCs w:val="20"/>
              </w:rPr>
              <w:t>7.</w:t>
            </w:r>
          </w:p>
        </w:tc>
        <w:tc>
          <w:tcPr>
            <w:tcW w:w="1799" w:type="pct"/>
            <w:gridSpan w:val="2"/>
            <w:tcBorders>
              <w:top w:val="single" w:sz="4" w:space="0" w:color="auto"/>
              <w:bottom w:val="nil"/>
            </w:tcBorders>
            <w:shd w:val="clear" w:color="auto" w:fill="auto"/>
            <w:hideMark/>
          </w:tcPr>
          <w:p w:rsidR="004B0448" w:rsidRPr="00560E70" w:rsidRDefault="004B0448" w:rsidP="0082145B">
            <w:pPr>
              <w:spacing w:after="0"/>
              <w:rPr>
                <w:sz w:val="20"/>
                <w:szCs w:val="20"/>
              </w:rPr>
            </w:pPr>
            <w:r w:rsidRPr="00560E70">
              <w:rPr>
                <w:sz w:val="20"/>
                <w:szCs w:val="20"/>
              </w:rPr>
              <w:t>Данък върху приходите на бюджетни предприятия</w:t>
            </w:r>
          </w:p>
        </w:tc>
        <w:tc>
          <w:tcPr>
            <w:tcW w:w="513" w:type="pct"/>
            <w:vMerge w:val="restart"/>
            <w:tcBorders>
              <w:top w:val="single" w:sz="4" w:space="0" w:color="auto"/>
              <w:bottom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3</w:t>
            </w:r>
          </w:p>
        </w:tc>
        <w:tc>
          <w:tcPr>
            <w:tcW w:w="835"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3</w:t>
            </w:r>
          </w:p>
        </w:tc>
        <w:tc>
          <w:tcPr>
            <w:tcW w:w="834"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3</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rFonts w:eastAsia="Times New Roman" w:cs="Times New Roman"/>
                <w:sz w:val="20"/>
                <w:szCs w:val="20"/>
              </w:rPr>
            </w:pPr>
            <w:r w:rsidRPr="00560E70">
              <w:rPr>
                <w:b/>
                <w:bCs/>
                <w:sz w:val="20"/>
                <w:szCs w:val="20"/>
              </w:rPr>
              <w:t> </w:t>
            </w:r>
          </w:p>
        </w:tc>
        <w:tc>
          <w:tcPr>
            <w:tcW w:w="1799" w:type="pct"/>
            <w:gridSpan w:val="2"/>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в т.ч.:</w:t>
            </w:r>
          </w:p>
        </w:tc>
        <w:tc>
          <w:tcPr>
            <w:tcW w:w="513" w:type="pct"/>
            <w:vMerge/>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c>
          <w:tcPr>
            <w:tcW w:w="835"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c>
          <w:tcPr>
            <w:tcW w:w="834"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4" w:space="0" w:color="auto"/>
            </w:tcBorders>
            <w:shd w:val="clear" w:color="auto" w:fill="auto"/>
            <w:hideMark/>
          </w:tcPr>
          <w:p w:rsidR="004B0448" w:rsidRPr="00560E70" w:rsidRDefault="004B0448" w:rsidP="0082145B">
            <w:pPr>
              <w:spacing w:after="0"/>
              <w:rPr>
                <w:rFonts w:eastAsia="Times New Roman" w:cs="Times New Roman"/>
                <w:sz w:val="20"/>
                <w:szCs w:val="20"/>
              </w:rPr>
            </w:pPr>
            <w:r w:rsidRPr="00560E70">
              <w:rPr>
                <w:b/>
                <w:bCs/>
                <w:sz w:val="20"/>
                <w:szCs w:val="20"/>
              </w:rPr>
              <w:t> </w:t>
            </w:r>
          </w:p>
        </w:tc>
        <w:tc>
          <w:tcPr>
            <w:tcW w:w="1799" w:type="pct"/>
            <w:gridSpan w:val="2"/>
            <w:tcBorders>
              <w:bottom w:val="single" w:sz="4" w:space="0" w:color="auto"/>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на общините</w:t>
            </w:r>
          </w:p>
        </w:tc>
        <w:tc>
          <w:tcPr>
            <w:tcW w:w="513" w:type="pct"/>
            <w:vMerge/>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2</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2</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2</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nil"/>
            </w:tcBorders>
            <w:shd w:val="clear" w:color="auto" w:fill="auto"/>
            <w:hideMark/>
          </w:tcPr>
          <w:p w:rsidR="004B0448" w:rsidRPr="00560E70" w:rsidRDefault="004B0448" w:rsidP="0082145B">
            <w:pPr>
              <w:spacing w:after="0"/>
              <w:rPr>
                <w:b/>
                <w:bCs/>
                <w:sz w:val="20"/>
                <w:szCs w:val="20"/>
              </w:rPr>
            </w:pPr>
            <w:r w:rsidRPr="00560E70">
              <w:rPr>
                <w:b/>
                <w:bCs/>
                <w:sz w:val="20"/>
                <w:szCs w:val="20"/>
              </w:rPr>
              <w:t>8.</w:t>
            </w:r>
          </w:p>
        </w:tc>
        <w:tc>
          <w:tcPr>
            <w:tcW w:w="1799" w:type="pct"/>
            <w:gridSpan w:val="2"/>
            <w:tcBorders>
              <w:top w:val="single" w:sz="4" w:space="0" w:color="auto"/>
              <w:bottom w:val="nil"/>
            </w:tcBorders>
            <w:shd w:val="clear" w:color="auto" w:fill="auto"/>
            <w:hideMark/>
          </w:tcPr>
          <w:p w:rsidR="004B0448" w:rsidRPr="00560E70" w:rsidRDefault="004B0448" w:rsidP="0082145B">
            <w:pPr>
              <w:spacing w:after="0"/>
              <w:rPr>
                <w:sz w:val="20"/>
                <w:szCs w:val="20"/>
              </w:rPr>
            </w:pPr>
            <w:r w:rsidRPr="00560E70">
              <w:rPr>
                <w:sz w:val="20"/>
                <w:szCs w:val="20"/>
              </w:rPr>
              <w:t>Акцизи</w:t>
            </w:r>
          </w:p>
        </w:tc>
        <w:tc>
          <w:tcPr>
            <w:tcW w:w="513" w:type="pct"/>
            <w:tcBorders>
              <w:top w:val="single" w:sz="4" w:space="0" w:color="auto"/>
              <w:bottom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single" w:sz="4" w:space="0" w:color="auto"/>
              <w:bottom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 </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в т.ч.:</w:t>
            </w:r>
          </w:p>
        </w:tc>
        <w:tc>
          <w:tcPr>
            <w:tcW w:w="513" w:type="pc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nil"/>
            </w:tcBorders>
            <w:shd w:val="clear" w:color="000000" w:fill="FFFFFF"/>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8.1.</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безоловен бензин</w:t>
            </w:r>
          </w:p>
        </w:tc>
        <w:tc>
          <w:tcPr>
            <w:tcW w:w="513" w:type="pc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лв./1000 л.</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710</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710</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710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40"/>
        </w:trPr>
        <w:tc>
          <w:tcPr>
            <w:tcW w:w="185" w:type="pc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8.2.</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газьол (в т.ч. използван и като гориво за отопление)</w:t>
            </w:r>
          </w:p>
        </w:tc>
        <w:tc>
          <w:tcPr>
            <w:tcW w:w="513" w:type="pc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лв./1000 л.</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646</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646</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646</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val="restar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8.3.</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втечнен нефтен газ (LPG)</w:t>
            </w:r>
          </w:p>
        </w:tc>
        <w:tc>
          <w:tcPr>
            <w:tcW w:w="513" w:type="pct"/>
            <w:vMerge w:val="restar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лв./1000 л.</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top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top w:val="nil"/>
            </w:tcBorders>
            <w:shd w:val="clear" w:color="auto" w:fill="auto"/>
            <w:noWrap/>
            <w:hideMark/>
          </w:tcPr>
          <w:p w:rsidR="004B0448" w:rsidRPr="00560E70" w:rsidRDefault="004B0448" w:rsidP="0082145B">
            <w:pPr>
              <w:spacing w:after="0"/>
              <w:rPr>
                <w:rFonts w:eastAsia="Times New Roman" w:cs="Times New Roman"/>
                <w:sz w:val="20"/>
                <w:szCs w:val="20"/>
              </w:rPr>
            </w:pPr>
            <w:r w:rsidRPr="00560E70">
              <w:rPr>
                <w:sz w:val="20"/>
                <w:szCs w:val="20"/>
              </w:rPr>
              <w:t xml:space="preserve">  - използван като моторно гориво</w:t>
            </w:r>
          </w:p>
        </w:tc>
        <w:tc>
          <w:tcPr>
            <w:tcW w:w="513" w:type="pct"/>
            <w:vMerge/>
            <w:tcBorders>
              <w:top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340</w:t>
            </w:r>
          </w:p>
        </w:tc>
        <w:tc>
          <w:tcPr>
            <w:tcW w:w="835"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340</w:t>
            </w: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340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top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top w:val="nil"/>
            </w:tcBorders>
            <w:shd w:val="clear" w:color="auto" w:fill="auto"/>
            <w:noWrap/>
            <w:hideMark/>
          </w:tcPr>
          <w:p w:rsidR="004B0448" w:rsidRPr="00560E70" w:rsidRDefault="004B0448" w:rsidP="0082145B">
            <w:pPr>
              <w:spacing w:after="0"/>
              <w:rPr>
                <w:rFonts w:eastAsia="Times New Roman" w:cs="Times New Roman"/>
                <w:sz w:val="20"/>
                <w:szCs w:val="20"/>
              </w:rPr>
            </w:pPr>
            <w:r w:rsidRPr="00560E70">
              <w:rPr>
                <w:sz w:val="20"/>
                <w:szCs w:val="20"/>
              </w:rPr>
              <w:t xml:space="preserve">  - използван като гориво за отопление</w:t>
            </w:r>
          </w:p>
        </w:tc>
        <w:tc>
          <w:tcPr>
            <w:tcW w:w="513" w:type="pct"/>
            <w:vMerge/>
            <w:tcBorders>
              <w:top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c>
          <w:tcPr>
            <w:tcW w:w="835"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8.4.</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Акциз на керосин</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лв./1000 л.</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646</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646</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646</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8.5.</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кокс и въглища</w:t>
            </w:r>
          </w:p>
        </w:tc>
        <w:tc>
          <w:tcPr>
            <w:tcW w:w="513" w:type="pc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лв./гигаджаул</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0,60</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0,60</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0,60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val="restar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8.6.</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електрическа енергия</w:t>
            </w:r>
          </w:p>
        </w:tc>
        <w:tc>
          <w:tcPr>
            <w:tcW w:w="513" w:type="pct"/>
            <w:vMerge w:val="restar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лв./MWh</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top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top w:val="nil"/>
            </w:tcBorders>
            <w:shd w:val="clear" w:color="auto" w:fill="auto"/>
            <w:noWrap/>
            <w:hideMark/>
          </w:tcPr>
          <w:p w:rsidR="004B0448" w:rsidRPr="00560E70" w:rsidRDefault="004B0448" w:rsidP="0082145B">
            <w:pPr>
              <w:spacing w:after="0"/>
              <w:rPr>
                <w:rFonts w:eastAsia="Times New Roman" w:cs="Times New Roman"/>
                <w:sz w:val="20"/>
                <w:szCs w:val="20"/>
              </w:rPr>
            </w:pPr>
            <w:r w:rsidRPr="00560E70">
              <w:rPr>
                <w:sz w:val="20"/>
                <w:szCs w:val="20"/>
              </w:rPr>
              <w:t xml:space="preserve">  - използвана за стопански нужди</w:t>
            </w:r>
          </w:p>
        </w:tc>
        <w:tc>
          <w:tcPr>
            <w:tcW w:w="513" w:type="pct"/>
            <w:vMerge/>
            <w:tcBorders>
              <w:top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2</w:t>
            </w:r>
          </w:p>
        </w:tc>
        <w:tc>
          <w:tcPr>
            <w:tcW w:w="835"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2</w:t>
            </w: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2</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top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top w:val="nil"/>
            </w:tcBorders>
            <w:shd w:val="clear" w:color="auto" w:fill="auto"/>
            <w:noWrap/>
            <w:hideMark/>
          </w:tcPr>
          <w:p w:rsidR="004B0448" w:rsidRPr="00560E70" w:rsidRDefault="004B0448" w:rsidP="0082145B">
            <w:pPr>
              <w:spacing w:after="0"/>
              <w:rPr>
                <w:rFonts w:eastAsia="Times New Roman" w:cs="Times New Roman"/>
                <w:sz w:val="20"/>
                <w:szCs w:val="20"/>
              </w:rPr>
            </w:pPr>
            <w:r w:rsidRPr="00560E70">
              <w:rPr>
                <w:sz w:val="20"/>
                <w:szCs w:val="20"/>
              </w:rPr>
              <w:t xml:space="preserve">  - използвана за битови нужди</w:t>
            </w:r>
          </w:p>
        </w:tc>
        <w:tc>
          <w:tcPr>
            <w:tcW w:w="513" w:type="pct"/>
            <w:vMerge/>
            <w:tcBorders>
              <w:top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c>
          <w:tcPr>
            <w:tcW w:w="835"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8.7.</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lang w:val="ru-RU"/>
              </w:rPr>
              <w:t xml:space="preserve"> </w:t>
            </w:r>
            <w:r w:rsidRPr="00560E70">
              <w:rPr>
                <w:sz w:val="20"/>
                <w:szCs w:val="20"/>
              </w:rPr>
              <w:t xml:space="preserve"> Акциз на цигари - общ (не по-малък от)</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лв./1000 къса</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177</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177</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177</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nil"/>
              <w:bottom w:val="single" w:sz="2"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8.8.</w:t>
            </w:r>
          </w:p>
        </w:tc>
        <w:tc>
          <w:tcPr>
            <w:tcW w:w="1799" w:type="pct"/>
            <w:gridSpan w:val="2"/>
            <w:tcBorders>
              <w:top w:val="nil"/>
              <w:bottom w:val="single" w:sz="2"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w:t>
            </w:r>
            <w:r w:rsidRPr="00560E70">
              <w:rPr>
                <w:sz w:val="20"/>
                <w:szCs w:val="20"/>
                <w:lang w:val="ru-RU"/>
              </w:rPr>
              <w:t xml:space="preserve"> </w:t>
            </w:r>
            <w:r w:rsidRPr="00560E70">
              <w:rPr>
                <w:sz w:val="20"/>
                <w:szCs w:val="20"/>
              </w:rPr>
              <w:t>Акциз на тютюн за пушене (за лула и цигари)</w:t>
            </w:r>
          </w:p>
        </w:tc>
        <w:tc>
          <w:tcPr>
            <w:tcW w:w="513" w:type="pct"/>
            <w:tcBorders>
              <w:top w:val="nil"/>
              <w:bottom w:val="single" w:sz="2"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лв./кг.</w:t>
            </w:r>
          </w:p>
        </w:tc>
        <w:tc>
          <w:tcPr>
            <w:tcW w:w="834" w:type="pct"/>
            <w:tcBorders>
              <w:top w:val="nil"/>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152</w:t>
            </w:r>
          </w:p>
        </w:tc>
        <w:tc>
          <w:tcPr>
            <w:tcW w:w="835" w:type="pct"/>
            <w:tcBorders>
              <w:top w:val="nil"/>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152</w:t>
            </w:r>
          </w:p>
        </w:tc>
        <w:tc>
          <w:tcPr>
            <w:tcW w:w="834" w:type="pct"/>
            <w:tcBorders>
              <w:top w:val="nil"/>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152</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2"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8.9.</w:t>
            </w:r>
          </w:p>
        </w:tc>
        <w:tc>
          <w:tcPr>
            <w:tcW w:w="1799" w:type="pct"/>
            <w:gridSpan w:val="2"/>
            <w:tcBorders>
              <w:top w:val="single" w:sz="2"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нагреваемо тютюнево изделие</w:t>
            </w:r>
          </w:p>
        </w:tc>
        <w:tc>
          <w:tcPr>
            <w:tcW w:w="513" w:type="pct"/>
            <w:tcBorders>
              <w:top w:val="single" w:sz="2"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лв./кг.</w:t>
            </w:r>
          </w:p>
        </w:tc>
        <w:tc>
          <w:tcPr>
            <w:tcW w:w="834" w:type="pct"/>
            <w:tcBorders>
              <w:top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233</w:t>
            </w:r>
          </w:p>
        </w:tc>
        <w:tc>
          <w:tcPr>
            <w:tcW w:w="835" w:type="pct"/>
            <w:tcBorders>
              <w:top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233</w:t>
            </w:r>
          </w:p>
        </w:tc>
        <w:tc>
          <w:tcPr>
            <w:tcW w:w="834" w:type="pct"/>
            <w:tcBorders>
              <w:top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233</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8.10.</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пури и пурети</w:t>
            </w:r>
          </w:p>
        </w:tc>
        <w:tc>
          <w:tcPr>
            <w:tcW w:w="513" w:type="pc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лв./1000 къса</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270</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270</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270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val="restar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8.11.</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спиртни напитки (етилов алкохол)</w:t>
            </w:r>
          </w:p>
        </w:tc>
        <w:tc>
          <w:tcPr>
            <w:tcW w:w="513" w:type="pct"/>
            <w:vMerge w:val="restar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лв./хектолитър</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1 100</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1 100</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1 100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top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top w:val="nil"/>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Акциз на етилов алкохол (ракия) - намалена ставка</w:t>
            </w:r>
          </w:p>
        </w:tc>
        <w:tc>
          <w:tcPr>
            <w:tcW w:w="513" w:type="pct"/>
            <w:vMerge/>
            <w:tcBorders>
              <w:top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550</w:t>
            </w:r>
          </w:p>
        </w:tc>
        <w:tc>
          <w:tcPr>
            <w:tcW w:w="835"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550</w:t>
            </w: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550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8.12.</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междинни продукти</w:t>
            </w:r>
          </w:p>
        </w:tc>
        <w:tc>
          <w:tcPr>
            <w:tcW w:w="513" w:type="pc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лв./хектолитър</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90</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90</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90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val="restar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8.13.</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Акциз на бира - основна ставка</w:t>
            </w:r>
          </w:p>
        </w:tc>
        <w:tc>
          <w:tcPr>
            <w:tcW w:w="513" w:type="pct"/>
            <w:vMerge w:val="restar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лв./хектолитър градус Плато</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510"/>
        </w:trPr>
        <w:tc>
          <w:tcPr>
            <w:tcW w:w="185" w:type="pct"/>
            <w:vMerge/>
            <w:tcBorders>
              <w:top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top w:val="nil"/>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намалена ставка за бира, произведена от независими малки пивоварни </w:t>
            </w:r>
          </w:p>
        </w:tc>
        <w:tc>
          <w:tcPr>
            <w:tcW w:w="513" w:type="pct"/>
            <w:vMerge/>
            <w:tcBorders>
              <w:top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0,75</w:t>
            </w:r>
          </w:p>
        </w:tc>
        <w:tc>
          <w:tcPr>
            <w:tcW w:w="835"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0,75</w:t>
            </w: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0,75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15"/>
        </w:trPr>
        <w:tc>
          <w:tcPr>
            <w:tcW w:w="185" w:type="pct"/>
            <w:vMerge w:val="restart"/>
            <w:tcBorders>
              <w:top w:val="nil"/>
            </w:tcBorders>
            <w:shd w:val="clear" w:color="auto" w:fill="auto"/>
            <w:hideMark/>
          </w:tcPr>
          <w:p w:rsidR="004B0448" w:rsidRPr="00560E70" w:rsidRDefault="004B0448" w:rsidP="0082145B">
            <w:pPr>
              <w:spacing w:after="0"/>
              <w:rPr>
                <w:b/>
                <w:bCs/>
                <w:sz w:val="20"/>
                <w:szCs w:val="20"/>
              </w:rPr>
            </w:pPr>
            <w:r w:rsidRPr="00560E70">
              <w:rPr>
                <w:b/>
                <w:bCs/>
                <w:sz w:val="20"/>
                <w:szCs w:val="20"/>
              </w:rPr>
              <w:t>8.14.</w:t>
            </w:r>
          </w:p>
        </w:tc>
        <w:tc>
          <w:tcPr>
            <w:tcW w:w="1799" w:type="pct"/>
            <w:gridSpan w:val="2"/>
            <w:tcBorders>
              <w:top w:val="nil"/>
            </w:tcBorders>
            <w:shd w:val="clear" w:color="auto" w:fill="auto"/>
            <w:hideMark/>
          </w:tcPr>
          <w:p w:rsidR="004B0448" w:rsidRPr="00560E70" w:rsidRDefault="004B0448" w:rsidP="0082145B">
            <w:pPr>
              <w:spacing w:after="0"/>
              <w:rPr>
                <w:sz w:val="20"/>
                <w:szCs w:val="20"/>
              </w:rPr>
            </w:pPr>
            <w:r w:rsidRPr="00560E70">
              <w:rPr>
                <w:sz w:val="20"/>
                <w:szCs w:val="20"/>
              </w:rPr>
              <w:t xml:space="preserve"> </w:t>
            </w:r>
            <w:r w:rsidRPr="00560E70">
              <w:rPr>
                <w:sz w:val="20"/>
                <w:szCs w:val="20"/>
                <w:lang w:val="en-US"/>
              </w:rPr>
              <w:t xml:space="preserve"> </w:t>
            </w:r>
            <w:r w:rsidRPr="00560E70">
              <w:rPr>
                <w:sz w:val="20"/>
                <w:szCs w:val="20"/>
              </w:rPr>
              <w:t>Акциз на природния газ:</w:t>
            </w:r>
          </w:p>
        </w:tc>
        <w:tc>
          <w:tcPr>
            <w:tcW w:w="513" w:type="pct"/>
            <w:vMerge w:val="restart"/>
            <w:tcBorders>
              <w:top w:val="nil"/>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лв./гигаджаул</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nil"/>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top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top w:val="nil"/>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използван като моторно гориво</w:t>
            </w:r>
            <w:r w:rsidRPr="00560E70">
              <w:rPr>
                <w:sz w:val="20"/>
                <w:szCs w:val="20"/>
                <w:vertAlign w:val="superscript"/>
              </w:rPr>
              <w:t>1</w:t>
            </w:r>
          </w:p>
        </w:tc>
        <w:tc>
          <w:tcPr>
            <w:tcW w:w="513" w:type="pct"/>
            <w:vMerge/>
            <w:tcBorders>
              <w:top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lang w:val="en-US"/>
              </w:rPr>
            </w:pPr>
            <w:r w:rsidRPr="00560E70">
              <w:rPr>
                <w:sz w:val="20"/>
                <w:szCs w:val="20"/>
              </w:rPr>
              <w:t>0,85</w:t>
            </w:r>
          </w:p>
        </w:tc>
        <w:tc>
          <w:tcPr>
            <w:tcW w:w="835"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0,85</w:t>
            </w: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0,85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top w:val="nil"/>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top w:val="nil"/>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използван като гориво за отопление</w:t>
            </w:r>
          </w:p>
        </w:tc>
        <w:tc>
          <w:tcPr>
            <w:tcW w:w="513" w:type="pct"/>
            <w:vMerge/>
            <w:tcBorders>
              <w:top w:val="nil"/>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0,60</w:t>
            </w:r>
          </w:p>
        </w:tc>
        <w:tc>
          <w:tcPr>
            <w:tcW w:w="835"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0,60</w:t>
            </w:r>
          </w:p>
        </w:tc>
        <w:tc>
          <w:tcPr>
            <w:tcW w:w="834" w:type="pct"/>
            <w:tcBorders>
              <w:top w:val="nil"/>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0,60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val="restart"/>
            <w:tcBorders>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8.15.</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Акциз на тежки горива:</w:t>
            </w:r>
          </w:p>
        </w:tc>
        <w:tc>
          <w:tcPr>
            <w:tcW w:w="513" w:type="pct"/>
            <w:vMerge w:val="restar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лв./1000 кг.</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bottom w:val="single" w:sz="4" w:space="0" w:color="auto"/>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използвани като моторно гориво</w:t>
            </w:r>
          </w:p>
        </w:tc>
        <w:tc>
          <w:tcPr>
            <w:tcW w:w="513" w:type="pct"/>
            <w:vMerge/>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646</w:t>
            </w:r>
          </w:p>
        </w:tc>
        <w:tc>
          <w:tcPr>
            <w:tcW w:w="835"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646</w:t>
            </w:r>
          </w:p>
        </w:tc>
        <w:tc>
          <w:tcPr>
            <w:tcW w:w="834" w:type="pct"/>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646</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vMerge/>
            <w:tcBorders>
              <w:bottom w:val="single" w:sz="4" w:space="0" w:color="auto"/>
            </w:tcBorders>
            <w:shd w:val="clear" w:color="auto" w:fill="auto"/>
            <w:vAlign w:val="center"/>
            <w:hideMark/>
          </w:tcPr>
          <w:p w:rsidR="004B0448" w:rsidRPr="00560E70" w:rsidRDefault="004B0448" w:rsidP="0082145B">
            <w:pPr>
              <w:spacing w:after="0"/>
              <w:rPr>
                <w:rFonts w:eastAsia="Times New Roman" w:cs="Times New Roman"/>
                <w:sz w:val="20"/>
                <w:szCs w:val="20"/>
              </w:rPr>
            </w:pPr>
          </w:p>
        </w:tc>
        <w:tc>
          <w:tcPr>
            <w:tcW w:w="1799" w:type="pct"/>
            <w:gridSpan w:val="2"/>
            <w:tcBorders>
              <w:bottom w:val="single" w:sz="4" w:space="0" w:color="auto"/>
            </w:tcBorders>
            <w:shd w:val="clear" w:color="auto" w:fill="auto"/>
            <w:hideMark/>
          </w:tcPr>
          <w:p w:rsidR="004B0448" w:rsidRPr="00560E70" w:rsidRDefault="004B0448" w:rsidP="0082145B">
            <w:pPr>
              <w:spacing w:after="0"/>
              <w:rPr>
                <w:rFonts w:eastAsia="Times New Roman" w:cs="Times New Roman"/>
                <w:sz w:val="20"/>
                <w:szCs w:val="20"/>
              </w:rPr>
            </w:pPr>
            <w:r w:rsidRPr="00560E70">
              <w:rPr>
                <w:sz w:val="20"/>
                <w:szCs w:val="20"/>
              </w:rPr>
              <w:t xml:space="preserve">  - използвани като гориво за отопление</w:t>
            </w:r>
          </w:p>
        </w:tc>
        <w:tc>
          <w:tcPr>
            <w:tcW w:w="513" w:type="pct"/>
            <w:vMerge/>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rFonts w:eastAsia="Times New Roman" w:cs="Times New Roman"/>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400</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400</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rFonts w:eastAsia="Times New Roman" w:cs="Times New Roman"/>
                <w:sz w:val="20"/>
                <w:szCs w:val="20"/>
              </w:rPr>
            </w:pPr>
            <w:r w:rsidRPr="00560E70">
              <w:rPr>
                <w:sz w:val="20"/>
                <w:szCs w:val="20"/>
              </w:rPr>
              <w:t>400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9.</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Данък върху застрахователните премии</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10.</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минималната работна заплата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w:t>
            </w:r>
            <w:r>
              <w:rPr>
                <w:sz w:val="20"/>
                <w:szCs w:val="20"/>
                <w:lang w:val="en-US"/>
              </w:rPr>
              <w:t>1</w:t>
            </w:r>
            <w:r w:rsidRPr="00560E70">
              <w:rPr>
                <w:sz w:val="20"/>
                <w:szCs w:val="20"/>
              </w:rPr>
              <w:t>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w:t>
            </w:r>
            <w:r>
              <w:rPr>
                <w:sz w:val="20"/>
                <w:szCs w:val="20"/>
                <w:lang w:val="en-US"/>
              </w:rPr>
              <w:t>5</w:t>
            </w:r>
            <w:r w:rsidRPr="00560E70">
              <w:rPr>
                <w:sz w:val="20"/>
                <w:szCs w:val="20"/>
              </w:rPr>
              <w:t>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11.</w:t>
            </w:r>
          </w:p>
        </w:tc>
        <w:tc>
          <w:tcPr>
            <w:tcW w:w="1799" w:type="pct"/>
            <w:gridSpan w:val="2"/>
            <w:tcBorders>
              <w:top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осигурителните вноски за държавното обществено осигуряване</w:t>
            </w:r>
          </w:p>
        </w:tc>
        <w:tc>
          <w:tcPr>
            <w:tcW w:w="513" w:type="pct"/>
            <w:tcBorders>
              <w:top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 </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в т.ч.:</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11.1.</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за фонд „Пенсии”</w:t>
            </w:r>
            <w:r w:rsidRPr="00560E70">
              <w:rPr>
                <w:sz w:val="20"/>
                <w:szCs w:val="20"/>
                <w:vertAlign w:val="superscript"/>
              </w:rPr>
              <w:t>2</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19,8 за родените преди 1 януари 1960 г.;</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19,8 за родените преди 1 януари 1960 г.;</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19,8 за родените преди 1 януари 1960 г.;</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vAlign w:val="center"/>
            <w:hideMark/>
          </w:tcPr>
          <w:p w:rsidR="004B0448" w:rsidRPr="00560E70" w:rsidRDefault="004B0448" w:rsidP="0082145B">
            <w:pPr>
              <w:spacing w:after="0"/>
              <w:rPr>
                <w:b/>
                <w:bCs/>
                <w:sz w:val="20"/>
                <w:szCs w:val="20"/>
              </w:rPr>
            </w:pPr>
          </w:p>
        </w:tc>
        <w:tc>
          <w:tcPr>
            <w:tcW w:w="1799" w:type="pct"/>
            <w:gridSpan w:val="2"/>
            <w:shd w:val="clear" w:color="auto" w:fill="auto"/>
            <w:vAlign w:val="center"/>
            <w:hideMark/>
          </w:tcPr>
          <w:p w:rsidR="004B0448" w:rsidRPr="00560E70" w:rsidRDefault="004B0448" w:rsidP="0082145B">
            <w:pPr>
              <w:spacing w:after="0"/>
              <w:rPr>
                <w:sz w:val="20"/>
                <w:szCs w:val="20"/>
              </w:rPr>
            </w:pP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14,8 за родените след 31 декември 1959 г.</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14,8 за родените след 31 декември 1959 г.</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14,8 за родените след 31 декември 1959 г.</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11.2.</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за фонд „Пенсии за лицата по чл. 69“</w:t>
            </w:r>
            <w:r w:rsidRPr="00560E70">
              <w:rPr>
                <w:sz w:val="20"/>
                <w:szCs w:val="20"/>
                <w:vertAlign w:val="superscript"/>
              </w:rPr>
              <w:t>2</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60,8 за родените преди 1 януари 1960 г.;</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60,8 за родените преди 1 януари 1960 г.;</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60,8 за родените преди 1 януари 1960 г.;</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vAlign w:val="center"/>
            <w:hideMark/>
          </w:tcPr>
          <w:p w:rsidR="004B0448" w:rsidRPr="00560E70" w:rsidRDefault="004B0448" w:rsidP="0082145B">
            <w:pPr>
              <w:spacing w:after="0"/>
              <w:rPr>
                <w:b/>
                <w:bCs/>
                <w:sz w:val="20"/>
                <w:szCs w:val="20"/>
              </w:rPr>
            </w:pPr>
          </w:p>
        </w:tc>
        <w:tc>
          <w:tcPr>
            <w:tcW w:w="1799" w:type="pct"/>
            <w:gridSpan w:val="2"/>
            <w:shd w:val="clear" w:color="auto" w:fill="auto"/>
            <w:vAlign w:val="center"/>
            <w:hideMark/>
          </w:tcPr>
          <w:p w:rsidR="004B0448" w:rsidRPr="00560E70" w:rsidRDefault="004B0448" w:rsidP="0082145B">
            <w:pPr>
              <w:spacing w:after="0"/>
              <w:rPr>
                <w:sz w:val="20"/>
                <w:szCs w:val="20"/>
              </w:rPr>
            </w:pP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55,8 за родените след 31 декември 1959 г.</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55,8 за родените след 31 декември 1959 г.</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55,8 за родените след 31 декември 1959 г.</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11.3.</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за фонд „Общо заболяване и майчинство”</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3,5</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3,5</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3,5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11.4.</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за фонд „Трудова злополука и професионална болест”</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0,7</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0,7</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0,7</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vAlign w:val="center"/>
            <w:hideMark/>
          </w:tcPr>
          <w:p w:rsidR="004B0448" w:rsidRPr="00560E70" w:rsidRDefault="004B0448" w:rsidP="0082145B">
            <w:pPr>
              <w:spacing w:after="0"/>
              <w:rPr>
                <w:b/>
                <w:bCs/>
                <w:sz w:val="20"/>
                <w:szCs w:val="20"/>
              </w:rPr>
            </w:pPr>
          </w:p>
        </w:tc>
        <w:tc>
          <w:tcPr>
            <w:tcW w:w="1799" w:type="pct"/>
            <w:gridSpan w:val="2"/>
            <w:shd w:val="clear" w:color="auto" w:fill="auto"/>
            <w:vAlign w:val="center"/>
            <w:hideMark/>
          </w:tcPr>
          <w:p w:rsidR="004B0448" w:rsidRPr="00560E70" w:rsidRDefault="004B0448" w:rsidP="0082145B">
            <w:pPr>
              <w:spacing w:after="0"/>
              <w:rPr>
                <w:sz w:val="20"/>
                <w:szCs w:val="20"/>
              </w:rPr>
            </w:pP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/от 0,4 до 1,1 на сто в зависимост от степента на риска/</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/от 0,4 до 1,1 на сто в зависимост от степента на риска/</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/от 0,4 до 1,1 на сто в зависимост от степента на риска/</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2"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11.5.</w:t>
            </w:r>
          </w:p>
        </w:tc>
        <w:tc>
          <w:tcPr>
            <w:tcW w:w="1799" w:type="pct"/>
            <w:gridSpan w:val="2"/>
            <w:tcBorders>
              <w:bottom w:val="single" w:sz="2" w:space="0" w:color="auto"/>
            </w:tcBorders>
            <w:shd w:val="clear" w:color="auto" w:fill="auto"/>
            <w:hideMark/>
          </w:tcPr>
          <w:p w:rsidR="004B0448" w:rsidRPr="00560E70" w:rsidRDefault="004B0448" w:rsidP="0082145B">
            <w:pPr>
              <w:spacing w:after="0"/>
              <w:rPr>
                <w:sz w:val="20"/>
                <w:szCs w:val="20"/>
              </w:rPr>
            </w:pPr>
            <w:r w:rsidRPr="00560E70">
              <w:rPr>
                <w:sz w:val="20"/>
                <w:szCs w:val="20"/>
              </w:rPr>
              <w:t>за фонд „Безработица”</w:t>
            </w:r>
          </w:p>
        </w:tc>
        <w:tc>
          <w:tcPr>
            <w:tcW w:w="513" w:type="pct"/>
            <w:tcBorders>
              <w:bottom w:val="single" w:sz="2"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w:t>
            </w:r>
          </w:p>
        </w:tc>
        <w:tc>
          <w:tcPr>
            <w:tcW w:w="835" w:type="pct"/>
            <w:tcBorders>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w:t>
            </w:r>
          </w:p>
        </w:tc>
        <w:tc>
          <w:tcPr>
            <w:tcW w:w="834" w:type="pct"/>
            <w:tcBorders>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2"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12.</w:t>
            </w:r>
          </w:p>
        </w:tc>
        <w:tc>
          <w:tcPr>
            <w:tcW w:w="1799" w:type="pct"/>
            <w:gridSpan w:val="2"/>
            <w:tcBorders>
              <w:top w:val="single" w:sz="2"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осигурителната вноска за здравно осигуряване</w:t>
            </w:r>
          </w:p>
        </w:tc>
        <w:tc>
          <w:tcPr>
            <w:tcW w:w="513" w:type="pct"/>
            <w:tcBorders>
              <w:top w:val="single" w:sz="2"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8</w:t>
            </w:r>
          </w:p>
        </w:tc>
        <w:tc>
          <w:tcPr>
            <w:tcW w:w="835"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8</w:t>
            </w:r>
          </w:p>
        </w:tc>
        <w:tc>
          <w:tcPr>
            <w:tcW w:w="834"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8</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13.</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осигурителните вноски за допълнително задължително пенсионно осигуряване – универсални пенсионни фондове</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5</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5</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14.</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осигурителната вноска за Учителския пенсионен фонд</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4,3</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4,3</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4,3</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15.</w:t>
            </w:r>
          </w:p>
        </w:tc>
        <w:tc>
          <w:tcPr>
            <w:tcW w:w="1799" w:type="pct"/>
            <w:gridSpan w:val="2"/>
            <w:tcBorders>
              <w:top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Размер на осигурителните вноски за допълнително задължително пенсионно осигуряване за работещите при условията на първа и втора категория труд - професионални пенсионни фондове </w:t>
            </w:r>
          </w:p>
        </w:tc>
        <w:tc>
          <w:tcPr>
            <w:tcW w:w="513" w:type="pct"/>
            <w:tcBorders>
              <w:top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12 на сто - за лицата, работещи при условията на I категория труд;</w:t>
            </w:r>
          </w:p>
        </w:tc>
        <w:tc>
          <w:tcPr>
            <w:tcW w:w="835"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12 на сто - за лицата, работещи при условията на I категория труд;</w:t>
            </w: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12 на сто - за лицата, работещи при условията на I категория труд;</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4" w:space="0" w:color="auto"/>
            </w:tcBorders>
            <w:shd w:val="clear" w:color="auto" w:fill="auto"/>
            <w:vAlign w:val="center"/>
            <w:hideMark/>
          </w:tcPr>
          <w:p w:rsidR="004B0448" w:rsidRPr="00560E70" w:rsidRDefault="004B0448" w:rsidP="0082145B">
            <w:pPr>
              <w:spacing w:after="0"/>
              <w:rPr>
                <w:b/>
                <w:bCs/>
                <w:sz w:val="20"/>
                <w:szCs w:val="20"/>
              </w:rPr>
            </w:pPr>
          </w:p>
        </w:tc>
        <w:tc>
          <w:tcPr>
            <w:tcW w:w="1799" w:type="pct"/>
            <w:gridSpan w:val="2"/>
            <w:tcBorders>
              <w:bottom w:val="single" w:sz="4" w:space="0" w:color="auto"/>
            </w:tcBorders>
            <w:shd w:val="clear" w:color="auto" w:fill="auto"/>
            <w:vAlign w:val="center"/>
            <w:hideMark/>
          </w:tcPr>
          <w:p w:rsidR="004B0448" w:rsidRPr="00560E70" w:rsidRDefault="004B0448" w:rsidP="0082145B">
            <w:pPr>
              <w:spacing w:after="0"/>
              <w:rPr>
                <w:sz w:val="20"/>
                <w:szCs w:val="20"/>
              </w:rPr>
            </w:pPr>
          </w:p>
        </w:tc>
        <w:tc>
          <w:tcPr>
            <w:tcW w:w="513" w:type="pct"/>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 на сто - за лицата, работещи при условията на II категория труд</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 на сто - за лицата, работещи при условията на II категория труд</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 на сто - за лицата, работещи при условията на II категория труд</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16.</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вноската за фонд „Гарантирани вземания на работниците и служителите“</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17.</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гарантирания минимален доход (ГМД)</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75</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75</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18.</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Максимален месечен размер на осигурителния доход през календарната година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3 000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3 000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3 000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19.</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Минимален месечен размер на осигурителния доход през календарната година за самоосигуряващите се лица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w:t>
            </w:r>
            <w:r>
              <w:rPr>
                <w:sz w:val="20"/>
                <w:szCs w:val="20"/>
                <w:lang w:val="en-US"/>
              </w:rPr>
              <w:t>1</w:t>
            </w:r>
            <w:r w:rsidRPr="00560E70">
              <w:rPr>
                <w:sz w:val="20"/>
                <w:szCs w:val="20"/>
              </w:rPr>
              <w:t>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w:t>
            </w:r>
            <w:r>
              <w:rPr>
                <w:sz w:val="20"/>
                <w:szCs w:val="20"/>
                <w:lang w:val="en-US"/>
              </w:rPr>
              <w:t>5</w:t>
            </w:r>
            <w:r w:rsidRPr="00560E70">
              <w:rPr>
                <w:sz w:val="20"/>
                <w:szCs w:val="20"/>
              </w:rPr>
              <w:t>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650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20.</w:t>
            </w:r>
          </w:p>
        </w:tc>
        <w:tc>
          <w:tcPr>
            <w:tcW w:w="1799" w:type="pct"/>
            <w:gridSpan w:val="2"/>
            <w:tcBorders>
              <w:top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Разпределение на осигурителните вноски между осигурители и осигурени лица</w:t>
            </w:r>
          </w:p>
        </w:tc>
        <w:tc>
          <w:tcPr>
            <w:tcW w:w="513" w:type="pct"/>
            <w:tcBorders>
              <w:top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 </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в т.ч.:</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20.1.</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Разпределение на осигурителните вноски между осигурители и осигурени лица за фонд „Общо заболяване и майчинство“ и фонд „Безработица“</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съотношение</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60:40</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60:40</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60:40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20.2.</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Размер на осигурителната вноска за фонд „Пенсии“ за осигурители и осигурени лица</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11,02:8,78 за лицата родени преди 1 януари 1960 г.</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11,02:8,78 за лицата родени преди 1 януари 1960 г.</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11,02:8,78 за лицата родени преди 1 януари 1960 г.</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vAlign w:val="center"/>
            <w:hideMark/>
          </w:tcPr>
          <w:p w:rsidR="004B0448" w:rsidRPr="00560E70" w:rsidRDefault="004B0448" w:rsidP="0082145B">
            <w:pPr>
              <w:spacing w:after="0"/>
              <w:rPr>
                <w:b/>
                <w:bCs/>
                <w:sz w:val="20"/>
                <w:szCs w:val="20"/>
              </w:rPr>
            </w:pPr>
          </w:p>
        </w:tc>
        <w:tc>
          <w:tcPr>
            <w:tcW w:w="1799" w:type="pct"/>
            <w:gridSpan w:val="2"/>
            <w:shd w:val="clear" w:color="auto" w:fill="auto"/>
            <w:vAlign w:val="center"/>
            <w:hideMark/>
          </w:tcPr>
          <w:p w:rsidR="004B0448" w:rsidRPr="00560E70" w:rsidRDefault="004B0448" w:rsidP="0082145B">
            <w:pPr>
              <w:spacing w:after="0"/>
              <w:rPr>
                <w:sz w:val="20"/>
                <w:szCs w:val="20"/>
              </w:rPr>
            </w:pP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8,22:6,58 за лицата, родени след 31 декември 1959 г.</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8,22:6,58 за лицата, родени след 31 декември 1959 г.</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8,22:6,58 за лицата, родени след 31 декември 1959 г.</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2" w:space="0" w:color="auto"/>
            </w:tcBorders>
            <w:shd w:val="clear" w:color="auto" w:fill="auto"/>
            <w:hideMark/>
          </w:tcPr>
          <w:p w:rsidR="004B0448" w:rsidRPr="00560E70" w:rsidRDefault="004B0448" w:rsidP="0082145B">
            <w:pPr>
              <w:spacing w:after="0"/>
              <w:rPr>
                <w:b/>
                <w:bCs/>
                <w:sz w:val="20"/>
                <w:szCs w:val="20"/>
              </w:rPr>
            </w:pPr>
          </w:p>
          <w:p w:rsidR="004B0448" w:rsidRPr="00560E70" w:rsidRDefault="004B0448" w:rsidP="0082145B">
            <w:pPr>
              <w:spacing w:after="0"/>
              <w:rPr>
                <w:b/>
                <w:bCs/>
                <w:sz w:val="20"/>
                <w:szCs w:val="20"/>
              </w:rPr>
            </w:pPr>
            <w:r w:rsidRPr="00560E70">
              <w:rPr>
                <w:b/>
                <w:bCs/>
                <w:sz w:val="20"/>
                <w:szCs w:val="20"/>
              </w:rPr>
              <w:t>20.3.</w:t>
            </w:r>
          </w:p>
        </w:tc>
        <w:tc>
          <w:tcPr>
            <w:tcW w:w="1799" w:type="pct"/>
            <w:gridSpan w:val="2"/>
            <w:tcBorders>
              <w:bottom w:val="single" w:sz="2" w:space="0" w:color="auto"/>
            </w:tcBorders>
            <w:shd w:val="clear" w:color="auto" w:fill="auto"/>
            <w:hideMark/>
          </w:tcPr>
          <w:p w:rsidR="004B0448" w:rsidRPr="00560E70" w:rsidRDefault="004B0448" w:rsidP="0082145B">
            <w:pPr>
              <w:spacing w:after="0"/>
              <w:rPr>
                <w:sz w:val="20"/>
                <w:szCs w:val="20"/>
              </w:rPr>
            </w:pPr>
          </w:p>
          <w:p w:rsidR="004B0448" w:rsidRPr="00560E70" w:rsidRDefault="004B0448" w:rsidP="0082145B">
            <w:pPr>
              <w:spacing w:after="0"/>
              <w:rPr>
                <w:sz w:val="20"/>
                <w:szCs w:val="20"/>
              </w:rPr>
            </w:pPr>
            <w:r w:rsidRPr="00560E70">
              <w:rPr>
                <w:sz w:val="20"/>
                <w:szCs w:val="20"/>
              </w:rPr>
              <w:t>Разпределение на здравноосигурителната вноска между осигурители и осигурени лица</w:t>
            </w:r>
          </w:p>
          <w:p w:rsidR="004B0448" w:rsidRPr="0033334E" w:rsidRDefault="004B0448" w:rsidP="0082145B">
            <w:pPr>
              <w:spacing w:after="0"/>
              <w:rPr>
                <w:sz w:val="20"/>
                <w:szCs w:val="20"/>
                <w:lang w:val="ru-RU"/>
              </w:rPr>
            </w:pPr>
          </w:p>
          <w:p w:rsidR="004B0448" w:rsidRPr="0033334E" w:rsidRDefault="004B0448" w:rsidP="0082145B">
            <w:pPr>
              <w:spacing w:after="0"/>
              <w:rPr>
                <w:sz w:val="20"/>
                <w:szCs w:val="20"/>
                <w:lang w:val="ru-RU"/>
              </w:rPr>
            </w:pPr>
          </w:p>
          <w:p w:rsidR="004B0448" w:rsidRPr="00560E70" w:rsidRDefault="004B0448" w:rsidP="0082145B">
            <w:pPr>
              <w:spacing w:after="0"/>
              <w:rPr>
                <w:sz w:val="20"/>
                <w:szCs w:val="20"/>
              </w:rPr>
            </w:pPr>
          </w:p>
        </w:tc>
        <w:tc>
          <w:tcPr>
            <w:tcW w:w="513" w:type="pct"/>
            <w:tcBorders>
              <w:bottom w:val="single" w:sz="2" w:space="0" w:color="auto"/>
            </w:tcBorders>
            <w:shd w:val="clear" w:color="auto" w:fill="F8CEC7" w:themeFill="accent3" w:themeFillTint="33"/>
            <w:vAlign w:val="center"/>
            <w:hideMark/>
          </w:tcPr>
          <w:p w:rsidR="004B0448" w:rsidRDefault="004B0448" w:rsidP="0082145B">
            <w:pPr>
              <w:spacing w:after="0"/>
              <w:jc w:val="center"/>
              <w:rPr>
                <w:color w:val="000000"/>
                <w:sz w:val="20"/>
                <w:szCs w:val="20"/>
                <w:lang w:val="en-US"/>
              </w:rPr>
            </w:pPr>
            <w:r>
              <w:rPr>
                <w:color w:val="000000"/>
                <w:sz w:val="20"/>
                <w:szCs w:val="20"/>
              </w:rPr>
              <w:t>с</w:t>
            </w:r>
            <w:r w:rsidRPr="00560E70">
              <w:rPr>
                <w:color w:val="000000"/>
                <w:sz w:val="20"/>
                <w:szCs w:val="20"/>
              </w:rPr>
              <w:t>ъотношение</w:t>
            </w:r>
          </w:p>
          <w:p w:rsidR="004B0448" w:rsidRPr="00A87842" w:rsidRDefault="004B0448" w:rsidP="0082145B">
            <w:pPr>
              <w:spacing w:after="0"/>
              <w:jc w:val="center"/>
              <w:rPr>
                <w:color w:val="000000"/>
                <w:sz w:val="20"/>
                <w:szCs w:val="20"/>
                <w:lang w:val="en-US"/>
              </w:rPr>
            </w:pPr>
          </w:p>
        </w:tc>
        <w:tc>
          <w:tcPr>
            <w:tcW w:w="834" w:type="pct"/>
            <w:tcBorders>
              <w:bottom w:val="single" w:sz="2" w:space="0" w:color="auto"/>
            </w:tcBorders>
            <w:shd w:val="clear" w:color="auto" w:fill="auto"/>
            <w:vAlign w:val="center"/>
            <w:hideMark/>
          </w:tcPr>
          <w:p w:rsidR="004B0448" w:rsidRDefault="004B0448" w:rsidP="0082145B">
            <w:pPr>
              <w:spacing w:after="0"/>
              <w:jc w:val="center"/>
              <w:rPr>
                <w:sz w:val="20"/>
                <w:szCs w:val="20"/>
              </w:rPr>
            </w:pPr>
            <w:r w:rsidRPr="00560E70">
              <w:rPr>
                <w:sz w:val="20"/>
                <w:szCs w:val="20"/>
              </w:rPr>
              <w:t>60:40</w:t>
            </w:r>
          </w:p>
          <w:p w:rsidR="004B0448" w:rsidRPr="00560E70" w:rsidRDefault="004B0448" w:rsidP="0082145B">
            <w:pPr>
              <w:spacing w:after="0"/>
              <w:jc w:val="center"/>
              <w:rPr>
                <w:sz w:val="20"/>
                <w:szCs w:val="20"/>
              </w:rPr>
            </w:pPr>
          </w:p>
        </w:tc>
        <w:tc>
          <w:tcPr>
            <w:tcW w:w="835" w:type="pct"/>
            <w:tcBorders>
              <w:bottom w:val="single" w:sz="2" w:space="0" w:color="auto"/>
            </w:tcBorders>
            <w:shd w:val="clear" w:color="auto" w:fill="auto"/>
            <w:vAlign w:val="center"/>
            <w:hideMark/>
          </w:tcPr>
          <w:p w:rsidR="004B0448" w:rsidRPr="0073690B" w:rsidRDefault="004B0448" w:rsidP="0082145B">
            <w:pPr>
              <w:spacing w:after="0"/>
              <w:jc w:val="center"/>
              <w:rPr>
                <w:sz w:val="20"/>
                <w:szCs w:val="20"/>
                <w:lang w:val="en-US"/>
              </w:rPr>
            </w:pPr>
            <w:r>
              <w:rPr>
                <w:sz w:val="20"/>
                <w:szCs w:val="20"/>
              </w:rPr>
              <w:t>60:40</w:t>
            </w:r>
          </w:p>
          <w:p w:rsidR="004B0448" w:rsidRPr="00560E70" w:rsidRDefault="004B0448" w:rsidP="0082145B">
            <w:pPr>
              <w:spacing w:after="0"/>
              <w:jc w:val="center"/>
              <w:rPr>
                <w:sz w:val="20"/>
                <w:szCs w:val="20"/>
              </w:rPr>
            </w:pPr>
          </w:p>
        </w:tc>
        <w:tc>
          <w:tcPr>
            <w:tcW w:w="834" w:type="pct"/>
            <w:tcBorders>
              <w:bottom w:val="single" w:sz="2" w:space="0" w:color="auto"/>
            </w:tcBorders>
            <w:shd w:val="clear" w:color="auto" w:fill="auto"/>
            <w:vAlign w:val="center"/>
            <w:hideMark/>
          </w:tcPr>
          <w:p w:rsidR="004B0448" w:rsidRDefault="004B0448" w:rsidP="0082145B">
            <w:pPr>
              <w:spacing w:after="0"/>
              <w:jc w:val="center"/>
              <w:rPr>
                <w:sz w:val="20"/>
                <w:szCs w:val="20"/>
              </w:rPr>
            </w:pPr>
            <w:r w:rsidRPr="00560E70">
              <w:rPr>
                <w:sz w:val="20"/>
                <w:szCs w:val="20"/>
              </w:rPr>
              <w:t>60:40</w:t>
            </w:r>
          </w:p>
          <w:p w:rsidR="004B0448" w:rsidRPr="00560E70" w:rsidRDefault="004B0448" w:rsidP="0082145B">
            <w:pPr>
              <w:spacing w:after="0"/>
              <w:jc w:val="center"/>
              <w:rPr>
                <w:sz w:val="20"/>
                <w:szCs w:val="20"/>
              </w:rPr>
            </w:pP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2"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21.</w:t>
            </w:r>
          </w:p>
        </w:tc>
        <w:tc>
          <w:tcPr>
            <w:tcW w:w="1799" w:type="pct"/>
            <w:gridSpan w:val="2"/>
            <w:tcBorders>
              <w:top w:val="single" w:sz="2"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Минимален размер на пенсията за осигурителен стаж и възраст</w:t>
            </w:r>
          </w:p>
        </w:tc>
        <w:tc>
          <w:tcPr>
            <w:tcW w:w="513" w:type="pct"/>
            <w:tcBorders>
              <w:top w:val="single" w:sz="2"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Увеличение с процента по чл. 100 от КСО, считано от 1 юли</w:t>
            </w:r>
          </w:p>
        </w:tc>
        <w:tc>
          <w:tcPr>
            <w:tcW w:w="835"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Увеличение с процента по чл. 100 от КСО, считано от 1 юли</w:t>
            </w:r>
          </w:p>
        </w:tc>
        <w:tc>
          <w:tcPr>
            <w:tcW w:w="834"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Увеличение с процента по чл. 100 от КСО, считано от 1 юли</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22.</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Максимален размер на получаваните една или повече пенсии</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Pr>
                <w:sz w:val="20"/>
                <w:szCs w:val="20"/>
              </w:rPr>
              <w:t>1</w:t>
            </w:r>
            <w:r>
              <w:rPr>
                <w:sz w:val="20"/>
                <w:szCs w:val="20"/>
                <w:lang w:val="en-US"/>
              </w:rPr>
              <w:t xml:space="preserve"> </w:t>
            </w:r>
            <w:r>
              <w:rPr>
                <w:sz w:val="20"/>
                <w:szCs w:val="20"/>
              </w:rPr>
              <w:t>200 лв.</w:t>
            </w:r>
            <w:r w:rsidRPr="00560E70">
              <w:rPr>
                <w:sz w:val="20"/>
                <w:szCs w:val="20"/>
              </w:rPr>
              <w:t xml:space="preserve"> за всички пенсии</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w:t>
            </w:r>
            <w:r w:rsidRPr="00904EEC">
              <w:rPr>
                <w:sz w:val="20"/>
                <w:szCs w:val="20"/>
                <w:lang w:val="ru-RU"/>
              </w:rPr>
              <w:t xml:space="preserve"> </w:t>
            </w:r>
            <w:r w:rsidRPr="00560E70">
              <w:rPr>
                <w:sz w:val="20"/>
                <w:szCs w:val="20"/>
              </w:rPr>
              <w:t>200 лв. за всички пенсии</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w:t>
            </w:r>
            <w:r w:rsidRPr="00904EEC">
              <w:rPr>
                <w:sz w:val="20"/>
                <w:szCs w:val="20"/>
                <w:lang w:val="ru-RU"/>
              </w:rPr>
              <w:t xml:space="preserve"> </w:t>
            </w:r>
            <w:r w:rsidRPr="00560E70">
              <w:rPr>
                <w:sz w:val="20"/>
                <w:szCs w:val="20"/>
              </w:rPr>
              <w:t>200 лв. за всички пенсии</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23.</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Пенсионна политика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Осъвременяване съгласно чл. 100 от КСО, считано от 1 юли</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xml:space="preserve">Осъвременяване съгласно чл. 100 от КСО, считано от 1 юли </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xml:space="preserve">Осъвременяване съгласно чл. 100 от КСО, считано от 1 юли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24.</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месечното парично обезщетение за отглеждане на дете до 2-годишна възраст</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380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380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380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25.</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средномесечния доход по чл. 4 от Закона за семейни помощи за деца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450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450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26.</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Размер на средномесечния доход по чл. 4а, ал. 2, т. 1 от Закона за семейни помощи за деца </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400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400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27.</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Размер на средномесечния доход по чл. 4а, ал. 2, т. 2 от Закона за семейни помощи за деца </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от 400,01 до 500 лв. включително</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от 400,01 до 500 лв. включително</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от 400,01 до 500 лв. включително</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28.</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еднократната помощ при бременност по чл. 5а, ал. 1 от Закона за семейни помощи за деца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29.</w:t>
            </w:r>
          </w:p>
        </w:tc>
        <w:tc>
          <w:tcPr>
            <w:tcW w:w="1799" w:type="pct"/>
            <w:gridSpan w:val="2"/>
            <w:tcBorders>
              <w:top w:val="single" w:sz="4" w:space="0" w:color="auto"/>
            </w:tcBorders>
            <w:shd w:val="clear" w:color="auto" w:fill="auto"/>
            <w:hideMark/>
          </w:tcPr>
          <w:p w:rsidR="004B0448" w:rsidRPr="00FC3B51" w:rsidRDefault="004B0448" w:rsidP="0082145B">
            <w:pPr>
              <w:spacing w:after="0"/>
              <w:rPr>
                <w:sz w:val="20"/>
                <w:szCs w:val="20"/>
                <w:lang w:val="ru-RU"/>
              </w:rPr>
            </w:pPr>
            <w:r w:rsidRPr="00560E70">
              <w:rPr>
                <w:sz w:val="20"/>
                <w:szCs w:val="20"/>
              </w:rPr>
              <w:t>Размер на еднократната помощ при раждане на живо дете по чл. 6, ал. 1 от Закона за семейни помощи за деца</w:t>
            </w:r>
          </w:p>
          <w:p w:rsidR="004B0448" w:rsidRPr="00560E70" w:rsidRDefault="004B0448" w:rsidP="0082145B">
            <w:pPr>
              <w:spacing w:after="0"/>
              <w:rPr>
                <w:sz w:val="20"/>
                <w:szCs w:val="20"/>
              </w:rPr>
            </w:pPr>
            <w:r w:rsidRPr="00560E70">
              <w:rPr>
                <w:sz w:val="20"/>
                <w:szCs w:val="20"/>
              </w:rPr>
              <w:t>в т.ч.:</w:t>
            </w:r>
          </w:p>
        </w:tc>
        <w:tc>
          <w:tcPr>
            <w:tcW w:w="513" w:type="pct"/>
            <w:tcBorders>
              <w:top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tcBorders>
            <w:shd w:val="clear" w:color="auto" w:fill="auto"/>
            <w:vAlign w:val="center"/>
            <w:hideMark/>
          </w:tcPr>
          <w:p w:rsidR="004B0448" w:rsidRPr="00560E70" w:rsidRDefault="004B0448" w:rsidP="0082145B">
            <w:pPr>
              <w:spacing w:after="0"/>
              <w:rPr>
                <w:sz w:val="20"/>
                <w:szCs w:val="20"/>
              </w:rPr>
            </w:pPr>
            <w:r w:rsidRPr="00560E70">
              <w:rPr>
                <w:sz w:val="20"/>
                <w:szCs w:val="20"/>
              </w:rPr>
              <w:t> </w:t>
            </w:r>
          </w:p>
        </w:tc>
        <w:tc>
          <w:tcPr>
            <w:tcW w:w="835" w:type="pct"/>
            <w:tcBorders>
              <w:top w:val="single" w:sz="4" w:space="0" w:color="auto"/>
            </w:tcBorders>
            <w:shd w:val="clear" w:color="auto" w:fill="auto"/>
            <w:vAlign w:val="center"/>
            <w:hideMark/>
          </w:tcPr>
          <w:p w:rsidR="004B0448" w:rsidRPr="00560E70" w:rsidRDefault="004B0448" w:rsidP="0082145B">
            <w:pPr>
              <w:spacing w:after="0"/>
              <w:rPr>
                <w:sz w:val="20"/>
                <w:szCs w:val="20"/>
              </w:rPr>
            </w:pPr>
            <w:r w:rsidRPr="00560E70">
              <w:rPr>
                <w:sz w:val="20"/>
                <w:szCs w:val="20"/>
              </w:rPr>
              <w:t> </w:t>
            </w:r>
          </w:p>
        </w:tc>
        <w:tc>
          <w:tcPr>
            <w:tcW w:w="834" w:type="pct"/>
            <w:tcBorders>
              <w:top w:val="single" w:sz="4" w:space="0" w:color="auto"/>
            </w:tcBorders>
            <w:shd w:val="clear" w:color="auto" w:fill="auto"/>
            <w:vAlign w:val="center"/>
            <w:hideMark/>
          </w:tcPr>
          <w:p w:rsidR="004B0448" w:rsidRPr="00560E70" w:rsidRDefault="004B0448" w:rsidP="0082145B">
            <w:pPr>
              <w:spacing w:after="0"/>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29.1.</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 за първо дете</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250</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250</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250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29.2.</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 за второ дете</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600</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600</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600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29.3.</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 за трето дете</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300</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300</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300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29.4.</w:t>
            </w:r>
          </w:p>
        </w:tc>
        <w:tc>
          <w:tcPr>
            <w:tcW w:w="1799" w:type="pct"/>
            <w:gridSpan w:val="2"/>
            <w:tcBorders>
              <w:bottom w:val="single" w:sz="4" w:space="0" w:color="auto"/>
            </w:tcBorders>
            <w:shd w:val="clear" w:color="auto" w:fill="auto"/>
            <w:hideMark/>
          </w:tcPr>
          <w:p w:rsidR="004B0448" w:rsidRPr="00560E70" w:rsidRDefault="004B0448" w:rsidP="0082145B">
            <w:pPr>
              <w:spacing w:after="0"/>
              <w:rPr>
                <w:sz w:val="20"/>
                <w:szCs w:val="20"/>
                <w:lang w:val="ru-RU"/>
              </w:rPr>
            </w:pPr>
            <w:r w:rsidRPr="00560E70">
              <w:rPr>
                <w:sz w:val="20"/>
                <w:szCs w:val="20"/>
              </w:rPr>
              <w:t xml:space="preserve"> - за четвърто и всяко следващо дете</w:t>
            </w:r>
          </w:p>
        </w:tc>
        <w:tc>
          <w:tcPr>
            <w:tcW w:w="513" w:type="pct"/>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lang w:val="en-US"/>
              </w:rPr>
            </w:pPr>
            <w:r w:rsidRPr="00560E70">
              <w:rPr>
                <w:sz w:val="20"/>
                <w:szCs w:val="20"/>
              </w:rPr>
              <w:t>200</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lang w:val="en-US"/>
              </w:rPr>
            </w:pPr>
            <w:r w:rsidRPr="00560E70">
              <w:rPr>
                <w:sz w:val="20"/>
                <w:szCs w:val="20"/>
              </w:rPr>
              <w:t>200</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lang w:val="en-US"/>
              </w:rPr>
            </w:pPr>
            <w:r w:rsidRPr="00560E70">
              <w:rPr>
                <w:sz w:val="20"/>
                <w:szCs w:val="20"/>
              </w:rPr>
              <w:t>200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2"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30.</w:t>
            </w:r>
          </w:p>
        </w:tc>
        <w:tc>
          <w:tcPr>
            <w:tcW w:w="1799" w:type="pct"/>
            <w:gridSpan w:val="2"/>
            <w:tcBorders>
              <w:top w:val="single" w:sz="4" w:space="0" w:color="auto"/>
              <w:bottom w:val="single" w:sz="2"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допълнителната еднократна помощ за дете с установени трайни увреждания 50 и над 50 на сто до навършване на двегодишна възраст по чл. 6, ал. 6 от Закона за семейни помощи за деца</w:t>
            </w:r>
          </w:p>
        </w:tc>
        <w:tc>
          <w:tcPr>
            <w:tcW w:w="513" w:type="pct"/>
            <w:tcBorders>
              <w:top w:val="single" w:sz="4" w:space="0" w:color="auto"/>
              <w:bottom w:val="single" w:sz="2"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100</w:t>
            </w:r>
          </w:p>
        </w:tc>
        <w:tc>
          <w:tcPr>
            <w:tcW w:w="835" w:type="pct"/>
            <w:tcBorders>
              <w:top w:val="single" w:sz="4" w:space="0" w:color="auto"/>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100</w:t>
            </w:r>
          </w:p>
        </w:tc>
        <w:tc>
          <w:tcPr>
            <w:tcW w:w="834" w:type="pct"/>
            <w:tcBorders>
              <w:top w:val="single" w:sz="4" w:space="0" w:color="auto"/>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2"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31.</w:t>
            </w:r>
          </w:p>
        </w:tc>
        <w:tc>
          <w:tcPr>
            <w:tcW w:w="1799" w:type="pct"/>
            <w:gridSpan w:val="2"/>
            <w:tcBorders>
              <w:top w:val="single" w:sz="2"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еднократната помощ при осиновяване на дете по чл. 6б, ал. 1 от Закона за семейни помощи за деца</w:t>
            </w:r>
          </w:p>
        </w:tc>
        <w:tc>
          <w:tcPr>
            <w:tcW w:w="513" w:type="pct"/>
            <w:tcBorders>
              <w:top w:val="single" w:sz="2"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250</w:t>
            </w:r>
          </w:p>
        </w:tc>
        <w:tc>
          <w:tcPr>
            <w:tcW w:w="835"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250</w:t>
            </w:r>
          </w:p>
        </w:tc>
        <w:tc>
          <w:tcPr>
            <w:tcW w:w="834" w:type="pct"/>
            <w:tcBorders>
              <w:top w:val="single" w:sz="2"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32.</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еднократната помощ за отглеждане на близнаци по чл. 6а, ал. 1 от Закона за семейни помощи за деца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1 200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1 200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1 200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33.</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еднократната помощ за отглеждане на дете от майка (осиновителка) студентка, учаща в редовна форма на обучение, по чл. 8в, ал. 1 от Закона за семейни помощи за деца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2 880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2 880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2 880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34.</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месечните помощи за отглеждане на дете до навършване на една година по чл. 8, ал. 1 от Закона за семейни помощи за деца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100</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100</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100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35.</w:t>
            </w:r>
          </w:p>
        </w:tc>
        <w:tc>
          <w:tcPr>
            <w:tcW w:w="1799" w:type="pct"/>
            <w:gridSpan w:val="2"/>
            <w:tcBorders>
              <w:top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месечните помощи за отглеждане на дете до завършване на средно образование, но не повече от 20-годишна възраст, по чл. 7, ал. 1 от Закона за семейни помощи за деца</w:t>
            </w:r>
          </w:p>
        </w:tc>
        <w:tc>
          <w:tcPr>
            <w:tcW w:w="513" w:type="pct"/>
            <w:tcBorders>
              <w:top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vAlign w:val="center"/>
            <w:hideMark/>
          </w:tcPr>
          <w:p w:rsidR="004B0448" w:rsidRPr="00560E70" w:rsidRDefault="004B0448" w:rsidP="0082145B">
            <w:pPr>
              <w:spacing w:after="0"/>
              <w:rPr>
                <w:b/>
                <w:bCs/>
                <w:sz w:val="20"/>
                <w:szCs w:val="20"/>
              </w:rPr>
            </w:pP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в т.ч.:</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35.1.</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 за семейство с едно дете </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40</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40</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40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35.2.</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 за семейство с две деца</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90</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90</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90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35.3.</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 за семейство с три деца </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135</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135</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135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35.4.</w:t>
            </w:r>
          </w:p>
        </w:tc>
        <w:tc>
          <w:tcPr>
            <w:tcW w:w="1799" w:type="pct"/>
            <w:gridSpan w:val="2"/>
            <w:tcBorders>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 за семейство с четири деца, като за всяко следващо дете в семейството помощта за семейството расте с 20 лв.</w:t>
            </w:r>
          </w:p>
        </w:tc>
        <w:tc>
          <w:tcPr>
            <w:tcW w:w="513" w:type="pct"/>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145</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145</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145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36.</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месечната помощ за отглеждане на близнаци по чл. 7, ал. 6 от Закона за семейни помощи за деца</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75</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75</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75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37.</w:t>
            </w:r>
          </w:p>
        </w:tc>
        <w:tc>
          <w:tcPr>
            <w:tcW w:w="1799" w:type="pct"/>
            <w:gridSpan w:val="2"/>
            <w:tcBorders>
              <w:top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месечната помощ за отглеждане на дете с трайно увреждане по чл. 8д, ал. 1 от Закона за семейни помощи за деца</w:t>
            </w:r>
          </w:p>
        </w:tc>
        <w:tc>
          <w:tcPr>
            <w:tcW w:w="513" w:type="pct"/>
            <w:tcBorders>
              <w:top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vAlign w:val="center"/>
            <w:hideMark/>
          </w:tcPr>
          <w:p w:rsidR="004B0448" w:rsidRPr="00560E70" w:rsidRDefault="004B0448" w:rsidP="0082145B">
            <w:pPr>
              <w:spacing w:after="0"/>
              <w:rPr>
                <w:b/>
                <w:bCs/>
                <w:sz w:val="20"/>
                <w:szCs w:val="20"/>
              </w:rPr>
            </w:pP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в т.ч.:</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hideMark/>
          </w:tcPr>
          <w:p w:rsidR="004B0448" w:rsidRPr="00560E70" w:rsidRDefault="004B0448" w:rsidP="0082145B">
            <w:pPr>
              <w:spacing w:after="0"/>
              <w:rPr>
                <w:b/>
                <w:bCs/>
                <w:sz w:val="20"/>
                <w:szCs w:val="20"/>
              </w:rPr>
            </w:pPr>
            <w:r w:rsidRPr="00560E70">
              <w:rPr>
                <w:b/>
                <w:bCs/>
                <w:sz w:val="20"/>
                <w:szCs w:val="20"/>
              </w:rPr>
              <w:t>37.1.</w:t>
            </w: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 за дете с определени 90 и над 90 на сто вид и степен на увреждане или степен на трайно намалена работоспособност </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930</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930</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930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37.2.</w:t>
            </w:r>
          </w:p>
        </w:tc>
        <w:tc>
          <w:tcPr>
            <w:tcW w:w="1799" w:type="pct"/>
            <w:gridSpan w:val="2"/>
            <w:tcBorders>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 за дете с определени от 70 до 90 на сто вид и степен на увреждане или степен на трайно намалена работоспособност</w:t>
            </w:r>
          </w:p>
        </w:tc>
        <w:tc>
          <w:tcPr>
            <w:tcW w:w="513" w:type="pct"/>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450</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450</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2"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37.3.</w:t>
            </w:r>
          </w:p>
        </w:tc>
        <w:tc>
          <w:tcPr>
            <w:tcW w:w="1799" w:type="pct"/>
            <w:gridSpan w:val="2"/>
            <w:tcBorders>
              <w:top w:val="single" w:sz="4" w:space="0" w:color="auto"/>
              <w:bottom w:val="single" w:sz="2"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 за дете с определени от 50 до 70 на сто вид и степен на увреждане или степен на трайно намалена работоспособност</w:t>
            </w:r>
          </w:p>
          <w:p w:rsidR="004B0448" w:rsidRPr="00560E70" w:rsidRDefault="004B0448" w:rsidP="0082145B">
            <w:pPr>
              <w:spacing w:after="0"/>
              <w:rPr>
                <w:sz w:val="20"/>
                <w:szCs w:val="20"/>
              </w:rPr>
            </w:pPr>
          </w:p>
        </w:tc>
        <w:tc>
          <w:tcPr>
            <w:tcW w:w="513" w:type="pct"/>
            <w:tcBorders>
              <w:top w:val="single" w:sz="4" w:space="0" w:color="auto"/>
              <w:bottom w:val="single" w:sz="2"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350</w:t>
            </w:r>
          </w:p>
        </w:tc>
        <w:tc>
          <w:tcPr>
            <w:tcW w:w="835" w:type="pct"/>
            <w:tcBorders>
              <w:top w:val="single" w:sz="4" w:space="0" w:color="auto"/>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350</w:t>
            </w:r>
          </w:p>
        </w:tc>
        <w:tc>
          <w:tcPr>
            <w:tcW w:w="834" w:type="pct"/>
            <w:tcBorders>
              <w:top w:val="single" w:sz="4" w:space="0" w:color="auto"/>
              <w:bottom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2"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38.</w:t>
            </w:r>
          </w:p>
        </w:tc>
        <w:tc>
          <w:tcPr>
            <w:tcW w:w="1799" w:type="pct"/>
            <w:gridSpan w:val="2"/>
            <w:tcBorders>
              <w:top w:val="single" w:sz="2" w:space="0" w:color="auto"/>
            </w:tcBorders>
            <w:shd w:val="clear" w:color="auto" w:fill="auto"/>
            <w:hideMark/>
          </w:tcPr>
          <w:p w:rsidR="004B0448" w:rsidRPr="00560E70" w:rsidRDefault="004B0448" w:rsidP="0082145B">
            <w:pPr>
              <w:spacing w:after="0"/>
              <w:rPr>
                <w:sz w:val="20"/>
                <w:szCs w:val="20"/>
              </w:rPr>
            </w:pPr>
            <w:r w:rsidRPr="00560E70">
              <w:rPr>
                <w:sz w:val="20"/>
                <w:szCs w:val="20"/>
              </w:rPr>
              <w:t>Размер на месечната помощ за отглеждане на дете с трайно увреждане по чл. 8д, ал. 2 от Закона за семейни помощи за деца</w:t>
            </w:r>
          </w:p>
        </w:tc>
        <w:tc>
          <w:tcPr>
            <w:tcW w:w="513" w:type="pct"/>
            <w:tcBorders>
              <w:top w:val="single" w:sz="2"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tcBorders>
              <w:top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tcBorders>
              <w:top w:val="single" w:sz="2"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shd w:val="clear" w:color="auto" w:fill="auto"/>
            <w:vAlign w:val="center"/>
            <w:hideMark/>
          </w:tcPr>
          <w:p w:rsidR="004B0448" w:rsidRPr="00560E70" w:rsidRDefault="004B0448" w:rsidP="0082145B">
            <w:pPr>
              <w:spacing w:after="0"/>
              <w:rPr>
                <w:b/>
                <w:bCs/>
                <w:sz w:val="20"/>
                <w:szCs w:val="20"/>
              </w:rPr>
            </w:pPr>
          </w:p>
        </w:tc>
        <w:tc>
          <w:tcPr>
            <w:tcW w:w="1799" w:type="pct"/>
            <w:gridSpan w:val="2"/>
            <w:shd w:val="clear" w:color="auto" w:fill="auto"/>
            <w:hideMark/>
          </w:tcPr>
          <w:p w:rsidR="004B0448" w:rsidRPr="00560E70" w:rsidRDefault="004B0448" w:rsidP="0082145B">
            <w:pPr>
              <w:spacing w:after="0"/>
              <w:rPr>
                <w:sz w:val="20"/>
                <w:szCs w:val="20"/>
              </w:rPr>
            </w:pPr>
            <w:r w:rsidRPr="00560E70">
              <w:rPr>
                <w:sz w:val="20"/>
                <w:szCs w:val="20"/>
              </w:rPr>
              <w:t xml:space="preserve">  в т.ч.:</w:t>
            </w:r>
          </w:p>
        </w:tc>
        <w:tc>
          <w:tcPr>
            <w:tcW w:w="513" w:type="pct"/>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5"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c>
          <w:tcPr>
            <w:tcW w:w="834" w:type="pct"/>
            <w:shd w:val="clear" w:color="auto" w:fill="auto"/>
            <w:vAlign w:val="center"/>
            <w:hideMark/>
          </w:tcPr>
          <w:p w:rsidR="004B0448" w:rsidRPr="00560E70" w:rsidRDefault="004B0448" w:rsidP="0082145B">
            <w:pPr>
              <w:spacing w:after="0"/>
              <w:jc w:val="center"/>
              <w:rPr>
                <w:sz w:val="20"/>
                <w:szCs w:val="20"/>
              </w:rPr>
            </w:pPr>
            <w:r w:rsidRPr="00560E70">
              <w:rPr>
                <w:sz w:val="20"/>
                <w:szCs w:val="20"/>
              </w:rPr>
              <w:t> </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38.1.</w:t>
            </w:r>
          </w:p>
        </w:tc>
        <w:tc>
          <w:tcPr>
            <w:tcW w:w="1799" w:type="pct"/>
            <w:gridSpan w:val="2"/>
            <w:tcBorders>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 за дете с определени 90 и над 90 на сто вид и степен на увреждане или степен на трайно намалена работоспособност </w:t>
            </w:r>
          </w:p>
        </w:tc>
        <w:tc>
          <w:tcPr>
            <w:tcW w:w="513" w:type="pct"/>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490</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490</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490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38.2.</w:t>
            </w:r>
          </w:p>
        </w:tc>
        <w:tc>
          <w:tcPr>
            <w:tcW w:w="1799" w:type="pct"/>
            <w:gridSpan w:val="2"/>
            <w:tcBorders>
              <w:top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 за дете с определени от 70 до 90 на сто вид и степен на увреждане или степен на трайно намалена работоспособност</w:t>
            </w:r>
          </w:p>
        </w:tc>
        <w:tc>
          <w:tcPr>
            <w:tcW w:w="513" w:type="pct"/>
            <w:tcBorders>
              <w:top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420</w:t>
            </w:r>
          </w:p>
        </w:tc>
        <w:tc>
          <w:tcPr>
            <w:tcW w:w="835"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420</w:t>
            </w:r>
          </w:p>
        </w:tc>
        <w:tc>
          <w:tcPr>
            <w:tcW w:w="834" w:type="pct"/>
            <w:tcBorders>
              <w:top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420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38.3.</w:t>
            </w:r>
          </w:p>
        </w:tc>
        <w:tc>
          <w:tcPr>
            <w:tcW w:w="1799" w:type="pct"/>
            <w:gridSpan w:val="2"/>
            <w:tcBorders>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 xml:space="preserve"> - за дете с определени от 50 до 70 на сто вид и степен на увреждане или степен на трайно намалена работоспособност</w:t>
            </w:r>
          </w:p>
        </w:tc>
        <w:tc>
          <w:tcPr>
            <w:tcW w:w="513" w:type="pct"/>
            <w:tcBorders>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350</w:t>
            </w:r>
          </w:p>
        </w:tc>
        <w:tc>
          <w:tcPr>
            <w:tcW w:w="835"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350</w:t>
            </w:r>
          </w:p>
        </w:tc>
        <w:tc>
          <w:tcPr>
            <w:tcW w:w="834" w:type="pct"/>
            <w:tcBorders>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350</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tcPr>
          <w:p w:rsidR="004B0448" w:rsidRPr="00560E70" w:rsidRDefault="004B0448" w:rsidP="0082145B">
            <w:pPr>
              <w:spacing w:after="0"/>
              <w:rPr>
                <w:b/>
                <w:bCs/>
                <w:sz w:val="20"/>
                <w:szCs w:val="20"/>
              </w:rPr>
            </w:pPr>
            <w:r w:rsidRPr="00560E70">
              <w:rPr>
                <w:b/>
                <w:bCs/>
                <w:sz w:val="20"/>
                <w:szCs w:val="20"/>
              </w:rPr>
              <w:t>39.</w:t>
            </w:r>
          </w:p>
        </w:tc>
        <w:tc>
          <w:tcPr>
            <w:tcW w:w="1799" w:type="pct"/>
            <w:gridSpan w:val="2"/>
            <w:tcBorders>
              <w:top w:val="single" w:sz="4" w:space="0" w:color="auto"/>
              <w:bottom w:val="single" w:sz="4" w:space="0" w:color="auto"/>
            </w:tcBorders>
            <w:shd w:val="clear" w:color="auto" w:fill="auto"/>
          </w:tcPr>
          <w:p w:rsidR="004B0448" w:rsidRPr="00560E70" w:rsidRDefault="004B0448" w:rsidP="0082145B">
            <w:pPr>
              <w:spacing w:after="0"/>
              <w:rPr>
                <w:sz w:val="20"/>
                <w:szCs w:val="20"/>
              </w:rPr>
            </w:pPr>
            <w:r w:rsidRPr="00560E70">
              <w:rPr>
                <w:sz w:val="20"/>
                <w:szCs w:val="20"/>
              </w:rPr>
              <w:t>Размер на месечната помощ за дете без право на наследствена пенсия от починал родител</w:t>
            </w:r>
          </w:p>
        </w:tc>
        <w:tc>
          <w:tcPr>
            <w:tcW w:w="513" w:type="pct"/>
            <w:tcBorders>
              <w:top w:val="single" w:sz="4" w:space="0" w:color="auto"/>
              <w:bottom w:val="single" w:sz="4" w:space="0" w:color="auto"/>
            </w:tcBorders>
            <w:shd w:val="clear" w:color="auto" w:fill="F8CEC7" w:themeFill="accent3" w:themeFillTint="33"/>
            <w:vAlign w:val="center"/>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tcPr>
          <w:p w:rsidR="004B0448" w:rsidRPr="00560E70" w:rsidRDefault="004B0448" w:rsidP="0082145B">
            <w:pPr>
              <w:spacing w:after="0"/>
              <w:jc w:val="center"/>
              <w:rPr>
                <w:sz w:val="20"/>
                <w:szCs w:val="20"/>
              </w:rPr>
            </w:pPr>
            <w:r w:rsidRPr="00560E70">
              <w:rPr>
                <w:sz w:val="20"/>
                <w:szCs w:val="20"/>
              </w:rPr>
              <w:t>115</w:t>
            </w:r>
          </w:p>
        </w:tc>
        <w:tc>
          <w:tcPr>
            <w:tcW w:w="835" w:type="pct"/>
            <w:tcBorders>
              <w:top w:val="single" w:sz="4" w:space="0" w:color="auto"/>
              <w:bottom w:val="single" w:sz="4" w:space="0" w:color="auto"/>
            </w:tcBorders>
            <w:shd w:val="clear" w:color="auto" w:fill="auto"/>
            <w:vAlign w:val="center"/>
          </w:tcPr>
          <w:p w:rsidR="004B0448" w:rsidRPr="00560E70" w:rsidRDefault="004B0448" w:rsidP="0082145B">
            <w:pPr>
              <w:spacing w:after="0"/>
              <w:jc w:val="center"/>
              <w:rPr>
                <w:sz w:val="20"/>
                <w:szCs w:val="20"/>
              </w:rPr>
            </w:pPr>
            <w:r w:rsidRPr="00560E70">
              <w:rPr>
                <w:sz w:val="20"/>
                <w:szCs w:val="20"/>
              </w:rPr>
              <w:t>115</w:t>
            </w:r>
          </w:p>
        </w:tc>
        <w:tc>
          <w:tcPr>
            <w:tcW w:w="834" w:type="pct"/>
            <w:tcBorders>
              <w:top w:val="single" w:sz="4" w:space="0" w:color="auto"/>
              <w:bottom w:val="single" w:sz="4" w:space="0" w:color="auto"/>
            </w:tcBorders>
            <w:shd w:val="clear" w:color="auto" w:fill="auto"/>
            <w:vAlign w:val="center"/>
          </w:tcPr>
          <w:p w:rsidR="004B0448" w:rsidRPr="00560E70" w:rsidRDefault="004B0448" w:rsidP="0082145B">
            <w:pPr>
              <w:spacing w:after="0"/>
              <w:jc w:val="center"/>
              <w:rPr>
                <w:sz w:val="20"/>
                <w:szCs w:val="20"/>
              </w:rPr>
            </w:pPr>
            <w:r w:rsidRPr="00560E70">
              <w:rPr>
                <w:sz w:val="20"/>
                <w:szCs w:val="20"/>
              </w:rPr>
              <w:t>115</w:t>
            </w:r>
          </w:p>
        </w:tc>
      </w:tr>
      <w:tr w:rsidR="004B0448" w:rsidRPr="00560E70" w:rsidTr="0082145B">
        <w:tblPrEx>
          <w:jc w:val="left"/>
          <w:tblBorders>
            <w:top w:val="none" w:sz="0" w:space="0" w:color="auto"/>
            <w:bottom w:val="none" w:sz="0" w:space="0" w:color="auto"/>
          </w:tblBorders>
          <w:tblCellMar>
            <w:left w:w="70" w:type="dxa"/>
            <w:right w:w="70" w:type="dxa"/>
          </w:tblCellMar>
        </w:tblPrEx>
        <w:trPr>
          <w:trHeight w:val="300"/>
        </w:trPr>
        <w:tc>
          <w:tcPr>
            <w:tcW w:w="185" w:type="pct"/>
            <w:tcBorders>
              <w:top w:val="single" w:sz="4" w:space="0" w:color="auto"/>
              <w:bottom w:val="single" w:sz="4" w:space="0" w:color="auto"/>
            </w:tcBorders>
            <w:shd w:val="clear" w:color="auto" w:fill="auto"/>
            <w:hideMark/>
          </w:tcPr>
          <w:p w:rsidR="004B0448" w:rsidRPr="00560E70" w:rsidRDefault="004B0448" w:rsidP="0082145B">
            <w:pPr>
              <w:spacing w:after="0"/>
              <w:rPr>
                <w:b/>
                <w:bCs/>
                <w:sz w:val="20"/>
                <w:szCs w:val="20"/>
              </w:rPr>
            </w:pPr>
            <w:r w:rsidRPr="00560E70">
              <w:rPr>
                <w:b/>
                <w:bCs/>
                <w:sz w:val="20"/>
                <w:szCs w:val="20"/>
              </w:rPr>
              <w:t>40.</w:t>
            </w:r>
          </w:p>
        </w:tc>
        <w:tc>
          <w:tcPr>
            <w:tcW w:w="1799" w:type="pct"/>
            <w:gridSpan w:val="2"/>
            <w:tcBorders>
              <w:top w:val="single" w:sz="4" w:space="0" w:color="auto"/>
              <w:bottom w:val="single" w:sz="4" w:space="0" w:color="auto"/>
            </w:tcBorders>
            <w:shd w:val="clear" w:color="auto" w:fill="auto"/>
            <w:hideMark/>
          </w:tcPr>
          <w:p w:rsidR="004B0448" w:rsidRPr="00560E70" w:rsidRDefault="004B0448" w:rsidP="0082145B">
            <w:pPr>
              <w:spacing w:after="0"/>
              <w:rPr>
                <w:sz w:val="20"/>
                <w:szCs w:val="20"/>
              </w:rPr>
            </w:pPr>
            <w:r w:rsidRPr="00560E70">
              <w:rPr>
                <w:sz w:val="20"/>
                <w:szCs w:val="20"/>
              </w:rPr>
              <w:t>Минимален дневен размер на обезщетението за безработица по чл. 54б, ал. 2 от Кодекса за социално осигуряване</w:t>
            </w:r>
          </w:p>
        </w:tc>
        <w:tc>
          <w:tcPr>
            <w:tcW w:w="513" w:type="pct"/>
            <w:tcBorders>
              <w:top w:val="single" w:sz="4" w:space="0" w:color="auto"/>
              <w:bottom w:val="single" w:sz="4" w:space="0" w:color="auto"/>
            </w:tcBorders>
            <w:shd w:val="clear" w:color="auto" w:fill="F8CEC7" w:themeFill="accent3" w:themeFillTint="33"/>
            <w:vAlign w:val="center"/>
            <w:hideMark/>
          </w:tcPr>
          <w:p w:rsidR="004B0448" w:rsidRPr="00560E70" w:rsidRDefault="004B0448" w:rsidP="0082145B">
            <w:pPr>
              <w:spacing w:after="0"/>
              <w:jc w:val="center"/>
              <w:rPr>
                <w:color w:val="000000"/>
                <w:sz w:val="20"/>
                <w:szCs w:val="20"/>
              </w:rPr>
            </w:pPr>
            <w:r w:rsidRPr="00560E70">
              <w:rPr>
                <w:color w:val="000000"/>
                <w:sz w:val="20"/>
                <w:szCs w:val="20"/>
              </w:rPr>
              <w:t>лева</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9</w:t>
            </w:r>
          </w:p>
        </w:tc>
        <w:tc>
          <w:tcPr>
            <w:tcW w:w="835"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9</w:t>
            </w:r>
          </w:p>
        </w:tc>
        <w:tc>
          <w:tcPr>
            <w:tcW w:w="834" w:type="pct"/>
            <w:tcBorders>
              <w:top w:val="single" w:sz="4" w:space="0" w:color="auto"/>
              <w:bottom w:val="single" w:sz="4" w:space="0" w:color="auto"/>
            </w:tcBorders>
            <w:shd w:val="clear" w:color="auto" w:fill="auto"/>
            <w:vAlign w:val="center"/>
            <w:hideMark/>
          </w:tcPr>
          <w:p w:rsidR="004B0448" w:rsidRPr="00560E70" w:rsidRDefault="004B0448" w:rsidP="0082145B">
            <w:pPr>
              <w:spacing w:after="0"/>
              <w:jc w:val="center"/>
              <w:rPr>
                <w:sz w:val="20"/>
                <w:szCs w:val="20"/>
              </w:rPr>
            </w:pPr>
            <w:r w:rsidRPr="00560E70">
              <w:rPr>
                <w:sz w:val="20"/>
                <w:szCs w:val="20"/>
              </w:rPr>
              <w:t>9</w:t>
            </w:r>
          </w:p>
        </w:tc>
      </w:tr>
    </w:tbl>
    <w:p w:rsidR="004B0448" w:rsidRDefault="004B0448" w:rsidP="00086A06">
      <w:pPr>
        <w:rPr>
          <w:rFonts w:eastAsia="Times New Roman" w:cs="Times New Roman"/>
          <w:sz w:val="20"/>
          <w:szCs w:val="20"/>
        </w:rPr>
      </w:pPr>
    </w:p>
    <w:p w:rsidR="004B0448" w:rsidRPr="004B0448" w:rsidRDefault="004B0448" w:rsidP="004B0448">
      <w:pPr>
        <w:spacing w:before="120" w:after="0"/>
        <w:rPr>
          <w:rFonts w:eastAsia="Times New Roman" w:cs="Times New Roman"/>
          <w:b/>
          <w:sz w:val="20"/>
          <w:szCs w:val="20"/>
        </w:rPr>
      </w:pPr>
      <w:r w:rsidRPr="004B0448">
        <w:rPr>
          <w:rFonts w:eastAsia="Times New Roman" w:cs="Times New Roman"/>
          <w:b/>
          <w:sz w:val="20"/>
          <w:szCs w:val="20"/>
        </w:rPr>
        <w:t xml:space="preserve">Забележки: </w:t>
      </w:r>
    </w:p>
    <w:p w:rsidR="004B0448" w:rsidRPr="004B0448" w:rsidRDefault="004B0448" w:rsidP="004B0448">
      <w:pPr>
        <w:spacing w:before="120" w:after="0"/>
        <w:rPr>
          <w:rFonts w:eastAsia="Times New Roman" w:cs="Times New Roman"/>
          <w:sz w:val="20"/>
          <w:szCs w:val="20"/>
          <w:lang w:val="ru-RU"/>
        </w:rPr>
      </w:pPr>
      <w:r w:rsidRPr="004B0448">
        <w:rPr>
          <w:rFonts w:eastAsia="Times New Roman" w:cs="Times New Roman"/>
          <w:b/>
          <w:sz w:val="20"/>
          <w:szCs w:val="20"/>
          <w:vertAlign w:val="superscript"/>
        </w:rPr>
        <w:t>1</w:t>
      </w:r>
      <w:r w:rsidRPr="004B0448">
        <w:rPr>
          <w:rFonts w:eastAsia="Times New Roman" w:cs="Times New Roman"/>
          <w:sz w:val="20"/>
          <w:szCs w:val="20"/>
          <w:vertAlign w:val="superscript"/>
        </w:rPr>
        <w:t> </w:t>
      </w:r>
      <w:r w:rsidRPr="004B0448">
        <w:rPr>
          <w:rFonts w:eastAsia="Times New Roman" w:cs="Times New Roman"/>
          <w:sz w:val="20"/>
          <w:szCs w:val="20"/>
        </w:rPr>
        <w:t>По т. 8.14 – акцизната ставка върху природния газ за моторно гориво в размер на 0,85 лв. за гигаджаул е запазена до постановяване на акт за несъответствие от Европейската комисия с правилата в областта на държавните помощи.</w:t>
      </w:r>
    </w:p>
    <w:p w:rsidR="004B0448" w:rsidRPr="004B0448" w:rsidRDefault="004B0448" w:rsidP="004B0448">
      <w:pPr>
        <w:spacing w:before="120" w:after="0"/>
        <w:rPr>
          <w:rFonts w:eastAsia="Times New Roman" w:cs="Times New Roman"/>
          <w:sz w:val="20"/>
          <w:szCs w:val="20"/>
        </w:rPr>
      </w:pPr>
      <w:r w:rsidRPr="004B0448">
        <w:rPr>
          <w:rFonts w:eastAsia="Times New Roman" w:cs="Times New Roman"/>
          <w:b/>
          <w:sz w:val="20"/>
          <w:szCs w:val="20"/>
          <w:vertAlign w:val="superscript"/>
        </w:rPr>
        <w:t>2</w:t>
      </w:r>
      <w:r w:rsidRPr="004B0448">
        <w:rPr>
          <w:rFonts w:eastAsia="Times New Roman" w:cs="Times New Roman"/>
          <w:sz w:val="20"/>
          <w:szCs w:val="20"/>
          <w:vertAlign w:val="superscript"/>
        </w:rPr>
        <w:t> </w:t>
      </w:r>
      <w:r w:rsidRPr="004B0448">
        <w:rPr>
          <w:rFonts w:eastAsia="Times New Roman" w:cs="Times New Roman"/>
          <w:sz w:val="20"/>
          <w:szCs w:val="20"/>
        </w:rPr>
        <w:t>По т. 11.1 и т. 11.2 – посочените размери за осигурителната вноска за фонд „Пенсии” и за фонд „Пенсии за лицата по чл. 69“ за лицата, родени след 31 декември 1959 г. са за лицата, които се осигуряват и за допълнително задължително пенсионно осигуряване в универсален пенсионен фонд.</w:t>
      </w:r>
    </w:p>
    <w:p w:rsidR="00782270" w:rsidRDefault="00782270" w:rsidP="00086A06">
      <w:pPr>
        <w:rPr>
          <w:rFonts w:eastAsia="Times New Roman" w:cs="Times New Roman"/>
          <w:sz w:val="20"/>
          <w:szCs w:val="20"/>
        </w:rPr>
      </w:pPr>
    </w:p>
    <w:p w:rsidR="00A76E23" w:rsidRPr="005552A5" w:rsidRDefault="00A76E23" w:rsidP="00435222">
      <w:pPr>
        <w:pStyle w:val="textgraf"/>
        <w:rPr>
          <w:rFonts w:eastAsia="Times New Roman"/>
          <w:sz w:val="18"/>
          <w:szCs w:val="18"/>
          <w:highlight w:val="yellow"/>
        </w:rPr>
      </w:pPr>
      <w:bookmarkStart w:id="807" w:name="_Toc464224825"/>
      <w:bookmarkStart w:id="808" w:name="_Toc464225475"/>
      <w:bookmarkStart w:id="809" w:name="_Toc464459022"/>
      <w:bookmarkStart w:id="810" w:name="_Toc464459770"/>
      <w:bookmarkStart w:id="811" w:name="_Toc464460723"/>
      <w:bookmarkStart w:id="812" w:name="_Toc464463122"/>
      <w:bookmarkStart w:id="813" w:name="_Toc464464951"/>
      <w:bookmarkStart w:id="814" w:name="_Toc464465458"/>
      <w:bookmarkStart w:id="815" w:name="_Toc464465646"/>
      <w:bookmarkStart w:id="816" w:name="_Toc464466470"/>
      <w:bookmarkStart w:id="817" w:name="_Toc464466713"/>
      <w:bookmarkStart w:id="818" w:name="_Toc464645034"/>
      <w:bookmarkStart w:id="819" w:name="_Toc465205588"/>
      <w:r>
        <w:br w:type="page"/>
      </w:r>
    </w:p>
    <w:p w:rsidR="00530617" w:rsidRPr="00BB7CB3" w:rsidRDefault="0063780D" w:rsidP="00DE2BDB">
      <w:pPr>
        <w:pStyle w:val="Heading2"/>
        <w:numPr>
          <w:ilvl w:val="0"/>
          <w:numId w:val="0"/>
        </w:numPr>
        <w:rPr>
          <w:lang w:val="ru-RU"/>
        </w:rPr>
      </w:pPr>
      <w:bookmarkStart w:id="820" w:name="_Toc23337503"/>
      <w:bookmarkEnd w:id="807"/>
      <w:bookmarkEnd w:id="808"/>
      <w:bookmarkEnd w:id="809"/>
      <w:bookmarkEnd w:id="810"/>
      <w:bookmarkEnd w:id="811"/>
      <w:bookmarkEnd w:id="812"/>
      <w:bookmarkEnd w:id="813"/>
      <w:bookmarkEnd w:id="814"/>
      <w:bookmarkEnd w:id="815"/>
      <w:bookmarkEnd w:id="816"/>
      <w:bookmarkEnd w:id="817"/>
      <w:bookmarkEnd w:id="818"/>
      <w:bookmarkEnd w:id="819"/>
      <w:r w:rsidRPr="00D338FD">
        <w:t>Приложение № 3:</w:t>
      </w:r>
      <w:r w:rsidRPr="0027743A">
        <w:t xml:space="preserve"> </w:t>
      </w:r>
      <w:r w:rsidRPr="0027743A">
        <w:br/>
      </w:r>
      <w:r w:rsidRPr="00603B38">
        <w:t>консолидирана фискална програма</w:t>
      </w:r>
      <w:r w:rsidRPr="00603B38" w:rsidDel="00FE5F37">
        <w:t xml:space="preserve"> </w:t>
      </w:r>
      <w:r w:rsidR="00931F81">
        <w:t>за периода 2017</w:t>
      </w:r>
      <w:r w:rsidRPr="00603B38">
        <w:t>-202</w:t>
      </w:r>
      <w:r w:rsidR="00931F81">
        <w:t>2</w:t>
      </w:r>
      <w:r w:rsidRPr="00603B38">
        <w:t xml:space="preserve"> г.</w:t>
      </w:r>
      <w:bookmarkEnd w:id="820"/>
    </w:p>
    <w:p w:rsidR="004D0424" w:rsidRPr="004D0424" w:rsidRDefault="004D0424" w:rsidP="004D0424">
      <w:pPr>
        <w:rPr>
          <w:lang w:val="en-US"/>
        </w:rPr>
      </w:pPr>
      <w:r w:rsidRPr="004D0424">
        <w:rPr>
          <w:noProof/>
        </w:rPr>
        <w:drawing>
          <wp:inline distT="0" distB="0" distL="0" distR="0" wp14:anchorId="484E1363" wp14:editId="764AA018">
            <wp:extent cx="9251950" cy="5055476"/>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251950" cy="5055476"/>
                    </a:xfrm>
                    <a:prstGeom prst="rect">
                      <a:avLst/>
                    </a:prstGeom>
                    <a:noFill/>
                    <a:ln>
                      <a:noFill/>
                    </a:ln>
                  </pic:spPr>
                </pic:pic>
              </a:graphicData>
            </a:graphic>
          </wp:inline>
        </w:drawing>
      </w:r>
    </w:p>
    <w:p w:rsidR="00596F18" w:rsidRDefault="00596F18" w:rsidP="00596F18"/>
    <w:p w:rsidR="00F01DCE" w:rsidRDefault="00F01DCE" w:rsidP="00596F18">
      <w:r w:rsidRPr="00F01DCE">
        <w:rPr>
          <w:noProof/>
        </w:rPr>
        <w:drawing>
          <wp:inline distT="0" distB="0" distL="0" distR="0" wp14:anchorId="27EC9E79" wp14:editId="3B88550F">
            <wp:extent cx="9251950" cy="5063011"/>
            <wp:effectExtent l="0" t="0" r="635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251950" cy="5063011"/>
                    </a:xfrm>
                    <a:prstGeom prst="rect">
                      <a:avLst/>
                    </a:prstGeom>
                    <a:noFill/>
                    <a:ln>
                      <a:noFill/>
                    </a:ln>
                  </pic:spPr>
                </pic:pic>
              </a:graphicData>
            </a:graphic>
          </wp:inline>
        </w:drawing>
      </w:r>
    </w:p>
    <w:p w:rsidR="00E22A97" w:rsidRDefault="00E22A97">
      <w:pPr>
        <w:spacing w:line="276" w:lineRule="auto"/>
        <w:jc w:val="left"/>
        <w:rPr>
          <w:rFonts w:eastAsia="Times New Roman"/>
          <w:sz w:val="20"/>
          <w:szCs w:val="20"/>
        </w:rPr>
      </w:pPr>
      <w:bookmarkStart w:id="821" w:name="_Toc464224826"/>
      <w:bookmarkStart w:id="822" w:name="_Toc464225476"/>
      <w:bookmarkStart w:id="823" w:name="_Toc464459023"/>
      <w:bookmarkStart w:id="824" w:name="_Toc464459771"/>
      <w:bookmarkStart w:id="825" w:name="_Toc464460724"/>
      <w:bookmarkStart w:id="826" w:name="_Toc464463123"/>
      <w:bookmarkStart w:id="827" w:name="_Toc464464952"/>
      <w:bookmarkStart w:id="828" w:name="_Toc464465459"/>
      <w:bookmarkStart w:id="829" w:name="_Toc464465647"/>
      <w:bookmarkStart w:id="830" w:name="_Toc464466471"/>
      <w:bookmarkStart w:id="831" w:name="_Toc464466714"/>
      <w:bookmarkStart w:id="832" w:name="_Toc464645431"/>
      <w:bookmarkStart w:id="833" w:name="_Toc465205589"/>
      <w:r w:rsidRPr="005B509A">
        <w:rPr>
          <w:rFonts w:eastAsia="Times New Roman"/>
          <w:b/>
          <w:sz w:val="20"/>
          <w:szCs w:val="20"/>
        </w:rPr>
        <w:t xml:space="preserve">Забележка: </w:t>
      </w:r>
      <w:r w:rsidRPr="005B509A">
        <w:rPr>
          <w:rFonts w:eastAsia="Times New Roman"/>
          <w:sz w:val="20"/>
          <w:szCs w:val="20"/>
        </w:rPr>
        <w:t>За 201</w:t>
      </w:r>
      <w:r>
        <w:rPr>
          <w:rFonts w:eastAsia="Times New Roman"/>
          <w:sz w:val="20"/>
          <w:szCs w:val="20"/>
        </w:rPr>
        <w:t>7</w:t>
      </w:r>
      <w:r w:rsidRPr="005B509A">
        <w:rPr>
          <w:rFonts w:eastAsia="Times New Roman"/>
          <w:sz w:val="20"/>
          <w:szCs w:val="20"/>
        </w:rPr>
        <w:t xml:space="preserve"> и 201</w:t>
      </w:r>
      <w:r>
        <w:rPr>
          <w:rFonts w:eastAsia="Times New Roman"/>
          <w:sz w:val="20"/>
          <w:szCs w:val="20"/>
        </w:rPr>
        <w:t>8</w:t>
      </w:r>
      <w:r w:rsidRPr="005B509A">
        <w:rPr>
          <w:rFonts w:eastAsia="Times New Roman"/>
          <w:sz w:val="20"/>
          <w:szCs w:val="20"/>
        </w:rPr>
        <w:t xml:space="preserve"> г. сумите на ред „Резерв за непредвидени и/или неотложни разходи“ са посочени с оглед съпоставимост на информацията.</w:t>
      </w:r>
    </w:p>
    <w:p w:rsidR="00596F18" w:rsidRDefault="004D0424">
      <w:pPr>
        <w:spacing w:line="276" w:lineRule="auto"/>
        <w:jc w:val="left"/>
        <w:rPr>
          <w:rFonts w:eastAsia="Times New Roman"/>
          <w:sz w:val="20"/>
          <w:szCs w:val="20"/>
        </w:rPr>
      </w:pPr>
      <w:r w:rsidRPr="004D0424">
        <w:rPr>
          <w:noProof/>
        </w:rPr>
        <w:drawing>
          <wp:inline distT="0" distB="0" distL="0" distR="0" wp14:anchorId="7833F6C3" wp14:editId="7C8EA0A1">
            <wp:extent cx="9251950" cy="5087811"/>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251950" cy="5087811"/>
                    </a:xfrm>
                    <a:prstGeom prst="rect">
                      <a:avLst/>
                    </a:prstGeom>
                    <a:noFill/>
                    <a:ln>
                      <a:noFill/>
                    </a:ln>
                  </pic:spPr>
                </pic:pic>
              </a:graphicData>
            </a:graphic>
          </wp:inline>
        </w:drawing>
      </w:r>
    </w:p>
    <w:p w:rsidR="00596F18" w:rsidRDefault="00596F18">
      <w:pPr>
        <w:spacing w:line="276" w:lineRule="auto"/>
        <w:jc w:val="left"/>
        <w:rPr>
          <w:rFonts w:eastAsia="Times New Roman"/>
          <w:sz w:val="20"/>
          <w:szCs w:val="20"/>
          <w:lang w:val="en-US"/>
        </w:rPr>
      </w:pPr>
    </w:p>
    <w:p w:rsidR="004D0424" w:rsidRDefault="004D0424">
      <w:pPr>
        <w:spacing w:line="276" w:lineRule="auto"/>
        <w:jc w:val="left"/>
        <w:rPr>
          <w:rFonts w:eastAsia="Times New Roman"/>
          <w:sz w:val="20"/>
          <w:szCs w:val="20"/>
          <w:lang w:val="en-US"/>
        </w:rPr>
      </w:pPr>
    </w:p>
    <w:p w:rsidR="004D0424" w:rsidRDefault="004D0424">
      <w:pPr>
        <w:spacing w:line="276" w:lineRule="auto"/>
        <w:jc w:val="left"/>
        <w:rPr>
          <w:rFonts w:eastAsia="Times New Roman"/>
          <w:sz w:val="20"/>
          <w:szCs w:val="20"/>
          <w:lang w:val="en-US"/>
        </w:rPr>
      </w:pPr>
    </w:p>
    <w:p w:rsidR="004D0424" w:rsidRDefault="00F01DCE">
      <w:pPr>
        <w:spacing w:line="276" w:lineRule="auto"/>
        <w:jc w:val="left"/>
        <w:rPr>
          <w:rFonts w:eastAsia="Times New Roman"/>
          <w:sz w:val="20"/>
          <w:szCs w:val="20"/>
        </w:rPr>
      </w:pPr>
      <w:r w:rsidRPr="00F01DCE">
        <w:rPr>
          <w:noProof/>
        </w:rPr>
        <w:drawing>
          <wp:inline distT="0" distB="0" distL="0" distR="0" wp14:anchorId="06B54231" wp14:editId="72B91575">
            <wp:extent cx="9251950" cy="5310523"/>
            <wp:effectExtent l="0" t="0" r="635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9251950" cy="5310523"/>
                    </a:xfrm>
                    <a:prstGeom prst="rect">
                      <a:avLst/>
                    </a:prstGeom>
                    <a:noFill/>
                    <a:ln>
                      <a:noFill/>
                    </a:ln>
                  </pic:spPr>
                </pic:pic>
              </a:graphicData>
            </a:graphic>
          </wp:inline>
        </w:drawing>
      </w:r>
    </w:p>
    <w:p w:rsidR="00F01DCE" w:rsidRPr="00F01DCE" w:rsidRDefault="00F01DCE">
      <w:pPr>
        <w:spacing w:line="276" w:lineRule="auto"/>
        <w:jc w:val="left"/>
        <w:rPr>
          <w:rFonts w:eastAsia="Times New Roman"/>
          <w:sz w:val="20"/>
          <w:szCs w:val="20"/>
        </w:rPr>
      </w:pPr>
    </w:p>
    <w:p w:rsidR="00F2428D" w:rsidRPr="00F431CB" w:rsidRDefault="00F2428D">
      <w:pPr>
        <w:spacing w:line="276" w:lineRule="auto"/>
        <w:jc w:val="left"/>
        <w:rPr>
          <w:lang w:val="ru-RU"/>
        </w:rPr>
      </w:pPr>
      <w:r w:rsidRPr="00F431CB">
        <w:rPr>
          <w:lang w:val="ru-RU"/>
        </w:rPr>
        <w:br w:type="page"/>
      </w:r>
    </w:p>
    <w:p w:rsidR="002B149E" w:rsidRDefault="002B149E" w:rsidP="00DE2BDB">
      <w:pPr>
        <w:pStyle w:val="Heading2"/>
        <w:numPr>
          <w:ilvl w:val="0"/>
          <w:numId w:val="0"/>
        </w:numPr>
      </w:pPr>
      <w:bookmarkStart w:id="834" w:name="_Toc23337504"/>
      <w:r w:rsidRPr="00D338FD">
        <w:t>Приложение № 4:</w:t>
      </w:r>
      <w:r w:rsidRPr="00F54E33">
        <w:t xml:space="preserve"> </w:t>
      </w:r>
      <w:r w:rsidR="002463FB" w:rsidRPr="00F54E33">
        <w:br/>
      </w:r>
      <w:r w:rsidRPr="00B46E28">
        <w:t xml:space="preserve">Тавани на разходите по </w:t>
      </w:r>
      <w:r w:rsidR="00FE5F37" w:rsidRPr="00B46E28">
        <w:t>бюджетни организации</w:t>
      </w:r>
      <w:r w:rsidR="00FE5F37" w:rsidRPr="00B46E28" w:rsidDel="00FE5F37">
        <w:t xml:space="preserve"> </w:t>
      </w:r>
      <w:r w:rsidR="00931F81">
        <w:t>за периода 2020</w:t>
      </w:r>
      <w:r w:rsidR="00C40D40" w:rsidRPr="00B46E28">
        <w:t>-202</w:t>
      </w:r>
      <w:r w:rsidR="00931F81">
        <w:t>2</w:t>
      </w:r>
      <w:r w:rsidRPr="00B46E28">
        <w:t xml:space="preserve"> г</w:t>
      </w:r>
      <w:r w:rsidR="00FE5F37" w:rsidRPr="00B46E28">
        <w:t>.</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p>
    <w:p w:rsidR="005B6198" w:rsidRDefault="005B6198" w:rsidP="005B6198">
      <w:pPr>
        <w:spacing w:after="120"/>
        <w:jc w:val="right"/>
        <w:rPr>
          <w:sz w:val="20"/>
          <w:szCs w:val="20"/>
        </w:rPr>
      </w:pPr>
      <w:r w:rsidRPr="005B6198">
        <w:rPr>
          <w:sz w:val="20"/>
          <w:szCs w:val="20"/>
        </w:rPr>
        <w:t>(в хил. лв.)</w:t>
      </w:r>
    </w:p>
    <w:tbl>
      <w:tblPr>
        <w:tblW w:w="14860" w:type="dxa"/>
        <w:tblInd w:w="55" w:type="dxa"/>
        <w:tblCellMar>
          <w:left w:w="70" w:type="dxa"/>
          <w:right w:w="70" w:type="dxa"/>
        </w:tblCellMar>
        <w:tblLook w:val="04A0" w:firstRow="1" w:lastRow="0" w:firstColumn="1" w:lastColumn="0" w:noHBand="0" w:noVBand="1"/>
      </w:tblPr>
      <w:tblGrid>
        <w:gridCol w:w="500"/>
        <w:gridCol w:w="9340"/>
        <w:gridCol w:w="1660"/>
        <w:gridCol w:w="1660"/>
        <w:gridCol w:w="1700"/>
      </w:tblGrid>
      <w:tr w:rsidR="0033314F" w:rsidRPr="0033314F" w:rsidTr="0033314F">
        <w:trPr>
          <w:trHeight w:val="330"/>
          <w:tblHeader/>
        </w:trPr>
        <w:tc>
          <w:tcPr>
            <w:tcW w:w="500" w:type="dxa"/>
            <w:tcBorders>
              <w:top w:val="single" w:sz="4" w:space="0" w:color="auto"/>
              <w:left w:val="nil"/>
              <w:bottom w:val="single" w:sz="4" w:space="0" w:color="auto"/>
              <w:right w:val="nil"/>
            </w:tcBorders>
            <w:shd w:val="clear" w:color="auto" w:fill="auto"/>
            <w:noWrap/>
            <w:hideMark/>
          </w:tcPr>
          <w:p w:rsidR="0033314F" w:rsidRPr="0033314F" w:rsidRDefault="0033314F" w:rsidP="0033314F">
            <w:pPr>
              <w:spacing w:after="0"/>
              <w:jc w:val="center"/>
              <w:rPr>
                <w:rFonts w:eastAsia="Times New Roman" w:cs="Times New Roman"/>
                <w:b/>
                <w:bCs/>
                <w:sz w:val="20"/>
                <w:szCs w:val="20"/>
              </w:rPr>
            </w:pPr>
            <w:r w:rsidRPr="0033314F">
              <w:rPr>
                <w:rFonts w:eastAsia="Times New Roman" w:cs="Times New Roman"/>
                <w:b/>
                <w:bCs/>
                <w:sz w:val="20"/>
                <w:szCs w:val="20"/>
              </w:rPr>
              <w:t>№</w:t>
            </w:r>
          </w:p>
        </w:tc>
        <w:tc>
          <w:tcPr>
            <w:tcW w:w="9340" w:type="dxa"/>
            <w:tcBorders>
              <w:top w:val="single" w:sz="4" w:space="0" w:color="auto"/>
              <w:left w:val="nil"/>
              <w:bottom w:val="single" w:sz="4" w:space="0" w:color="auto"/>
              <w:right w:val="nil"/>
            </w:tcBorders>
            <w:shd w:val="clear" w:color="auto" w:fill="auto"/>
            <w:noWrap/>
            <w:hideMark/>
          </w:tcPr>
          <w:p w:rsidR="0033314F" w:rsidRPr="0033314F" w:rsidRDefault="0033314F" w:rsidP="0033314F">
            <w:pPr>
              <w:spacing w:after="0"/>
              <w:jc w:val="center"/>
              <w:rPr>
                <w:rFonts w:eastAsia="Times New Roman" w:cs="Times New Roman"/>
                <w:b/>
                <w:bCs/>
                <w:sz w:val="20"/>
                <w:szCs w:val="20"/>
              </w:rPr>
            </w:pPr>
            <w:r w:rsidRPr="0033314F">
              <w:rPr>
                <w:rFonts w:eastAsia="Times New Roman" w:cs="Times New Roman"/>
                <w:b/>
                <w:bCs/>
                <w:sz w:val="20"/>
                <w:szCs w:val="20"/>
              </w:rPr>
              <w:t>Бюджетни организации</w:t>
            </w:r>
          </w:p>
        </w:tc>
        <w:tc>
          <w:tcPr>
            <w:tcW w:w="1660" w:type="dxa"/>
            <w:tcBorders>
              <w:top w:val="single" w:sz="4" w:space="0" w:color="auto"/>
              <w:left w:val="nil"/>
              <w:bottom w:val="single" w:sz="4" w:space="0" w:color="auto"/>
              <w:right w:val="nil"/>
            </w:tcBorders>
            <w:shd w:val="clear" w:color="auto" w:fill="auto"/>
            <w:hideMark/>
          </w:tcPr>
          <w:p w:rsidR="0033314F" w:rsidRPr="0033314F" w:rsidRDefault="0033314F" w:rsidP="0033314F">
            <w:pPr>
              <w:spacing w:after="0"/>
              <w:jc w:val="center"/>
              <w:rPr>
                <w:rFonts w:eastAsia="Times New Roman" w:cs="Times New Roman"/>
                <w:b/>
                <w:bCs/>
                <w:sz w:val="20"/>
                <w:szCs w:val="20"/>
              </w:rPr>
            </w:pPr>
            <w:r w:rsidRPr="0033314F">
              <w:rPr>
                <w:rFonts w:eastAsia="Times New Roman" w:cs="Times New Roman"/>
                <w:b/>
                <w:bCs/>
                <w:sz w:val="20"/>
                <w:szCs w:val="20"/>
              </w:rPr>
              <w:t>2020 г.</w:t>
            </w:r>
          </w:p>
        </w:tc>
        <w:tc>
          <w:tcPr>
            <w:tcW w:w="1660" w:type="dxa"/>
            <w:tcBorders>
              <w:top w:val="single" w:sz="4" w:space="0" w:color="auto"/>
              <w:left w:val="nil"/>
              <w:bottom w:val="single" w:sz="4" w:space="0" w:color="auto"/>
              <w:right w:val="nil"/>
            </w:tcBorders>
            <w:shd w:val="clear" w:color="auto" w:fill="auto"/>
            <w:hideMark/>
          </w:tcPr>
          <w:p w:rsidR="0033314F" w:rsidRPr="0033314F" w:rsidRDefault="0033314F" w:rsidP="0033314F">
            <w:pPr>
              <w:spacing w:after="0"/>
              <w:jc w:val="center"/>
              <w:rPr>
                <w:rFonts w:eastAsia="Times New Roman" w:cs="Times New Roman"/>
                <w:b/>
                <w:bCs/>
                <w:sz w:val="20"/>
                <w:szCs w:val="20"/>
              </w:rPr>
            </w:pPr>
            <w:r w:rsidRPr="0033314F">
              <w:rPr>
                <w:rFonts w:eastAsia="Times New Roman" w:cs="Times New Roman"/>
                <w:b/>
                <w:bCs/>
                <w:sz w:val="20"/>
                <w:szCs w:val="20"/>
              </w:rPr>
              <w:t>2021 г.</w:t>
            </w:r>
          </w:p>
        </w:tc>
        <w:tc>
          <w:tcPr>
            <w:tcW w:w="1700" w:type="dxa"/>
            <w:tcBorders>
              <w:top w:val="single" w:sz="4" w:space="0" w:color="auto"/>
              <w:left w:val="nil"/>
              <w:bottom w:val="single" w:sz="4" w:space="0" w:color="auto"/>
              <w:right w:val="nil"/>
            </w:tcBorders>
            <w:shd w:val="clear" w:color="auto" w:fill="auto"/>
            <w:hideMark/>
          </w:tcPr>
          <w:p w:rsidR="0033314F" w:rsidRPr="0033314F" w:rsidRDefault="0033314F" w:rsidP="0033314F">
            <w:pPr>
              <w:spacing w:after="0"/>
              <w:jc w:val="center"/>
              <w:rPr>
                <w:rFonts w:eastAsia="Times New Roman" w:cs="Times New Roman"/>
                <w:b/>
                <w:bCs/>
                <w:sz w:val="20"/>
                <w:szCs w:val="20"/>
              </w:rPr>
            </w:pPr>
            <w:r w:rsidRPr="0033314F">
              <w:rPr>
                <w:rFonts w:eastAsia="Times New Roman" w:cs="Times New Roman"/>
                <w:b/>
                <w:bCs/>
                <w:sz w:val="20"/>
                <w:szCs w:val="20"/>
              </w:rPr>
              <w:t>2022 г.</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Администрация на президента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8 126,5</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8 136,5</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8 136,5</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Министерски съвет</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118 730,2</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118 770,2</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118 792,2</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Конституционен съд</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3 608,7</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5 108,7</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3 608,7</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Омбудсман</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3 363,9</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3 363,9</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3 363,9</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финансите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584 209,1</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585 260,1</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586 505,7</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външните работи</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141 246,5</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141 505,9</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141 505,9</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7</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отбраната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1 514 065,2</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1 522 899,2</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1 522 899,2</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8</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вътрешните работи</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1 669 575,5</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1 669 354,5</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1 669 354,5</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9</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правосъдието</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299 194,4</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299 794,7</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300 794,7</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10</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труда и социалната политика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1 490 368,1</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1 568 544,2</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1 598 904,2</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11</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здравеопазването</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662 051,9</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669 672,4</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676 222,8</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12</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образованието и науката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750 177,4</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799 141,6</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799 141,6</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13</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културата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217 050,5</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222 664,2</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222 664,2</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14</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околната среда и водите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55 965,0</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56 303,0</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56 311,4</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15</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икономиката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95 291,3</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94 391,8</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93 507,8</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16</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енергетиката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81 572,5</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62 935,3</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62 962,6</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17</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туризма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19 648,5</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19 663,5</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19 663,5</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18</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регионалното развитие и благоустройството</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438 682,3</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449 946,2</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449 946,2</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19</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земеделието, храните и горите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203 620,9</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204 828,0</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204 828,0</w:t>
            </w:r>
          </w:p>
        </w:tc>
      </w:tr>
      <w:tr w:rsidR="0033314F" w:rsidRPr="0033314F" w:rsidTr="0033314F">
        <w:trPr>
          <w:trHeight w:val="28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20</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транспорта, информационните технологии и съобщенията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282 885,3</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281 699,1</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281 699,1</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21</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Министерство на младежта и спорта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82 260,0</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83 108,8</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83 108,8</w:t>
            </w:r>
          </w:p>
        </w:tc>
      </w:tr>
      <w:tr w:rsidR="0033314F" w:rsidRPr="0033314F" w:rsidTr="0033314F">
        <w:trPr>
          <w:trHeight w:val="28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22</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Държавна агенция „Национална сигурност“</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125 861,6</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125 861,6</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125 861,6</w:t>
            </w:r>
          </w:p>
        </w:tc>
      </w:tr>
      <w:tr w:rsidR="0033314F" w:rsidRPr="0033314F" w:rsidTr="0033314F">
        <w:trPr>
          <w:trHeight w:val="58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23</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разкриване на документите и за обявяване на принадлежност на български граждани към Държавна сигурност и разузнавателните служби на Българската народна армия</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4 056,5</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4 056,5</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4 056,5</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24</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защита от дискриминация</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2 969,4</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2 969,4</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2 969,4</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25</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защита на личните данни</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3 013,6</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3 013,6</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3 013,6</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26</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противодействие на корупцията и за отнемане на незаконно придобитото имущество</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21 856,7</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21 856,7</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21 856,7</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27</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Национална служба за охрана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44 004,6</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44 004,6</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44 004,6</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28</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Държавна агенция „Разузнаване“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55 951,0</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47 203,0</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40 028,0</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29</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Национален статистически институт</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25 447,2</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25 590,2</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25 590,2</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30</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защита на конкуренцията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5 391,8</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5 395,1</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5 395,1</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31</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регулиране на съобщенията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14 727,3</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14 731,3</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14 731,3</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32</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Съвет за електронни медии</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1 792,7</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1 800,4</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1 800,4</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33</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енергийно и водно регулиране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9 331,9</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9 233,9</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9 569,9</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34</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Агенция за ядрено регулиране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7 145,6</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7 155,9</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7 155,9</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35</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Държавна комисия по сигурността на информацията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10 759,3</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10 765,3</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10 765,3</w:t>
            </w:r>
          </w:p>
        </w:tc>
      </w:tr>
      <w:tr w:rsidR="0033314F" w:rsidRPr="0033314F" w:rsidTr="0033314F">
        <w:trPr>
          <w:trHeight w:val="28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36</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Държавна агенция „Държавен резерв и военновременни запаси“</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92 752,1</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69 042,7</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43 042,7</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37</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финансов надзор</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18 360,0</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18 380,0</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18 380,0</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38</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Комисия за публичен надзор над регистрираните одитори</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1 868,6</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1 868,6</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1 868,6</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39</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Централна избирателна комисия</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5 373,0</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5 373,0</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5 373,0</w:t>
            </w:r>
          </w:p>
        </w:tc>
      </w:tr>
      <w:tr w:rsidR="0033314F" w:rsidRPr="0033314F" w:rsidTr="0033314F">
        <w:trPr>
          <w:trHeight w:val="28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40</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Държавен фонд „Земеделие“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366 833,0</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366 864,3</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366 864,3</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41</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Национално бюро за контрол на специалните разузнавателни средства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1 584,2</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1 584,2</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1 584,2</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42</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Държавна агенция „Технически операции“</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64 982,1</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65 066,1</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65 066,1</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43</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Държавна агенция „Електронно управление“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32 033,3</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32 066,0</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32 066,0</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44</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Сметна палата</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19 941,8</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20 061,8</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20 061,8</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45</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Национален осигурителен институт</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12 448 290,4</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13 143 183,1</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13 765 389,8</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left"/>
              <w:rPr>
                <w:rFonts w:eastAsia="Times New Roman" w:cs="Times New Roman"/>
                <w:sz w:val="20"/>
                <w:szCs w:val="20"/>
              </w:rPr>
            </w:pPr>
          </w:p>
        </w:tc>
        <w:tc>
          <w:tcPr>
            <w:tcW w:w="9340" w:type="dxa"/>
            <w:tcBorders>
              <w:top w:val="nil"/>
              <w:left w:val="nil"/>
              <w:bottom w:val="nil"/>
              <w:right w:val="nil"/>
            </w:tcBorders>
            <w:shd w:val="clear" w:color="auto" w:fill="auto"/>
            <w:hideMark/>
          </w:tcPr>
          <w:p w:rsidR="0033314F" w:rsidRPr="0033314F" w:rsidRDefault="0033314F" w:rsidP="0033314F">
            <w:pPr>
              <w:spacing w:after="0"/>
              <w:ind w:firstLineChars="200" w:firstLine="400"/>
              <w:jc w:val="left"/>
              <w:rPr>
                <w:rFonts w:eastAsia="Times New Roman" w:cs="Times New Roman"/>
                <w:sz w:val="20"/>
                <w:szCs w:val="20"/>
              </w:rPr>
            </w:pPr>
            <w:r w:rsidRPr="0033314F">
              <w:rPr>
                <w:rFonts w:eastAsia="Times New Roman" w:cs="Times New Roman"/>
                <w:sz w:val="20"/>
                <w:szCs w:val="20"/>
              </w:rPr>
              <w:t>в т.ч. Пенсии</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10 576 567,6</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11 222 678,6</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11 788 817,5</w:t>
            </w:r>
          </w:p>
        </w:tc>
      </w:tr>
      <w:tr w:rsidR="0033314F" w:rsidRPr="0033314F" w:rsidTr="0033314F">
        <w:trPr>
          <w:trHeight w:val="300"/>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46</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Фонд „Гарантирани вземания на работниците и служителите“</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4 233,1</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4 743,6</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4 743,6</w:t>
            </w:r>
          </w:p>
        </w:tc>
      </w:tr>
      <w:tr w:rsidR="0033314F" w:rsidRPr="0033314F" w:rsidTr="0033314F">
        <w:trPr>
          <w:trHeight w:val="255"/>
        </w:trPr>
        <w:tc>
          <w:tcPr>
            <w:tcW w:w="5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47</w:t>
            </w:r>
          </w:p>
        </w:tc>
        <w:tc>
          <w:tcPr>
            <w:tcW w:w="9340" w:type="dxa"/>
            <w:tcBorders>
              <w:top w:val="nil"/>
              <w:left w:val="nil"/>
              <w:bottom w:val="nil"/>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Учителски пенсионен фонд</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47 650,7</w:t>
            </w:r>
          </w:p>
        </w:tc>
        <w:tc>
          <w:tcPr>
            <w:tcW w:w="166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54 579,3</w:t>
            </w:r>
          </w:p>
        </w:tc>
        <w:tc>
          <w:tcPr>
            <w:tcW w:w="1700" w:type="dxa"/>
            <w:tcBorders>
              <w:top w:val="nil"/>
              <w:left w:val="nil"/>
              <w:bottom w:val="nil"/>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61 679,6</w:t>
            </w:r>
          </w:p>
        </w:tc>
      </w:tr>
      <w:tr w:rsidR="0033314F" w:rsidRPr="0033314F" w:rsidTr="0033314F">
        <w:trPr>
          <w:trHeight w:val="255"/>
        </w:trPr>
        <w:tc>
          <w:tcPr>
            <w:tcW w:w="500" w:type="dxa"/>
            <w:tcBorders>
              <w:top w:val="nil"/>
              <w:left w:val="nil"/>
              <w:bottom w:val="single" w:sz="4" w:space="0" w:color="auto"/>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48</w:t>
            </w:r>
          </w:p>
        </w:tc>
        <w:tc>
          <w:tcPr>
            <w:tcW w:w="9340" w:type="dxa"/>
            <w:tcBorders>
              <w:top w:val="nil"/>
              <w:left w:val="nil"/>
              <w:bottom w:val="single" w:sz="4" w:space="0" w:color="auto"/>
              <w:right w:val="nil"/>
            </w:tcBorders>
            <w:shd w:val="clear" w:color="auto" w:fill="auto"/>
            <w:hideMark/>
          </w:tcPr>
          <w:p w:rsidR="0033314F" w:rsidRPr="0033314F" w:rsidRDefault="0033314F" w:rsidP="0033314F">
            <w:pPr>
              <w:spacing w:after="0"/>
              <w:jc w:val="left"/>
              <w:rPr>
                <w:rFonts w:eastAsia="Times New Roman" w:cs="Times New Roman"/>
                <w:sz w:val="20"/>
                <w:szCs w:val="20"/>
              </w:rPr>
            </w:pPr>
            <w:r w:rsidRPr="0033314F">
              <w:rPr>
                <w:rFonts w:eastAsia="Times New Roman" w:cs="Times New Roman"/>
                <w:sz w:val="20"/>
                <w:szCs w:val="20"/>
              </w:rPr>
              <w:t>Национална здравноосигурителна каса</w:t>
            </w:r>
          </w:p>
        </w:tc>
        <w:tc>
          <w:tcPr>
            <w:tcW w:w="1660" w:type="dxa"/>
            <w:tcBorders>
              <w:top w:val="nil"/>
              <w:left w:val="nil"/>
              <w:bottom w:val="single" w:sz="4" w:space="0" w:color="auto"/>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4 739 172,7</w:t>
            </w:r>
          </w:p>
        </w:tc>
        <w:tc>
          <w:tcPr>
            <w:tcW w:w="1660" w:type="dxa"/>
            <w:tcBorders>
              <w:top w:val="nil"/>
              <w:left w:val="nil"/>
              <w:bottom w:val="single" w:sz="4" w:space="0" w:color="auto"/>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5 066 660,3</w:t>
            </w:r>
          </w:p>
        </w:tc>
        <w:tc>
          <w:tcPr>
            <w:tcW w:w="1700" w:type="dxa"/>
            <w:tcBorders>
              <w:top w:val="nil"/>
              <w:left w:val="nil"/>
              <w:bottom w:val="single" w:sz="4" w:space="0" w:color="auto"/>
              <w:right w:val="nil"/>
            </w:tcBorders>
            <w:shd w:val="clear" w:color="auto" w:fill="auto"/>
            <w:noWrap/>
            <w:hideMark/>
          </w:tcPr>
          <w:p w:rsidR="0033314F" w:rsidRPr="0033314F" w:rsidRDefault="0033314F" w:rsidP="0033314F">
            <w:pPr>
              <w:spacing w:after="0"/>
              <w:jc w:val="right"/>
              <w:rPr>
                <w:rFonts w:eastAsia="Times New Roman" w:cs="Times New Roman"/>
                <w:sz w:val="20"/>
                <w:szCs w:val="20"/>
              </w:rPr>
            </w:pPr>
            <w:r w:rsidRPr="0033314F">
              <w:rPr>
                <w:rFonts w:eastAsia="Times New Roman" w:cs="Times New Roman"/>
                <w:sz w:val="20"/>
                <w:szCs w:val="20"/>
              </w:rPr>
              <w:t>5 336 121,8</w:t>
            </w:r>
          </w:p>
        </w:tc>
      </w:tr>
    </w:tbl>
    <w:p w:rsidR="0033314F" w:rsidRDefault="0033314F" w:rsidP="005B6198">
      <w:pPr>
        <w:spacing w:after="120"/>
        <w:jc w:val="right"/>
        <w:rPr>
          <w:sz w:val="20"/>
          <w:szCs w:val="20"/>
        </w:rPr>
      </w:pPr>
    </w:p>
    <w:p w:rsidR="0033314F" w:rsidRDefault="0033314F" w:rsidP="005B6198">
      <w:pPr>
        <w:spacing w:after="120"/>
        <w:jc w:val="right"/>
        <w:rPr>
          <w:sz w:val="20"/>
          <w:szCs w:val="20"/>
        </w:rPr>
      </w:pPr>
    </w:p>
    <w:p w:rsidR="008A7AE8" w:rsidRDefault="008A7AE8" w:rsidP="005B6198">
      <w:pPr>
        <w:spacing w:after="120"/>
        <w:jc w:val="right"/>
        <w:rPr>
          <w:sz w:val="20"/>
          <w:szCs w:val="20"/>
        </w:rPr>
      </w:pPr>
    </w:p>
    <w:p w:rsidR="008A7AE8" w:rsidRDefault="008A7AE8" w:rsidP="005B6198">
      <w:pPr>
        <w:spacing w:after="120"/>
        <w:jc w:val="right"/>
        <w:rPr>
          <w:sz w:val="20"/>
          <w:szCs w:val="20"/>
        </w:rPr>
      </w:pPr>
    </w:p>
    <w:p w:rsidR="00CA2E90" w:rsidRDefault="00CA2E90" w:rsidP="005B6198">
      <w:pPr>
        <w:spacing w:after="120"/>
        <w:jc w:val="right"/>
        <w:rPr>
          <w:sz w:val="20"/>
          <w:szCs w:val="20"/>
        </w:rPr>
      </w:pPr>
    </w:p>
    <w:p w:rsidR="00890CB7" w:rsidRPr="005B6198" w:rsidRDefault="00890CB7" w:rsidP="005B6198">
      <w:pPr>
        <w:spacing w:after="120"/>
        <w:jc w:val="right"/>
        <w:rPr>
          <w:sz w:val="20"/>
          <w:szCs w:val="20"/>
        </w:rPr>
      </w:pPr>
    </w:p>
    <w:p w:rsidR="00380A81" w:rsidRPr="00380A81" w:rsidRDefault="00380A81" w:rsidP="00FC568F">
      <w:pPr>
        <w:pStyle w:val="texttable"/>
        <w:jc w:val="right"/>
        <w:rPr>
          <w:lang w:val="en-US"/>
        </w:rPr>
      </w:pPr>
    </w:p>
    <w:p w:rsidR="00E27997" w:rsidRDefault="00E27997" w:rsidP="00DE2BDB">
      <w:pPr>
        <w:pStyle w:val="Heading2"/>
      </w:pPr>
      <w:bookmarkStart w:id="835" w:name="_Toc464224827"/>
      <w:bookmarkStart w:id="836" w:name="_Toc464225477"/>
      <w:bookmarkStart w:id="837" w:name="_Toc464459024"/>
      <w:bookmarkStart w:id="838" w:name="_Toc464459772"/>
      <w:bookmarkStart w:id="839" w:name="_Toc464460725"/>
      <w:bookmarkStart w:id="840" w:name="_Toc464463124"/>
      <w:bookmarkStart w:id="841" w:name="_Toc464464953"/>
      <w:bookmarkStart w:id="842" w:name="_Toc464465460"/>
      <w:bookmarkStart w:id="843" w:name="_Toc464465648"/>
      <w:bookmarkStart w:id="844" w:name="_Toc464466472"/>
      <w:bookmarkStart w:id="845" w:name="_Toc464466715"/>
      <w:bookmarkStart w:id="846" w:name="_Toc464645432"/>
      <w:bookmarkStart w:id="847" w:name="_Toc465205590"/>
      <w:r>
        <w:br w:type="page"/>
      </w:r>
    </w:p>
    <w:p w:rsidR="002B149E" w:rsidRDefault="002B149E" w:rsidP="00DE2BDB">
      <w:pPr>
        <w:pStyle w:val="Heading2"/>
        <w:numPr>
          <w:ilvl w:val="0"/>
          <w:numId w:val="0"/>
        </w:numPr>
      </w:pPr>
      <w:bookmarkStart w:id="848" w:name="_Toc23337505"/>
      <w:r w:rsidRPr="00D338FD">
        <w:t>Приложение № 5:</w:t>
      </w:r>
      <w:r w:rsidRPr="00BC7843">
        <w:t xml:space="preserve"> </w:t>
      </w:r>
      <w:r w:rsidR="006F7FE4">
        <w:br/>
      </w:r>
      <w:r w:rsidRPr="00B46E28">
        <w:t>Препоръчителни тавани на разходите по бюджетите на Народното събрание и н</w:t>
      </w:r>
      <w:r w:rsidR="00931F81">
        <w:t>а съдебната власт за периода 2020-2022</w:t>
      </w:r>
      <w:r w:rsidR="00AA3035" w:rsidRPr="00B46E28">
        <w:t> г.</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p>
    <w:p w:rsidR="00A63B35" w:rsidRDefault="00A63B35" w:rsidP="00A63B35">
      <w:pPr>
        <w:spacing w:after="120"/>
        <w:jc w:val="right"/>
        <w:rPr>
          <w:sz w:val="20"/>
          <w:szCs w:val="20"/>
        </w:rPr>
      </w:pPr>
      <w:r w:rsidRPr="005B6198">
        <w:rPr>
          <w:sz w:val="20"/>
          <w:szCs w:val="20"/>
        </w:rPr>
        <w:t>(в хил. лв.)</w:t>
      </w:r>
    </w:p>
    <w:tbl>
      <w:tblPr>
        <w:tblW w:w="14680" w:type="dxa"/>
        <w:tblInd w:w="55" w:type="dxa"/>
        <w:tblCellMar>
          <w:left w:w="70" w:type="dxa"/>
          <w:right w:w="70" w:type="dxa"/>
        </w:tblCellMar>
        <w:tblLook w:val="04A0" w:firstRow="1" w:lastRow="0" w:firstColumn="1" w:lastColumn="0" w:noHBand="0" w:noVBand="1"/>
      </w:tblPr>
      <w:tblGrid>
        <w:gridCol w:w="460"/>
        <w:gridCol w:w="8920"/>
        <w:gridCol w:w="1780"/>
        <w:gridCol w:w="1840"/>
        <w:gridCol w:w="1680"/>
      </w:tblGrid>
      <w:tr w:rsidR="0007569E" w:rsidRPr="0007569E" w:rsidTr="0007569E">
        <w:trPr>
          <w:trHeight w:val="345"/>
        </w:trPr>
        <w:tc>
          <w:tcPr>
            <w:tcW w:w="460" w:type="dxa"/>
            <w:tcBorders>
              <w:top w:val="single" w:sz="4" w:space="0" w:color="auto"/>
              <w:left w:val="nil"/>
              <w:bottom w:val="single" w:sz="4" w:space="0" w:color="auto"/>
              <w:right w:val="nil"/>
            </w:tcBorders>
            <w:shd w:val="clear" w:color="auto" w:fill="auto"/>
            <w:noWrap/>
            <w:hideMark/>
          </w:tcPr>
          <w:p w:rsidR="0007569E" w:rsidRPr="0007569E" w:rsidRDefault="0007569E" w:rsidP="0007569E">
            <w:pPr>
              <w:spacing w:after="0"/>
              <w:jc w:val="center"/>
              <w:rPr>
                <w:rFonts w:eastAsia="Times New Roman" w:cs="Times New Roman"/>
                <w:b/>
                <w:bCs/>
                <w:sz w:val="20"/>
                <w:szCs w:val="20"/>
              </w:rPr>
            </w:pPr>
            <w:r w:rsidRPr="0007569E">
              <w:rPr>
                <w:rFonts w:eastAsia="Times New Roman" w:cs="Times New Roman"/>
                <w:b/>
                <w:bCs/>
                <w:sz w:val="20"/>
                <w:szCs w:val="20"/>
              </w:rPr>
              <w:t>№</w:t>
            </w:r>
          </w:p>
        </w:tc>
        <w:tc>
          <w:tcPr>
            <w:tcW w:w="8920" w:type="dxa"/>
            <w:tcBorders>
              <w:top w:val="single" w:sz="4" w:space="0" w:color="auto"/>
              <w:left w:val="nil"/>
              <w:bottom w:val="single" w:sz="4" w:space="0" w:color="auto"/>
              <w:right w:val="nil"/>
            </w:tcBorders>
            <w:shd w:val="clear" w:color="auto" w:fill="auto"/>
            <w:noWrap/>
            <w:hideMark/>
          </w:tcPr>
          <w:p w:rsidR="0007569E" w:rsidRPr="0007569E" w:rsidRDefault="0007569E" w:rsidP="0007569E">
            <w:pPr>
              <w:spacing w:after="0"/>
              <w:jc w:val="center"/>
              <w:rPr>
                <w:rFonts w:eastAsia="Times New Roman" w:cs="Times New Roman"/>
                <w:b/>
                <w:bCs/>
                <w:sz w:val="20"/>
                <w:szCs w:val="20"/>
              </w:rPr>
            </w:pPr>
            <w:r w:rsidRPr="0007569E">
              <w:rPr>
                <w:rFonts w:eastAsia="Times New Roman" w:cs="Times New Roman"/>
                <w:b/>
                <w:bCs/>
                <w:sz w:val="20"/>
                <w:szCs w:val="20"/>
              </w:rPr>
              <w:t>Бюджетни организации</w:t>
            </w:r>
          </w:p>
        </w:tc>
        <w:tc>
          <w:tcPr>
            <w:tcW w:w="1780" w:type="dxa"/>
            <w:tcBorders>
              <w:top w:val="single" w:sz="4" w:space="0" w:color="auto"/>
              <w:left w:val="nil"/>
              <w:bottom w:val="single" w:sz="4" w:space="0" w:color="auto"/>
              <w:right w:val="nil"/>
            </w:tcBorders>
            <w:shd w:val="clear" w:color="auto" w:fill="auto"/>
            <w:noWrap/>
            <w:hideMark/>
          </w:tcPr>
          <w:p w:rsidR="0007569E" w:rsidRPr="0007569E" w:rsidRDefault="0007569E" w:rsidP="0007569E">
            <w:pPr>
              <w:spacing w:after="0"/>
              <w:jc w:val="center"/>
              <w:rPr>
                <w:rFonts w:eastAsia="Times New Roman" w:cs="Times New Roman"/>
                <w:b/>
                <w:bCs/>
                <w:sz w:val="20"/>
                <w:szCs w:val="20"/>
              </w:rPr>
            </w:pPr>
            <w:r w:rsidRPr="0007569E">
              <w:rPr>
                <w:rFonts w:eastAsia="Times New Roman" w:cs="Times New Roman"/>
                <w:b/>
                <w:bCs/>
                <w:sz w:val="20"/>
                <w:szCs w:val="20"/>
              </w:rPr>
              <w:t>2020 г.</w:t>
            </w:r>
          </w:p>
        </w:tc>
        <w:tc>
          <w:tcPr>
            <w:tcW w:w="1840" w:type="dxa"/>
            <w:tcBorders>
              <w:top w:val="single" w:sz="4" w:space="0" w:color="auto"/>
              <w:left w:val="nil"/>
              <w:bottom w:val="single" w:sz="4" w:space="0" w:color="auto"/>
              <w:right w:val="nil"/>
            </w:tcBorders>
            <w:shd w:val="clear" w:color="auto" w:fill="auto"/>
            <w:noWrap/>
            <w:hideMark/>
          </w:tcPr>
          <w:p w:rsidR="0007569E" w:rsidRPr="0007569E" w:rsidRDefault="0007569E" w:rsidP="0007569E">
            <w:pPr>
              <w:spacing w:after="0"/>
              <w:jc w:val="center"/>
              <w:rPr>
                <w:rFonts w:eastAsia="Times New Roman" w:cs="Times New Roman"/>
                <w:b/>
                <w:bCs/>
                <w:sz w:val="20"/>
                <w:szCs w:val="20"/>
              </w:rPr>
            </w:pPr>
            <w:r w:rsidRPr="0007569E">
              <w:rPr>
                <w:rFonts w:eastAsia="Times New Roman" w:cs="Times New Roman"/>
                <w:b/>
                <w:bCs/>
                <w:sz w:val="20"/>
                <w:szCs w:val="20"/>
              </w:rPr>
              <w:t>2021 г.</w:t>
            </w:r>
          </w:p>
        </w:tc>
        <w:tc>
          <w:tcPr>
            <w:tcW w:w="1680" w:type="dxa"/>
            <w:tcBorders>
              <w:top w:val="single" w:sz="4" w:space="0" w:color="auto"/>
              <w:left w:val="nil"/>
              <w:bottom w:val="single" w:sz="4" w:space="0" w:color="auto"/>
              <w:right w:val="nil"/>
            </w:tcBorders>
            <w:shd w:val="clear" w:color="auto" w:fill="auto"/>
            <w:noWrap/>
            <w:hideMark/>
          </w:tcPr>
          <w:p w:rsidR="0007569E" w:rsidRPr="0007569E" w:rsidRDefault="0007569E" w:rsidP="0007569E">
            <w:pPr>
              <w:spacing w:after="0"/>
              <w:jc w:val="center"/>
              <w:rPr>
                <w:rFonts w:eastAsia="Times New Roman" w:cs="Times New Roman"/>
                <w:b/>
                <w:bCs/>
                <w:sz w:val="20"/>
                <w:szCs w:val="20"/>
              </w:rPr>
            </w:pPr>
            <w:r w:rsidRPr="0007569E">
              <w:rPr>
                <w:rFonts w:eastAsia="Times New Roman" w:cs="Times New Roman"/>
                <w:b/>
                <w:bCs/>
                <w:sz w:val="20"/>
                <w:szCs w:val="20"/>
              </w:rPr>
              <w:t>2022 г.</w:t>
            </w:r>
          </w:p>
        </w:tc>
      </w:tr>
      <w:tr w:rsidR="0007569E" w:rsidRPr="0007569E" w:rsidTr="0007569E">
        <w:trPr>
          <w:trHeight w:val="319"/>
        </w:trPr>
        <w:tc>
          <w:tcPr>
            <w:tcW w:w="460" w:type="dxa"/>
            <w:tcBorders>
              <w:top w:val="nil"/>
              <w:left w:val="nil"/>
              <w:bottom w:val="nil"/>
              <w:right w:val="nil"/>
            </w:tcBorders>
            <w:shd w:val="clear" w:color="auto" w:fill="auto"/>
            <w:noWrap/>
            <w:hideMark/>
          </w:tcPr>
          <w:p w:rsidR="0007569E" w:rsidRPr="0007569E" w:rsidRDefault="0007569E" w:rsidP="0007569E">
            <w:pPr>
              <w:spacing w:after="0"/>
              <w:jc w:val="right"/>
              <w:rPr>
                <w:rFonts w:eastAsia="Times New Roman" w:cs="Times New Roman"/>
                <w:sz w:val="20"/>
                <w:szCs w:val="20"/>
              </w:rPr>
            </w:pPr>
            <w:r w:rsidRPr="0007569E">
              <w:rPr>
                <w:rFonts w:eastAsia="Times New Roman" w:cs="Times New Roman"/>
                <w:sz w:val="20"/>
                <w:szCs w:val="20"/>
              </w:rPr>
              <w:t>1</w:t>
            </w:r>
          </w:p>
        </w:tc>
        <w:tc>
          <w:tcPr>
            <w:tcW w:w="8920" w:type="dxa"/>
            <w:tcBorders>
              <w:top w:val="nil"/>
              <w:left w:val="nil"/>
              <w:bottom w:val="nil"/>
              <w:right w:val="nil"/>
            </w:tcBorders>
            <w:shd w:val="clear" w:color="auto" w:fill="auto"/>
            <w:noWrap/>
            <w:hideMark/>
          </w:tcPr>
          <w:p w:rsidR="0007569E" w:rsidRPr="0007569E" w:rsidRDefault="0007569E" w:rsidP="0007569E">
            <w:pPr>
              <w:spacing w:after="0"/>
              <w:jc w:val="left"/>
              <w:rPr>
                <w:rFonts w:eastAsia="Times New Roman" w:cs="Times New Roman"/>
                <w:sz w:val="20"/>
                <w:szCs w:val="20"/>
              </w:rPr>
            </w:pPr>
            <w:r w:rsidRPr="0007569E">
              <w:rPr>
                <w:rFonts w:eastAsia="Times New Roman" w:cs="Times New Roman"/>
                <w:sz w:val="20"/>
                <w:szCs w:val="20"/>
              </w:rPr>
              <w:t>Народно събрание</w:t>
            </w:r>
          </w:p>
        </w:tc>
        <w:tc>
          <w:tcPr>
            <w:tcW w:w="1780" w:type="dxa"/>
            <w:tcBorders>
              <w:top w:val="nil"/>
              <w:left w:val="nil"/>
              <w:bottom w:val="nil"/>
              <w:right w:val="nil"/>
            </w:tcBorders>
            <w:shd w:val="clear" w:color="auto" w:fill="auto"/>
            <w:noWrap/>
            <w:hideMark/>
          </w:tcPr>
          <w:p w:rsidR="0007569E" w:rsidRPr="0007569E" w:rsidRDefault="0007569E" w:rsidP="0007569E">
            <w:pPr>
              <w:spacing w:after="0"/>
              <w:jc w:val="right"/>
              <w:rPr>
                <w:rFonts w:eastAsia="Times New Roman" w:cs="Times New Roman"/>
                <w:sz w:val="20"/>
                <w:szCs w:val="20"/>
              </w:rPr>
            </w:pPr>
            <w:r w:rsidRPr="0007569E">
              <w:rPr>
                <w:rFonts w:eastAsia="Times New Roman" w:cs="Times New Roman"/>
                <w:sz w:val="20"/>
                <w:szCs w:val="20"/>
              </w:rPr>
              <w:t>80 752,2</w:t>
            </w:r>
          </w:p>
        </w:tc>
        <w:tc>
          <w:tcPr>
            <w:tcW w:w="1840" w:type="dxa"/>
            <w:tcBorders>
              <w:top w:val="nil"/>
              <w:left w:val="nil"/>
              <w:bottom w:val="nil"/>
              <w:right w:val="nil"/>
            </w:tcBorders>
            <w:shd w:val="clear" w:color="auto" w:fill="auto"/>
            <w:noWrap/>
            <w:hideMark/>
          </w:tcPr>
          <w:p w:rsidR="0007569E" w:rsidRPr="0007569E" w:rsidRDefault="0007569E" w:rsidP="0007569E">
            <w:pPr>
              <w:spacing w:after="0"/>
              <w:jc w:val="right"/>
              <w:rPr>
                <w:rFonts w:eastAsia="Times New Roman" w:cs="Times New Roman"/>
                <w:sz w:val="20"/>
                <w:szCs w:val="20"/>
              </w:rPr>
            </w:pPr>
            <w:r w:rsidRPr="0007569E">
              <w:rPr>
                <w:rFonts w:eastAsia="Times New Roman" w:cs="Times New Roman"/>
                <w:sz w:val="20"/>
                <w:szCs w:val="20"/>
              </w:rPr>
              <w:t>80 752,2</w:t>
            </w:r>
          </w:p>
        </w:tc>
        <w:tc>
          <w:tcPr>
            <w:tcW w:w="1680" w:type="dxa"/>
            <w:tcBorders>
              <w:top w:val="nil"/>
              <w:left w:val="nil"/>
              <w:bottom w:val="nil"/>
              <w:right w:val="nil"/>
            </w:tcBorders>
            <w:shd w:val="clear" w:color="auto" w:fill="auto"/>
            <w:noWrap/>
            <w:hideMark/>
          </w:tcPr>
          <w:p w:rsidR="0007569E" w:rsidRPr="0007569E" w:rsidRDefault="0007569E" w:rsidP="0007569E">
            <w:pPr>
              <w:spacing w:after="0"/>
              <w:jc w:val="right"/>
              <w:rPr>
                <w:rFonts w:eastAsia="Times New Roman" w:cs="Times New Roman"/>
                <w:sz w:val="20"/>
                <w:szCs w:val="20"/>
              </w:rPr>
            </w:pPr>
            <w:r w:rsidRPr="0007569E">
              <w:rPr>
                <w:rFonts w:eastAsia="Times New Roman" w:cs="Times New Roman"/>
                <w:sz w:val="20"/>
                <w:szCs w:val="20"/>
              </w:rPr>
              <w:t>80 752,2</w:t>
            </w:r>
          </w:p>
        </w:tc>
      </w:tr>
      <w:tr w:rsidR="0007569E" w:rsidRPr="0007569E" w:rsidTr="0007569E">
        <w:trPr>
          <w:trHeight w:val="319"/>
        </w:trPr>
        <w:tc>
          <w:tcPr>
            <w:tcW w:w="460" w:type="dxa"/>
            <w:tcBorders>
              <w:top w:val="nil"/>
              <w:left w:val="nil"/>
              <w:bottom w:val="single" w:sz="4" w:space="0" w:color="auto"/>
              <w:right w:val="nil"/>
            </w:tcBorders>
            <w:shd w:val="clear" w:color="auto" w:fill="auto"/>
            <w:noWrap/>
            <w:hideMark/>
          </w:tcPr>
          <w:p w:rsidR="0007569E" w:rsidRPr="0007569E" w:rsidRDefault="0007569E" w:rsidP="0007569E">
            <w:pPr>
              <w:spacing w:after="0"/>
              <w:jc w:val="right"/>
              <w:rPr>
                <w:rFonts w:eastAsia="Times New Roman" w:cs="Times New Roman"/>
                <w:sz w:val="20"/>
                <w:szCs w:val="20"/>
              </w:rPr>
            </w:pPr>
            <w:r w:rsidRPr="0007569E">
              <w:rPr>
                <w:rFonts w:eastAsia="Times New Roman" w:cs="Times New Roman"/>
                <w:sz w:val="20"/>
                <w:szCs w:val="20"/>
              </w:rPr>
              <w:t>2</w:t>
            </w:r>
          </w:p>
        </w:tc>
        <w:tc>
          <w:tcPr>
            <w:tcW w:w="8920" w:type="dxa"/>
            <w:tcBorders>
              <w:top w:val="nil"/>
              <w:left w:val="nil"/>
              <w:bottom w:val="single" w:sz="4" w:space="0" w:color="auto"/>
              <w:right w:val="nil"/>
            </w:tcBorders>
            <w:shd w:val="clear" w:color="auto" w:fill="auto"/>
            <w:noWrap/>
            <w:hideMark/>
          </w:tcPr>
          <w:p w:rsidR="0007569E" w:rsidRPr="0007569E" w:rsidRDefault="0007569E" w:rsidP="0007569E">
            <w:pPr>
              <w:spacing w:after="0"/>
              <w:jc w:val="left"/>
              <w:rPr>
                <w:rFonts w:eastAsia="Times New Roman" w:cs="Times New Roman"/>
                <w:sz w:val="20"/>
                <w:szCs w:val="20"/>
              </w:rPr>
            </w:pPr>
            <w:r w:rsidRPr="0007569E">
              <w:rPr>
                <w:rFonts w:eastAsia="Times New Roman" w:cs="Times New Roman"/>
                <w:sz w:val="20"/>
                <w:szCs w:val="20"/>
              </w:rPr>
              <w:t>Висш съдебен съвет</w:t>
            </w:r>
          </w:p>
        </w:tc>
        <w:tc>
          <w:tcPr>
            <w:tcW w:w="1780" w:type="dxa"/>
            <w:tcBorders>
              <w:top w:val="nil"/>
              <w:left w:val="nil"/>
              <w:bottom w:val="single" w:sz="4" w:space="0" w:color="auto"/>
              <w:right w:val="nil"/>
            </w:tcBorders>
            <w:shd w:val="clear" w:color="auto" w:fill="auto"/>
            <w:noWrap/>
            <w:hideMark/>
          </w:tcPr>
          <w:p w:rsidR="0007569E" w:rsidRPr="0007569E" w:rsidRDefault="0007569E" w:rsidP="0007569E">
            <w:pPr>
              <w:spacing w:after="0"/>
              <w:jc w:val="right"/>
              <w:rPr>
                <w:rFonts w:eastAsia="Times New Roman" w:cs="Times New Roman"/>
                <w:sz w:val="20"/>
                <w:szCs w:val="20"/>
              </w:rPr>
            </w:pPr>
            <w:r w:rsidRPr="0007569E">
              <w:rPr>
                <w:rFonts w:eastAsia="Times New Roman" w:cs="Times New Roman"/>
                <w:sz w:val="20"/>
                <w:szCs w:val="20"/>
              </w:rPr>
              <w:t>771 317,0</w:t>
            </w:r>
          </w:p>
        </w:tc>
        <w:tc>
          <w:tcPr>
            <w:tcW w:w="1840" w:type="dxa"/>
            <w:tcBorders>
              <w:top w:val="nil"/>
              <w:left w:val="nil"/>
              <w:bottom w:val="single" w:sz="4" w:space="0" w:color="auto"/>
              <w:right w:val="nil"/>
            </w:tcBorders>
            <w:shd w:val="clear" w:color="auto" w:fill="auto"/>
            <w:noWrap/>
            <w:hideMark/>
          </w:tcPr>
          <w:p w:rsidR="0007569E" w:rsidRPr="0007569E" w:rsidRDefault="0007569E" w:rsidP="0007569E">
            <w:pPr>
              <w:spacing w:after="0"/>
              <w:jc w:val="right"/>
              <w:rPr>
                <w:rFonts w:eastAsia="Times New Roman" w:cs="Times New Roman"/>
                <w:sz w:val="20"/>
                <w:szCs w:val="20"/>
              </w:rPr>
            </w:pPr>
            <w:r w:rsidRPr="0007569E">
              <w:rPr>
                <w:rFonts w:eastAsia="Times New Roman" w:cs="Times New Roman"/>
                <w:sz w:val="20"/>
                <w:szCs w:val="20"/>
              </w:rPr>
              <w:t>771 317,0</w:t>
            </w:r>
          </w:p>
        </w:tc>
        <w:tc>
          <w:tcPr>
            <w:tcW w:w="1680" w:type="dxa"/>
            <w:tcBorders>
              <w:top w:val="nil"/>
              <w:left w:val="nil"/>
              <w:bottom w:val="single" w:sz="4" w:space="0" w:color="auto"/>
              <w:right w:val="nil"/>
            </w:tcBorders>
            <w:shd w:val="clear" w:color="auto" w:fill="auto"/>
            <w:noWrap/>
            <w:hideMark/>
          </w:tcPr>
          <w:p w:rsidR="0007569E" w:rsidRPr="0007569E" w:rsidRDefault="0007569E" w:rsidP="0007569E">
            <w:pPr>
              <w:spacing w:after="0"/>
              <w:jc w:val="right"/>
              <w:rPr>
                <w:rFonts w:eastAsia="Times New Roman" w:cs="Times New Roman"/>
                <w:sz w:val="20"/>
                <w:szCs w:val="20"/>
              </w:rPr>
            </w:pPr>
            <w:r w:rsidRPr="0007569E">
              <w:rPr>
                <w:rFonts w:eastAsia="Times New Roman" w:cs="Times New Roman"/>
                <w:sz w:val="20"/>
                <w:szCs w:val="20"/>
              </w:rPr>
              <w:t>771 317,0</w:t>
            </w:r>
          </w:p>
        </w:tc>
      </w:tr>
    </w:tbl>
    <w:p w:rsidR="0007569E" w:rsidRDefault="0007569E" w:rsidP="00A63B35">
      <w:pPr>
        <w:spacing w:after="120"/>
        <w:jc w:val="right"/>
        <w:rPr>
          <w:sz w:val="20"/>
          <w:szCs w:val="20"/>
        </w:rPr>
      </w:pPr>
    </w:p>
    <w:p w:rsidR="002B149E" w:rsidRDefault="002B149E" w:rsidP="00DE2BDB">
      <w:pPr>
        <w:pStyle w:val="Heading2"/>
        <w:numPr>
          <w:ilvl w:val="0"/>
          <w:numId w:val="0"/>
        </w:numPr>
      </w:pPr>
      <w:bookmarkStart w:id="849" w:name="_Toc464224828"/>
      <w:bookmarkStart w:id="850" w:name="_Toc464225478"/>
      <w:bookmarkStart w:id="851" w:name="_Toc464459025"/>
      <w:bookmarkStart w:id="852" w:name="_Toc464459773"/>
      <w:bookmarkStart w:id="853" w:name="_Toc464460726"/>
      <w:bookmarkStart w:id="854" w:name="_Toc464463125"/>
      <w:bookmarkStart w:id="855" w:name="_Toc464464954"/>
      <w:bookmarkStart w:id="856" w:name="_Toc464465461"/>
      <w:bookmarkStart w:id="857" w:name="_Toc464465649"/>
      <w:bookmarkStart w:id="858" w:name="_Toc464466473"/>
      <w:bookmarkStart w:id="859" w:name="_Toc464466716"/>
      <w:bookmarkStart w:id="860" w:name="_Toc464645433"/>
      <w:bookmarkStart w:id="861" w:name="_Toc465205591"/>
      <w:bookmarkStart w:id="862" w:name="_Toc23337506"/>
      <w:r w:rsidRPr="00BC7843">
        <w:t xml:space="preserve">Приложение № 6: </w:t>
      </w:r>
      <w:r w:rsidR="0002045D">
        <w:br/>
      </w:r>
      <w:r w:rsidR="001C02F3" w:rsidRPr="00B46E28">
        <w:t>Р</w:t>
      </w:r>
      <w:r w:rsidRPr="00B46E28">
        <w:t>азмери на бюджетните взаимоотношения (трансферите) на държавния бюджет с бю</w:t>
      </w:r>
      <w:r w:rsidR="008F3D61" w:rsidRPr="00B46E28">
        <w:t>джетите на БНТ, БНР, БТА, БАН, държавните висши училища</w:t>
      </w:r>
      <w:r w:rsidR="00931F81">
        <w:t xml:space="preserve"> и</w:t>
      </w:r>
      <w:r w:rsidR="008F3D61" w:rsidRPr="00B46E28">
        <w:t xml:space="preserve"> д</w:t>
      </w:r>
      <w:r w:rsidRPr="00B46E28">
        <w:t xml:space="preserve">ържавните висши военни училища </w:t>
      </w:r>
      <w:r w:rsidR="00931F81">
        <w:t>за периода 2020-2022</w:t>
      </w:r>
      <w:r w:rsidR="00AA3035" w:rsidRPr="00B46E28">
        <w:t> г.</w:t>
      </w:r>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p>
    <w:p w:rsidR="00A63B35" w:rsidRDefault="00A63B35" w:rsidP="00A63B35">
      <w:pPr>
        <w:spacing w:after="120"/>
        <w:jc w:val="right"/>
        <w:rPr>
          <w:sz w:val="20"/>
          <w:szCs w:val="20"/>
        </w:rPr>
      </w:pPr>
      <w:r w:rsidRPr="005B6198">
        <w:rPr>
          <w:sz w:val="20"/>
          <w:szCs w:val="20"/>
        </w:rPr>
        <w:t>(в хил. лв.)</w:t>
      </w:r>
    </w:p>
    <w:tbl>
      <w:tblPr>
        <w:tblW w:w="14600" w:type="dxa"/>
        <w:tblInd w:w="55" w:type="dxa"/>
        <w:tblCellMar>
          <w:left w:w="70" w:type="dxa"/>
          <w:right w:w="70" w:type="dxa"/>
        </w:tblCellMar>
        <w:tblLook w:val="04A0" w:firstRow="1" w:lastRow="0" w:firstColumn="1" w:lastColumn="0" w:noHBand="0" w:noVBand="1"/>
      </w:tblPr>
      <w:tblGrid>
        <w:gridCol w:w="460"/>
        <w:gridCol w:w="9340"/>
        <w:gridCol w:w="1600"/>
        <w:gridCol w:w="1600"/>
        <w:gridCol w:w="1600"/>
      </w:tblGrid>
      <w:tr w:rsidR="0026533E" w:rsidRPr="0026533E" w:rsidTr="0026533E">
        <w:trPr>
          <w:trHeight w:val="330"/>
        </w:trPr>
        <w:tc>
          <w:tcPr>
            <w:tcW w:w="460" w:type="dxa"/>
            <w:tcBorders>
              <w:top w:val="single" w:sz="4" w:space="0" w:color="auto"/>
              <w:left w:val="nil"/>
              <w:bottom w:val="single" w:sz="4" w:space="0" w:color="auto"/>
              <w:right w:val="nil"/>
            </w:tcBorders>
            <w:shd w:val="clear" w:color="auto" w:fill="auto"/>
            <w:noWrap/>
            <w:hideMark/>
          </w:tcPr>
          <w:p w:rsidR="0026533E" w:rsidRPr="0026533E" w:rsidRDefault="0026533E" w:rsidP="0026533E">
            <w:pPr>
              <w:spacing w:after="0"/>
              <w:jc w:val="center"/>
              <w:rPr>
                <w:rFonts w:eastAsia="Times New Roman" w:cs="Times New Roman"/>
                <w:b/>
                <w:bCs/>
                <w:sz w:val="20"/>
                <w:szCs w:val="20"/>
              </w:rPr>
            </w:pPr>
            <w:r w:rsidRPr="0026533E">
              <w:rPr>
                <w:rFonts w:eastAsia="Times New Roman" w:cs="Times New Roman"/>
                <w:b/>
                <w:bCs/>
                <w:sz w:val="20"/>
                <w:szCs w:val="20"/>
              </w:rPr>
              <w:t>№</w:t>
            </w:r>
          </w:p>
        </w:tc>
        <w:tc>
          <w:tcPr>
            <w:tcW w:w="9340" w:type="dxa"/>
            <w:tcBorders>
              <w:top w:val="single" w:sz="4" w:space="0" w:color="auto"/>
              <w:left w:val="nil"/>
              <w:bottom w:val="single" w:sz="4" w:space="0" w:color="auto"/>
              <w:right w:val="nil"/>
            </w:tcBorders>
            <w:shd w:val="clear" w:color="auto" w:fill="auto"/>
            <w:noWrap/>
            <w:hideMark/>
          </w:tcPr>
          <w:p w:rsidR="0026533E" w:rsidRPr="0026533E" w:rsidRDefault="0026533E" w:rsidP="0026533E">
            <w:pPr>
              <w:spacing w:after="0"/>
              <w:jc w:val="center"/>
              <w:rPr>
                <w:rFonts w:eastAsia="Times New Roman" w:cs="Times New Roman"/>
                <w:b/>
                <w:bCs/>
                <w:sz w:val="20"/>
                <w:szCs w:val="20"/>
              </w:rPr>
            </w:pPr>
            <w:r w:rsidRPr="0026533E">
              <w:rPr>
                <w:rFonts w:eastAsia="Times New Roman" w:cs="Times New Roman"/>
                <w:b/>
                <w:bCs/>
                <w:sz w:val="20"/>
                <w:szCs w:val="20"/>
              </w:rPr>
              <w:t>Бюджетни взаимоотношения (трансфери)</w:t>
            </w:r>
          </w:p>
        </w:tc>
        <w:tc>
          <w:tcPr>
            <w:tcW w:w="1600" w:type="dxa"/>
            <w:tcBorders>
              <w:top w:val="single" w:sz="4" w:space="0" w:color="auto"/>
              <w:left w:val="nil"/>
              <w:bottom w:val="single" w:sz="4" w:space="0" w:color="auto"/>
              <w:right w:val="nil"/>
            </w:tcBorders>
            <w:shd w:val="clear" w:color="auto" w:fill="auto"/>
            <w:hideMark/>
          </w:tcPr>
          <w:p w:rsidR="0026533E" w:rsidRPr="0026533E" w:rsidRDefault="0026533E" w:rsidP="0026533E">
            <w:pPr>
              <w:spacing w:after="0"/>
              <w:jc w:val="center"/>
              <w:rPr>
                <w:rFonts w:eastAsia="Times New Roman" w:cs="Times New Roman"/>
                <w:b/>
                <w:bCs/>
                <w:sz w:val="20"/>
                <w:szCs w:val="20"/>
              </w:rPr>
            </w:pPr>
            <w:r w:rsidRPr="0026533E">
              <w:rPr>
                <w:rFonts w:eastAsia="Times New Roman" w:cs="Times New Roman"/>
                <w:b/>
                <w:bCs/>
                <w:sz w:val="20"/>
                <w:szCs w:val="20"/>
              </w:rPr>
              <w:t>2020 г.</w:t>
            </w:r>
          </w:p>
        </w:tc>
        <w:tc>
          <w:tcPr>
            <w:tcW w:w="1600" w:type="dxa"/>
            <w:tcBorders>
              <w:top w:val="single" w:sz="4" w:space="0" w:color="auto"/>
              <w:left w:val="nil"/>
              <w:bottom w:val="single" w:sz="4" w:space="0" w:color="auto"/>
              <w:right w:val="nil"/>
            </w:tcBorders>
            <w:shd w:val="clear" w:color="auto" w:fill="auto"/>
            <w:hideMark/>
          </w:tcPr>
          <w:p w:rsidR="0026533E" w:rsidRPr="0026533E" w:rsidRDefault="0026533E" w:rsidP="0026533E">
            <w:pPr>
              <w:spacing w:after="0"/>
              <w:jc w:val="center"/>
              <w:rPr>
                <w:rFonts w:eastAsia="Times New Roman" w:cs="Times New Roman"/>
                <w:b/>
                <w:bCs/>
                <w:sz w:val="20"/>
                <w:szCs w:val="20"/>
              </w:rPr>
            </w:pPr>
            <w:r w:rsidRPr="0026533E">
              <w:rPr>
                <w:rFonts w:eastAsia="Times New Roman" w:cs="Times New Roman"/>
                <w:b/>
                <w:bCs/>
                <w:sz w:val="20"/>
                <w:szCs w:val="20"/>
              </w:rPr>
              <w:t>2021 г.</w:t>
            </w:r>
          </w:p>
        </w:tc>
        <w:tc>
          <w:tcPr>
            <w:tcW w:w="1600" w:type="dxa"/>
            <w:tcBorders>
              <w:top w:val="single" w:sz="4" w:space="0" w:color="auto"/>
              <w:left w:val="nil"/>
              <w:bottom w:val="single" w:sz="4" w:space="0" w:color="auto"/>
              <w:right w:val="nil"/>
            </w:tcBorders>
            <w:shd w:val="clear" w:color="auto" w:fill="auto"/>
            <w:hideMark/>
          </w:tcPr>
          <w:p w:rsidR="0026533E" w:rsidRPr="0026533E" w:rsidRDefault="0026533E" w:rsidP="0026533E">
            <w:pPr>
              <w:spacing w:after="0"/>
              <w:jc w:val="center"/>
              <w:rPr>
                <w:rFonts w:eastAsia="Times New Roman" w:cs="Times New Roman"/>
                <w:b/>
                <w:bCs/>
                <w:sz w:val="20"/>
                <w:szCs w:val="20"/>
              </w:rPr>
            </w:pPr>
            <w:r w:rsidRPr="0026533E">
              <w:rPr>
                <w:rFonts w:eastAsia="Times New Roman" w:cs="Times New Roman"/>
                <w:b/>
                <w:bCs/>
                <w:sz w:val="20"/>
                <w:szCs w:val="20"/>
              </w:rPr>
              <w:t>2022 г.</w:t>
            </w:r>
          </w:p>
        </w:tc>
      </w:tr>
      <w:tr w:rsidR="0026533E" w:rsidRPr="0026533E" w:rsidTr="0026533E">
        <w:trPr>
          <w:trHeight w:val="259"/>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1</w:t>
            </w:r>
          </w:p>
        </w:tc>
        <w:tc>
          <w:tcPr>
            <w:tcW w:w="9340" w:type="dxa"/>
            <w:tcBorders>
              <w:top w:val="nil"/>
              <w:left w:val="nil"/>
              <w:bottom w:val="nil"/>
              <w:right w:val="nil"/>
            </w:tcBorders>
            <w:shd w:val="clear" w:color="auto" w:fill="auto"/>
            <w:hideMark/>
          </w:tcPr>
          <w:p w:rsidR="0026533E" w:rsidRPr="0026533E" w:rsidRDefault="0026533E" w:rsidP="0026533E">
            <w:pPr>
              <w:spacing w:after="0"/>
              <w:jc w:val="left"/>
              <w:rPr>
                <w:rFonts w:eastAsia="Times New Roman" w:cs="Times New Roman"/>
                <w:sz w:val="20"/>
                <w:szCs w:val="20"/>
              </w:rPr>
            </w:pPr>
            <w:r w:rsidRPr="0026533E">
              <w:rPr>
                <w:rFonts w:eastAsia="Times New Roman" w:cs="Times New Roman"/>
                <w:sz w:val="20"/>
                <w:szCs w:val="20"/>
              </w:rPr>
              <w:t>Предоставени трансфери от централния бюджет за бюджета на Българската национална телевизия</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70 907,1</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70 944,7</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70 944,7</w:t>
            </w:r>
          </w:p>
        </w:tc>
      </w:tr>
      <w:tr w:rsidR="0026533E" w:rsidRPr="0026533E" w:rsidTr="0026533E">
        <w:trPr>
          <w:trHeight w:val="259"/>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p>
        </w:tc>
        <w:tc>
          <w:tcPr>
            <w:tcW w:w="9340" w:type="dxa"/>
            <w:tcBorders>
              <w:top w:val="nil"/>
              <w:left w:val="nil"/>
              <w:bottom w:val="nil"/>
              <w:right w:val="nil"/>
            </w:tcBorders>
            <w:shd w:val="clear" w:color="auto" w:fill="auto"/>
            <w:hideMark/>
          </w:tcPr>
          <w:p w:rsidR="0026533E" w:rsidRPr="0026533E" w:rsidRDefault="0026533E" w:rsidP="0026533E">
            <w:pPr>
              <w:spacing w:after="0"/>
              <w:ind w:firstLineChars="100" w:firstLine="200"/>
              <w:jc w:val="left"/>
              <w:rPr>
                <w:rFonts w:eastAsia="Times New Roman" w:cs="Times New Roman"/>
                <w:sz w:val="20"/>
                <w:szCs w:val="20"/>
              </w:rPr>
            </w:pPr>
            <w:r w:rsidRPr="0026533E">
              <w:rPr>
                <w:rFonts w:eastAsia="Times New Roman" w:cs="Times New Roman"/>
                <w:sz w:val="20"/>
                <w:szCs w:val="20"/>
              </w:rPr>
              <w:t>в т.ч. по чл.70, ал.4, т.2 от Закона за радиото и телевизията</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6 100,0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6 100,0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6 100,0</w:t>
            </w:r>
          </w:p>
        </w:tc>
      </w:tr>
      <w:tr w:rsidR="0026533E" w:rsidRPr="0026533E" w:rsidTr="0026533E">
        <w:trPr>
          <w:trHeight w:val="300"/>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2</w:t>
            </w:r>
          </w:p>
        </w:tc>
        <w:tc>
          <w:tcPr>
            <w:tcW w:w="9340" w:type="dxa"/>
            <w:tcBorders>
              <w:top w:val="nil"/>
              <w:left w:val="nil"/>
              <w:bottom w:val="nil"/>
              <w:right w:val="nil"/>
            </w:tcBorders>
            <w:shd w:val="clear" w:color="auto" w:fill="auto"/>
            <w:hideMark/>
          </w:tcPr>
          <w:p w:rsidR="0026533E" w:rsidRPr="0026533E" w:rsidRDefault="0026533E" w:rsidP="0026533E">
            <w:pPr>
              <w:spacing w:after="0"/>
              <w:jc w:val="left"/>
              <w:rPr>
                <w:rFonts w:eastAsia="Times New Roman" w:cs="Times New Roman"/>
                <w:sz w:val="20"/>
                <w:szCs w:val="20"/>
              </w:rPr>
            </w:pPr>
            <w:r w:rsidRPr="0026533E">
              <w:rPr>
                <w:rFonts w:eastAsia="Times New Roman" w:cs="Times New Roman"/>
                <w:sz w:val="20"/>
                <w:szCs w:val="20"/>
              </w:rPr>
              <w:t>Предоставени трансфери от централния бюджет за бюджета на Българското национално радио</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47 044,9</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47 232,2</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47 232,2</w:t>
            </w:r>
          </w:p>
        </w:tc>
      </w:tr>
      <w:tr w:rsidR="0026533E" w:rsidRPr="0026533E" w:rsidTr="0026533E">
        <w:trPr>
          <w:trHeight w:val="259"/>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p>
        </w:tc>
        <w:tc>
          <w:tcPr>
            <w:tcW w:w="9340" w:type="dxa"/>
            <w:tcBorders>
              <w:top w:val="nil"/>
              <w:left w:val="nil"/>
              <w:bottom w:val="nil"/>
              <w:right w:val="nil"/>
            </w:tcBorders>
            <w:shd w:val="clear" w:color="auto" w:fill="auto"/>
            <w:hideMark/>
          </w:tcPr>
          <w:p w:rsidR="0026533E" w:rsidRPr="0026533E" w:rsidRDefault="0026533E" w:rsidP="0026533E">
            <w:pPr>
              <w:spacing w:after="0"/>
              <w:ind w:firstLineChars="100" w:firstLine="200"/>
              <w:jc w:val="left"/>
              <w:rPr>
                <w:rFonts w:eastAsia="Times New Roman" w:cs="Times New Roman"/>
                <w:sz w:val="20"/>
                <w:szCs w:val="20"/>
              </w:rPr>
            </w:pPr>
            <w:r w:rsidRPr="0026533E">
              <w:rPr>
                <w:rFonts w:eastAsia="Times New Roman" w:cs="Times New Roman"/>
                <w:sz w:val="20"/>
                <w:szCs w:val="20"/>
              </w:rPr>
              <w:t>в т.ч. по чл.70, ал.4, т.2 от Закона за радиото и телевизията</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3 900,0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3 900,0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3 900,0</w:t>
            </w:r>
          </w:p>
        </w:tc>
      </w:tr>
      <w:tr w:rsidR="0026533E" w:rsidRPr="0026533E" w:rsidTr="0026533E">
        <w:trPr>
          <w:trHeight w:val="259"/>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3</w:t>
            </w:r>
          </w:p>
        </w:tc>
        <w:tc>
          <w:tcPr>
            <w:tcW w:w="9340" w:type="dxa"/>
            <w:tcBorders>
              <w:top w:val="nil"/>
              <w:left w:val="nil"/>
              <w:bottom w:val="nil"/>
              <w:right w:val="nil"/>
            </w:tcBorders>
            <w:shd w:val="clear" w:color="auto" w:fill="auto"/>
            <w:hideMark/>
          </w:tcPr>
          <w:p w:rsidR="0026533E" w:rsidRPr="0026533E" w:rsidRDefault="0026533E" w:rsidP="0026533E">
            <w:pPr>
              <w:spacing w:after="0"/>
              <w:jc w:val="left"/>
              <w:rPr>
                <w:rFonts w:eastAsia="Times New Roman" w:cs="Times New Roman"/>
                <w:sz w:val="20"/>
                <w:szCs w:val="20"/>
              </w:rPr>
            </w:pPr>
            <w:r w:rsidRPr="0026533E">
              <w:rPr>
                <w:rFonts w:eastAsia="Times New Roman" w:cs="Times New Roman"/>
                <w:sz w:val="20"/>
                <w:szCs w:val="20"/>
              </w:rPr>
              <w:t>Предоставени трансфери от централния бюджет за бюджета на Българската телеграфна агенция</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5 811,4</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5 815,3</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5 815,3</w:t>
            </w:r>
          </w:p>
        </w:tc>
      </w:tr>
      <w:tr w:rsidR="0026533E" w:rsidRPr="0026533E" w:rsidTr="0026533E">
        <w:trPr>
          <w:trHeight w:val="570"/>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4</w:t>
            </w:r>
          </w:p>
        </w:tc>
        <w:tc>
          <w:tcPr>
            <w:tcW w:w="9340" w:type="dxa"/>
            <w:tcBorders>
              <w:top w:val="nil"/>
              <w:left w:val="nil"/>
              <w:bottom w:val="nil"/>
              <w:right w:val="nil"/>
            </w:tcBorders>
            <w:shd w:val="clear" w:color="auto" w:fill="auto"/>
            <w:hideMark/>
          </w:tcPr>
          <w:p w:rsidR="0026533E" w:rsidRPr="0026533E" w:rsidRDefault="0026533E" w:rsidP="0026533E">
            <w:pPr>
              <w:spacing w:after="0"/>
              <w:jc w:val="left"/>
              <w:rPr>
                <w:rFonts w:eastAsia="Times New Roman" w:cs="Times New Roman"/>
                <w:sz w:val="20"/>
                <w:szCs w:val="20"/>
              </w:rPr>
            </w:pPr>
            <w:r w:rsidRPr="0026533E">
              <w:rPr>
                <w:rFonts w:eastAsia="Times New Roman" w:cs="Times New Roman"/>
                <w:sz w:val="20"/>
                <w:szCs w:val="20"/>
              </w:rPr>
              <w:t>Предоставени трансфери от бюджета на Министерството на образованието и науката за бюджетите на Българската академия на науките и държавните висши училища - общо</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604 822,9</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611 902,2</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611 902,2</w:t>
            </w:r>
          </w:p>
        </w:tc>
      </w:tr>
      <w:tr w:rsidR="0026533E" w:rsidRPr="0026533E" w:rsidTr="0026533E">
        <w:trPr>
          <w:trHeight w:val="259"/>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4.1</w:t>
            </w:r>
          </w:p>
        </w:tc>
        <w:tc>
          <w:tcPr>
            <w:tcW w:w="9340" w:type="dxa"/>
            <w:tcBorders>
              <w:top w:val="nil"/>
              <w:left w:val="nil"/>
              <w:bottom w:val="nil"/>
              <w:right w:val="nil"/>
            </w:tcBorders>
            <w:shd w:val="clear" w:color="auto" w:fill="auto"/>
            <w:hideMark/>
          </w:tcPr>
          <w:p w:rsidR="0026533E" w:rsidRPr="0026533E" w:rsidRDefault="0026533E" w:rsidP="0026533E">
            <w:pPr>
              <w:spacing w:after="0"/>
              <w:ind w:firstLineChars="200" w:firstLine="400"/>
              <w:jc w:val="left"/>
              <w:rPr>
                <w:rFonts w:eastAsia="Times New Roman" w:cs="Times New Roman"/>
                <w:sz w:val="20"/>
                <w:szCs w:val="20"/>
              </w:rPr>
            </w:pPr>
            <w:r w:rsidRPr="0026533E">
              <w:rPr>
                <w:rFonts w:eastAsia="Times New Roman" w:cs="Times New Roman"/>
                <w:sz w:val="20"/>
                <w:szCs w:val="20"/>
              </w:rPr>
              <w:t xml:space="preserve"> - за бюджета на Българската академия на науките</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105 611,0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109 329,2</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109 329,2</w:t>
            </w:r>
          </w:p>
        </w:tc>
      </w:tr>
      <w:tr w:rsidR="0026533E" w:rsidRPr="0026533E" w:rsidTr="0026533E">
        <w:trPr>
          <w:trHeight w:val="259"/>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4.2</w:t>
            </w:r>
          </w:p>
        </w:tc>
        <w:tc>
          <w:tcPr>
            <w:tcW w:w="9340" w:type="dxa"/>
            <w:tcBorders>
              <w:top w:val="nil"/>
              <w:left w:val="nil"/>
              <w:bottom w:val="nil"/>
              <w:right w:val="nil"/>
            </w:tcBorders>
            <w:shd w:val="clear" w:color="auto" w:fill="auto"/>
            <w:hideMark/>
          </w:tcPr>
          <w:p w:rsidR="0026533E" w:rsidRPr="0026533E" w:rsidRDefault="0026533E" w:rsidP="0026533E">
            <w:pPr>
              <w:spacing w:after="0"/>
              <w:ind w:firstLineChars="200" w:firstLine="400"/>
              <w:jc w:val="left"/>
              <w:rPr>
                <w:rFonts w:eastAsia="Times New Roman" w:cs="Times New Roman"/>
                <w:sz w:val="20"/>
                <w:szCs w:val="20"/>
              </w:rPr>
            </w:pPr>
            <w:r w:rsidRPr="0026533E">
              <w:rPr>
                <w:rFonts w:eastAsia="Times New Roman" w:cs="Times New Roman"/>
                <w:sz w:val="20"/>
                <w:szCs w:val="20"/>
              </w:rPr>
              <w:t xml:space="preserve"> - за бюджетите на държавните висши училища</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499 211,9</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502 573,0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502 573,0</w:t>
            </w:r>
          </w:p>
        </w:tc>
      </w:tr>
      <w:tr w:rsidR="0026533E" w:rsidRPr="0026533E" w:rsidTr="0026533E">
        <w:trPr>
          <w:trHeight w:val="540"/>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5</w:t>
            </w:r>
          </w:p>
        </w:tc>
        <w:tc>
          <w:tcPr>
            <w:tcW w:w="9340" w:type="dxa"/>
            <w:tcBorders>
              <w:top w:val="nil"/>
              <w:left w:val="nil"/>
              <w:bottom w:val="nil"/>
              <w:right w:val="nil"/>
            </w:tcBorders>
            <w:shd w:val="clear" w:color="auto" w:fill="auto"/>
            <w:hideMark/>
          </w:tcPr>
          <w:p w:rsidR="0026533E" w:rsidRPr="0026533E" w:rsidRDefault="0026533E" w:rsidP="0026533E">
            <w:pPr>
              <w:spacing w:after="0"/>
              <w:jc w:val="left"/>
              <w:rPr>
                <w:rFonts w:eastAsia="Times New Roman" w:cs="Times New Roman"/>
                <w:sz w:val="20"/>
                <w:szCs w:val="20"/>
              </w:rPr>
            </w:pPr>
            <w:r w:rsidRPr="0026533E">
              <w:rPr>
                <w:rFonts w:eastAsia="Times New Roman" w:cs="Times New Roman"/>
                <w:sz w:val="20"/>
                <w:szCs w:val="20"/>
              </w:rPr>
              <w:t>Предоставени трансфери от бюджета на Министерството на околната среда и водите за бюджета на Българската академия на науките</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675,0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675,0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675,0</w:t>
            </w:r>
          </w:p>
        </w:tc>
      </w:tr>
      <w:tr w:rsidR="0026533E" w:rsidRPr="0026533E" w:rsidTr="0026533E">
        <w:trPr>
          <w:trHeight w:val="540"/>
        </w:trPr>
        <w:tc>
          <w:tcPr>
            <w:tcW w:w="460" w:type="dxa"/>
            <w:tcBorders>
              <w:top w:val="nil"/>
              <w:left w:val="nil"/>
              <w:bottom w:val="nil"/>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6</w:t>
            </w:r>
          </w:p>
        </w:tc>
        <w:tc>
          <w:tcPr>
            <w:tcW w:w="9340" w:type="dxa"/>
            <w:tcBorders>
              <w:top w:val="nil"/>
              <w:left w:val="nil"/>
              <w:bottom w:val="nil"/>
              <w:right w:val="nil"/>
            </w:tcBorders>
            <w:shd w:val="clear" w:color="auto" w:fill="auto"/>
            <w:hideMark/>
          </w:tcPr>
          <w:p w:rsidR="0026533E" w:rsidRPr="0026533E" w:rsidRDefault="0026533E" w:rsidP="0026533E">
            <w:pPr>
              <w:spacing w:after="0"/>
              <w:jc w:val="left"/>
              <w:rPr>
                <w:rFonts w:eastAsia="Times New Roman" w:cs="Times New Roman"/>
                <w:sz w:val="20"/>
                <w:szCs w:val="20"/>
              </w:rPr>
            </w:pPr>
            <w:r w:rsidRPr="0026533E">
              <w:rPr>
                <w:rFonts w:eastAsia="Times New Roman" w:cs="Times New Roman"/>
                <w:sz w:val="20"/>
                <w:szCs w:val="20"/>
              </w:rPr>
              <w:t>Предоставени трансфери от бюджета на Министерството на отбраната за  бюджетите на държавните висши военни училища</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31 481,0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31 966,0</w:t>
            </w:r>
          </w:p>
        </w:tc>
        <w:tc>
          <w:tcPr>
            <w:tcW w:w="1600" w:type="dxa"/>
            <w:tcBorders>
              <w:top w:val="nil"/>
              <w:left w:val="nil"/>
              <w:bottom w:val="nil"/>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31 966,0</w:t>
            </w:r>
          </w:p>
        </w:tc>
      </w:tr>
      <w:tr w:rsidR="0026533E" w:rsidRPr="0026533E" w:rsidTr="0026533E">
        <w:trPr>
          <w:trHeight w:val="165"/>
        </w:trPr>
        <w:tc>
          <w:tcPr>
            <w:tcW w:w="460" w:type="dxa"/>
            <w:tcBorders>
              <w:top w:val="nil"/>
              <w:left w:val="nil"/>
              <w:bottom w:val="single" w:sz="4" w:space="0" w:color="auto"/>
              <w:right w:val="nil"/>
            </w:tcBorders>
            <w:shd w:val="clear" w:color="auto" w:fill="auto"/>
            <w:noWrap/>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 </w:t>
            </w:r>
          </w:p>
        </w:tc>
        <w:tc>
          <w:tcPr>
            <w:tcW w:w="9340" w:type="dxa"/>
            <w:tcBorders>
              <w:top w:val="nil"/>
              <w:left w:val="nil"/>
              <w:bottom w:val="single" w:sz="4" w:space="0" w:color="auto"/>
              <w:right w:val="nil"/>
            </w:tcBorders>
            <w:shd w:val="clear" w:color="auto" w:fill="auto"/>
            <w:hideMark/>
          </w:tcPr>
          <w:p w:rsidR="0026533E" w:rsidRPr="0026533E" w:rsidRDefault="0026533E" w:rsidP="0026533E">
            <w:pPr>
              <w:spacing w:after="0"/>
              <w:jc w:val="left"/>
              <w:rPr>
                <w:rFonts w:eastAsia="Times New Roman" w:cs="Times New Roman"/>
                <w:sz w:val="20"/>
                <w:szCs w:val="20"/>
              </w:rPr>
            </w:pPr>
            <w:r w:rsidRPr="0026533E">
              <w:rPr>
                <w:rFonts w:eastAsia="Times New Roman" w:cs="Times New Roman"/>
                <w:sz w:val="20"/>
                <w:szCs w:val="20"/>
              </w:rPr>
              <w:t> </w:t>
            </w:r>
          </w:p>
        </w:tc>
        <w:tc>
          <w:tcPr>
            <w:tcW w:w="1600" w:type="dxa"/>
            <w:tcBorders>
              <w:top w:val="nil"/>
              <w:left w:val="nil"/>
              <w:bottom w:val="single" w:sz="4" w:space="0" w:color="auto"/>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 </w:t>
            </w:r>
          </w:p>
        </w:tc>
        <w:tc>
          <w:tcPr>
            <w:tcW w:w="1600" w:type="dxa"/>
            <w:tcBorders>
              <w:top w:val="nil"/>
              <w:left w:val="nil"/>
              <w:bottom w:val="single" w:sz="4" w:space="0" w:color="auto"/>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 </w:t>
            </w:r>
          </w:p>
        </w:tc>
        <w:tc>
          <w:tcPr>
            <w:tcW w:w="1600" w:type="dxa"/>
            <w:tcBorders>
              <w:top w:val="nil"/>
              <w:left w:val="nil"/>
              <w:bottom w:val="single" w:sz="4" w:space="0" w:color="auto"/>
              <w:right w:val="nil"/>
            </w:tcBorders>
            <w:shd w:val="clear" w:color="auto" w:fill="auto"/>
            <w:noWrap/>
            <w:vAlign w:val="bottom"/>
            <w:hideMark/>
          </w:tcPr>
          <w:p w:rsidR="0026533E" w:rsidRPr="0026533E" w:rsidRDefault="0026533E" w:rsidP="0026533E">
            <w:pPr>
              <w:spacing w:after="0"/>
              <w:jc w:val="right"/>
              <w:rPr>
                <w:rFonts w:eastAsia="Times New Roman" w:cs="Times New Roman"/>
                <w:sz w:val="20"/>
                <w:szCs w:val="20"/>
              </w:rPr>
            </w:pPr>
            <w:r w:rsidRPr="0026533E">
              <w:rPr>
                <w:rFonts w:eastAsia="Times New Roman" w:cs="Times New Roman"/>
                <w:sz w:val="20"/>
                <w:szCs w:val="20"/>
              </w:rPr>
              <w:t> </w:t>
            </w:r>
          </w:p>
        </w:tc>
      </w:tr>
    </w:tbl>
    <w:p w:rsidR="0007569E" w:rsidRDefault="0007569E" w:rsidP="00A63B35">
      <w:pPr>
        <w:spacing w:after="120"/>
        <w:jc w:val="right"/>
        <w:rPr>
          <w:sz w:val="20"/>
          <w:szCs w:val="20"/>
        </w:rPr>
      </w:pPr>
    </w:p>
    <w:p w:rsidR="002B149E" w:rsidRDefault="002B149E" w:rsidP="00DE2BDB">
      <w:pPr>
        <w:pStyle w:val="Heading2"/>
        <w:numPr>
          <w:ilvl w:val="0"/>
          <w:numId w:val="0"/>
        </w:numPr>
      </w:pPr>
      <w:bookmarkStart w:id="863" w:name="_Toc464224829"/>
      <w:bookmarkStart w:id="864" w:name="_Toc464225479"/>
      <w:bookmarkStart w:id="865" w:name="_Toc464459026"/>
      <w:bookmarkStart w:id="866" w:name="_Toc464459774"/>
      <w:bookmarkStart w:id="867" w:name="_Toc464460727"/>
      <w:bookmarkStart w:id="868" w:name="_Toc464463126"/>
      <w:bookmarkStart w:id="869" w:name="_Toc464464955"/>
      <w:bookmarkStart w:id="870" w:name="_Toc464465462"/>
      <w:bookmarkStart w:id="871" w:name="_Toc464465650"/>
      <w:bookmarkStart w:id="872" w:name="_Toc464466474"/>
      <w:bookmarkStart w:id="873" w:name="_Toc464466717"/>
      <w:bookmarkStart w:id="874" w:name="_Toc464645434"/>
      <w:bookmarkStart w:id="875" w:name="_Toc465205592"/>
      <w:bookmarkStart w:id="876" w:name="_Toc23337507"/>
      <w:r w:rsidRPr="00BC7843">
        <w:t xml:space="preserve">Приложение № 7: </w:t>
      </w:r>
      <w:r w:rsidR="00232AC7">
        <w:br/>
      </w:r>
      <w:r w:rsidRPr="00B46E28">
        <w:t>Тавани на разходите и/или на трансферите (нето) по сметките за средствата от</w:t>
      </w:r>
      <w:r w:rsidR="00931F81">
        <w:t xml:space="preserve"> Европейския съюз за периода 2020</w:t>
      </w:r>
      <w:r w:rsidR="00C40D40" w:rsidRPr="00B46E28">
        <w:t>-202</w:t>
      </w:r>
      <w:r w:rsidR="00931F81">
        <w:t>2</w:t>
      </w:r>
      <w:r w:rsidR="00AA3035" w:rsidRPr="00B46E28">
        <w:t> г.</w:t>
      </w:r>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p>
    <w:p w:rsidR="00A63B35" w:rsidRDefault="00A63B35" w:rsidP="00A63B35">
      <w:pPr>
        <w:spacing w:after="120"/>
        <w:jc w:val="right"/>
        <w:rPr>
          <w:sz w:val="20"/>
          <w:szCs w:val="20"/>
        </w:rPr>
      </w:pPr>
      <w:r w:rsidRPr="005B6198">
        <w:rPr>
          <w:sz w:val="20"/>
          <w:szCs w:val="20"/>
        </w:rPr>
        <w:t>(в хил. лв.)</w:t>
      </w:r>
    </w:p>
    <w:tbl>
      <w:tblPr>
        <w:tblW w:w="14900" w:type="dxa"/>
        <w:tblInd w:w="55" w:type="dxa"/>
        <w:tblCellMar>
          <w:left w:w="70" w:type="dxa"/>
          <w:right w:w="70" w:type="dxa"/>
        </w:tblCellMar>
        <w:tblLook w:val="04A0" w:firstRow="1" w:lastRow="0" w:firstColumn="1" w:lastColumn="0" w:noHBand="0" w:noVBand="1"/>
      </w:tblPr>
      <w:tblGrid>
        <w:gridCol w:w="460"/>
        <w:gridCol w:w="3640"/>
        <w:gridCol w:w="1180"/>
        <w:gridCol w:w="1200"/>
        <w:gridCol w:w="1160"/>
        <w:gridCol w:w="1180"/>
        <w:gridCol w:w="1180"/>
        <w:gridCol w:w="1160"/>
        <w:gridCol w:w="1240"/>
        <w:gridCol w:w="1280"/>
        <w:gridCol w:w="1220"/>
      </w:tblGrid>
      <w:tr w:rsidR="001878D3" w:rsidRPr="001878D3" w:rsidTr="001878D3">
        <w:trPr>
          <w:trHeight w:val="255"/>
        </w:trPr>
        <w:tc>
          <w:tcPr>
            <w:tcW w:w="460" w:type="dxa"/>
            <w:tcBorders>
              <w:top w:val="single" w:sz="4" w:space="0" w:color="auto"/>
              <w:left w:val="nil"/>
              <w:bottom w:val="nil"/>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w:t>
            </w:r>
          </w:p>
        </w:tc>
        <w:tc>
          <w:tcPr>
            <w:tcW w:w="3640" w:type="dxa"/>
            <w:tcBorders>
              <w:top w:val="single" w:sz="4" w:space="0" w:color="auto"/>
              <w:left w:val="nil"/>
              <w:bottom w:val="nil"/>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w:t>
            </w:r>
          </w:p>
        </w:tc>
        <w:tc>
          <w:tcPr>
            <w:tcW w:w="1180" w:type="dxa"/>
            <w:tcBorders>
              <w:top w:val="single" w:sz="4" w:space="0" w:color="auto"/>
              <w:left w:val="nil"/>
              <w:bottom w:val="single" w:sz="4" w:space="0" w:color="595959"/>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xml:space="preserve"> 2020 г.</w:t>
            </w:r>
          </w:p>
        </w:tc>
        <w:tc>
          <w:tcPr>
            <w:tcW w:w="1200" w:type="dxa"/>
            <w:tcBorders>
              <w:top w:val="single" w:sz="4" w:space="0" w:color="auto"/>
              <w:left w:val="nil"/>
              <w:bottom w:val="single" w:sz="4" w:space="0" w:color="595959"/>
              <w:right w:val="nil"/>
            </w:tcBorders>
            <w:shd w:val="clear" w:color="auto" w:fill="auto"/>
            <w:hideMark/>
          </w:tcPr>
          <w:p w:rsidR="001878D3" w:rsidRPr="001878D3" w:rsidRDefault="001878D3" w:rsidP="001878D3">
            <w:pPr>
              <w:spacing w:after="0"/>
              <w:jc w:val="center"/>
              <w:rPr>
                <w:rFonts w:eastAsia="Times New Roman" w:cs="Times New Roman"/>
                <w:sz w:val="20"/>
                <w:szCs w:val="20"/>
              </w:rPr>
            </w:pPr>
            <w:r w:rsidRPr="001878D3">
              <w:rPr>
                <w:rFonts w:eastAsia="Times New Roman" w:cs="Times New Roman"/>
                <w:sz w:val="20"/>
                <w:szCs w:val="20"/>
              </w:rPr>
              <w:t> </w:t>
            </w:r>
          </w:p>
        </w:tc>
        <w:tc>
          <w:tcPr>
            <w:tcW w:w="1160" w:type="dxa"/>
            <w:tcBorders>
              <w:top w:val="single" w:sz="4" w:space="0" w:color="auto"/>
              <w:left w:val="nil"/>
              <w:bottom w:val="single" w:sz="4" w:space="0" w:color="595959"/>
              <w:right w:val="nil"/>
            </w:tcBorders>
            <w:shd w:val="clear" w:color="auto" w:fill="auto"/>
            <w:hideMark/>
          </w:tcPr>
          <w:p w:rsidR="001878D3" w:rsidRPr="001878D3" w:rsidRDefault="001878D3" w:rsidP="001878D3">
            <w:pPr>
              <w:spacing w:after="0"/>
              <w:jc w:val="center"/>
              <w:rPr>
                <w:rFonts w:eastAsia="Times New Roman" w:cs="Times New Roman"/>
                <w:sz w:val="20"/>
                <w:szCs w:val="20"/>
              </w:rPr>
            </w:pPr>
            <w:r w:rsidRPr="001878D3">
              <w:rPr>
                <w:rFonts w:eastAsia="Times New Roman" w:cs="Times New Roman"/>
                <w:sz w:val="20"/>
                <w:szCs w:val="20"/>
              </w:rPr>
              <w:t> </w:t>
            </w:r>
          </w:p>
        </w:tc>
        <w:tc>
          <w:tcPr>
            <w:tcW w:w="3520" w:type="dxa"/>
            <w:gridSpan w:val="3"/>
            <w:tcBorders>
              <w:top w:val="single" w:sz="4" w:space="0" w:color="auto"/>
              <w:left w:val="nil"/>
              <w:bottom w:val="single" w:sz="4" w:space="0" w:color="595959"/>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xml:space="preserve"> 2021 г.</w:t>
            </w:r>
          </w:p>
        </w:tc>
        <w:tc>
          <w:tcPr>
            <w:tcW w:w="3740" w:type="dxa"/>
            <w:gridSpan w:val="3"/>
            <w:tcBorders>
              <w:top w:val="single" w:sz="4" w:space="0" w:color="auto"/>
              <w:left w:val="nil"/>
              <w:bottom w:val="single" w:sz="4" w:space="0" w:color="595959"/>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xml:space="preserve"> 2022 г.</w:t>
            </w:r>
          </w:p>
        </w:tc>
      </w:tr>
      <w:tr w:rsidR="001878D3" w:rsidRPr="001878D3" w:rsidTr="001878D3">
        <w:trPr>
          <w:trHeight w:val="1110"/>
        </w:trPr>
        <w:tc>
          <w:tcPr>
            <w:tcW w:w="460" w:type="dxa"/>
            <w:tcBorders>
              <w:top w:val="nil"/>
              <w:left w:val="nil"/>
              <w:bottom w:val="nil"/>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w:t>
            </w:r>
          </w:p>
        </w:tc>
        <w:tc>
          <w:tcPr>
            <w:tcW w:w="3640" w:type="dxa"/>
            <w:tcBorders>
              <w:top w:val="nil"/>
              <w:left w:val="nil"/>
              <w:bottom w:val="nil"/>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Сметки за средствата от Европейския съюз</w:t>
            </w:r>
          </w:p>
        </w:tc>
        <w:tc>
          <w:tcPr>
            <w:tcW w:w="118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Общо разходи и трансфери (нето)</w:t>
            </w:r>
          </w:p>
        </w:tc>
        <w:tc>
          <w:tcPr>
            <w:tcW w:w="2360" w:type="dxa"/>
            <w:gridSpan w:val="2"/>
            <w:tcBorders>
              <w:top w:val="single" w:sz="4" w:space="0" w:color="595959"/>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в т.ч.</w:t>
            </w:r>
          </w:p>
        </w:tc>
        <w:tc>
          <w:tcPr>
            <w:tcW w:w="118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Общо разходи и трансфери (нето)</w:t>
            </w:r>
          </w:p>
        </w:tc>
        <w:tc>
          <w:tcPr>
            <w:tcW w:w="2340" w:type="dxa"/>
            <w:gridSpan w:val="2"/>
            <w:tcBorders>
              <w:top w:val="single" w:sz="4" w:space="0" w:color="595959"/>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в т.ч.</w:t>
            </w:r>
          </w:p>
        </w:tc>
        <w:tc>
          <w:tcPr>
            <w:tcW w:w="124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Общо разходи и трансфери (нето)</w:t>
            </w:r>
          </w:p>
        </w:tc>
        <w:tc>
          <w:tcPr>
            <w:tcW w:w="2500" w:type="dxa"/>
            <w:gridSpan w:val="2"/>
            <w:tcBorders>
              <w:top w:val="single" w:sz="4" w:space="0" w:color="595959"/>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в т.ч.</w:t>
            </w:r>
          </w:p>
        </w:tc>
      </w:tr>
      <w:tr w:rsidR="001878D3" w:rsidRPr="001878D3" w:rsidTr="001878D3">
        <w:trPr>
          <w:trHeight w:val="510"/>
        </w:trPr>
        <w:tc>
          <w:tcPr>
            <w:tcW w:w="46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w:t>
            </w:r>
          </w:p>
        </w:tc>
        <w:tc>
          <w:tcPr>
            <w:tcW w:w="364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w:t>
            </w:r>
          </w:p>
        </w:tc>
        <w:tc>
          <w:tcPr>
            <w:tcW w:w="1180" w:type="dxa"/>
            <w:tcBorders>
              <w:top w:val="nil"/>
              <w:left w:val="nil"/>
              <w:bottom w:val="single" w:sz="4" w:space="0" w:color="auto"/>
              <w:right w:val="nil"/>
            </w:tcBorders>
            <w:shd w:val="clear" w:color="auto" w:fill="auto"/>
            <w:vAlign w:val="center"/>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к.2.1-к.2.2</w:t>
            </w:r>
          </w:p>
        </w:tc>
        <w:tc>
          <w:tcPr>
            <w:tcW w:w="120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Разходи</w:t>
            </w:r>
          </w:p>
        </w:tc>
        <w:tc>
          <w:tcPr>
            <w:tcW w:w="116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Трансфери (нето)</w:t>
            </w:r>
          </w:p>
        </w:tc>
        <w:tc>
          <w:tcPr>
            <w:tcW w:w="1180" w:type="dxa"/>
            <w:tcBorders>
              <w:top w:val="nil"/>
              <w:left w:val="nil"/>
              <w:bottom w:val="single" w:sz="4" w:space="0" w:color="auto"/>
              <w:right w:val="nil"/>
            </w:tcBorders>
            <w:shd w:val="clear" w:color="auto" w:fill="auto"/>
            <w:vAlign w:val="center"/>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к.3.1-к.3.2</w:t>
            </w:r>
          </w:p>
        </w:tc>
        <w:tc>
          <w:tcPr>
            <w:tcW w:w="118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Разходи</w:t>
            </w:r>
          </w:p>
        </w:tc>
        <w:tc>
          <w:tcPr>
            <w:tcW w:w="116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Трансфери (нето)</w:t>
            </w:r>
          </w:p>
        </w:tc>
        <w:tc>
          <w:tcPr>
            <w:tcW w:w="1240" w:type="dxa"/>
            <w:tcBorders>
              <w:top w:val="nil"/>
              <w:left w:val="nil"/>
              <w:bottom w:val="single" w:sz="4" w:space="0" w:color="auto"/>
              <w:right w:val="nil"/>
            </w:tcBorders>
            <w:shd w:val="clear" w:color="auto" w:fill="auto"/>
            <w:vAlign w:val="center"/>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к.4.1-к.4.2</w:t>
            </w:r>
          </w:p>
        </w:tc>
        <w:tc>
          <w:tcPr>
            <w:tcW w:w="128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Разходи</w:t>
            </w:r>
          </w:p>
        </w:tc>
        <w:tc>
          <w:tcPr>
            <w:tcW w:w="1220" w:type="dxa"/>
            <w:tcBorders>
              <w:top w:val="nil"/>
              <w:left w:val="nil"/>
              <w:bottom w:val="single" w:sz="4" w:space="0" w:color="auto"/>
              <w:right w:val="nil"/>
            </w:tcBorders>
            <w:shd w:val="clear" w:color="auto" w:fill="auto"/>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Трансфери (нето)</w:t>
            </w:r>
          </w:p>
        </w:tc>
      </w:tr>
      <w:tr w:rsidR="001878D3" w:rsidRPr="001878D3" w:rsidTr="001878D3">
        <w:trPr>
          <w:trHeight w:val="255"/>
        </w:trPr>
        <w:tc>
          <w:tcPr>
            <w:tcW w:w="46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w:t>
            </w:r>
          </w:p>
        </w:tc>
        <w:tc>
          <w:tcPr>
            <w:tcW w:w="364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1</w:t>
            </w:r>
          </w:p>
        </w:tc>
        <w:tc>
          <w:tcPr>
            <w:tcW w:w="118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2</w:t>
            </w:r>
          </w:p>
        </w:tc>
        <w:tc>
          <w:tcPr>
            <w:tcW w:w="120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2.1</w:t>
            </w:r>
          </w:p>
        </w:tc>
        <w:tc>
          <w:tcPr>
            <w:tcW w:w="116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2.2</w:t>
            </w:r>
          </w:p>
        </w:tc>
        <w:tc>
          <w:tcPr>
            <w:tcW w:w="118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3</w:t>
            </w:r>
          </w:p>
        </w:tc>
        <w:tc>
          <w:tcPr>
            <w:tcW w:w="118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3.1</w:t>
            </w:r>
          </w:p>
        </w:tc>
        <w:tc>
          <w:tcPr>
            <w:tcW w:w="116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3.2</w:t>
            </w:r>
          </w:p>
        </w:tc>
        <w:tc>
          <w:tcPr>
            <w:tcW w:w="124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4</w:t>
            </w:r>
          </w:p>
        </w:tc>
        <w:tc>
          <w:tcPr>
            <w:tcW w:w="128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4.1</w:t>
            </w:r>
          </w:p>
        </w:tc>
        <w:tc>
          <w:tcPr>
            <w:tcW w:w="122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4.2</w:t>
            </w:r>
          </w:p>
        </w:tc>
      </w:tr>
      <w:tr w:rsidR="001878D3" w:rsidRPr="001878D3" w:rsidTr="001878D3">
        <w:trPr>
          <w:trHeight w:val="570"/>
        </w:trPr>
        <w:tc>
          <w:tcPr>
            <w:tcW w:w="460" w:type="dxa"/>
            <w:tcBorders>
              <w:top w:val="nil"/>
              <w:left w:val="nil"/>
              <w:bottom w:val="nil"/>
              <w:right w:val="nil"/>
            </w:tcBorders>
            <w:shd w:val="clear" w:color="auto" w:fill="auto"/>
            <w:noWrap/>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w:t>
            </w:r>
          </w:p>
        </w:tc>
        <w:tc>
          <w:tcPr>
            <w:tcW w:w="3640" w:type="dxa"/>
            <w:tcBorders>
              <w:top w:val="nil"/>
              <w:left w:val="nil"/>
              <w:bottom w:val="nil"/>
              <w:right w:val="nil"/>
            </w:tcBorders>
            <w:shd w:val="clear" w:color="auto" w:fill="auto"/>
            <w:hideMark/>
          </w:tcPr>
          <w:p w:rsidR="001878D3" w:rsidRPr="001878D3" w:rsidRDefault="001878D3" w:rsidP="001878D3">
            <w:pPr>
              <w:spacing w:after="0"/>
              <w:jc w:val="left"/>
              <w:rPr>
                <w:rFonts w:eastAsia="Times New Roman" w:cs="Times New Roman"/>
                <w:sz w:val="20"/>
                <w:szCs w:val="20"/>
              </w:rPr>
            </w:pPr>
            <w:r w:rsidRPr="001878D3">
              <w:rPr>
                <w:rFonts w:eastAsia="Times New Roman" w:cs="Times New Roman"/>
                <w:sz w:val="20"/>
                <w:szCs w:val="20"/>
              </w:rPr>
              <w:t>Сметка за средствата от Европейския съюз на Държавния фонд „Земеделие“</w:t>
            </w:r>
          </w:p>
        </w:tc>
        <w:tc>
          <w:tcPr>
            <w:tcW w:w="118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772 204,0</w:t>
            </w:r>
          </w:p>
        </w:tc>
        <w:tc>
          <w:tcPr>
            <w:tcW w:w="12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1 037 854,9</w:t>
            </w:r>
          </w:p>
        </w:tc>
        <w:tc>
          <w:tcPr>
            <w:tcW w:w="116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265 650,9</w:t>
            </w:r>
          </w:p>
        </w:tc>
        <w:tc>
          <w:tcPr>
            <w:tcW w:w="118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781 297,2</w:t>
            </w:r>
          </w:p>
        </w:tc>
        <w:tc>
          <w:tcPr>
            <w:tcW w:w="118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1 028 077,4</w:t>
            </w:r>
          </w:p>
        </w:tc>
        <w:tc>
          <w:tcPr>
            <w:tcW w:w="116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246 780,2</w:t>
            </w:r>
          </w:p>
        </w:tc>
        <w:tc>
          <w:tcPr>
            <w:tcW w:w="12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648 904,4</w:t>
            </w:r>
          </w:p>
        </w:tc>
        <w:tc>
          <w:tcPr>
            <w:tcW w:w="128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858 577,4</w:t>
            </w:r>
          </w:p>
        </w:tc>
        <w:tc>
          <w:tcPr>
            <w:tcW w:w="122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209 673,0</w:t>
            </w:r>
          </w:p>
        </w:tc>
      </w:tr>
      <w:tr w:rsidR="001878D3" w:rsidRPr="001878D3" w:rsidTr="001878D3">
        <w:trPr>
          <w:trHeight w:val="630"/>
        </w:trPr>
        <w:tc>
          <w:tcPr>
            <w:tcW w:w="460" w:type="dxa"/>
            <w:tcBorders>
              <w:top w:val="nil"/>
              <w:left w:val="nil"/>
              <w:bottom w:val="nil"/>
              <w:right w:val="nil"/>
            </w:tcBorders>
            <w:shd w:val="clear" w:color="auto" w:fill="auto"/>
            <w:noWrap/>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w:t>
            </w:r>
          </w:p>
        </w:tc>
        <w:tc>
          <w:tcPr>
            <w:tcW w:w="3640" w:type="dxa"/>
            <w:tcBorders>
              <w:top w:val="nil"/>
              <w:left w:val="nil"/>
              <w:bottom w:val="nil"/>
              <w:right w:val="nil"/>
            </w:tcBorders>
            <w:shd w:val="clear" w:color="auto" w:fill="auto"/>
            <w:hideMark/>
          </w:tcPr>
          <w:p w:rsidR="001878D3" w:rsidRPr="001878D3" w:rsidRDefault="001878D3" w:rsidP="001878D3">
            <w:pPr>
              <w:spacing w:after="0"/>
              <w:jc w:val="left"/>
              <w:rPr>
                <w:rFonts w:eastAsia="Times New Roman" w:cs="Times New Roman"/>
                <w:sz w:val="20"/>
                <w:szCs w:val="20"/>
              </w:rPr>
            </w:pPr>
            <w:r w:rsidRPr="001878D3">
              <w:rPr>
                <w:rFonts w:eastAsia="Times New Roman" w:cs="Times New Roman"/>
                <w:sz w:val="20"/>
                <w:szCs w:val="20"/>
              </w:rPr>
              <w:t>Сметка за средствата от Европейския съюз на Националния фонд</w:t>
            </w:r>
          </w:p>
        </w:tc>
        <w:tc>
          <w:tcPr>
            <w:tcW w:w="118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1 718 270,4</w:t>
            </w:r>
          </w:p>
        </w:tc>
        <w:tc>
          <w:tcPr>
            <w:tcW w:w="12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2 599 689,7</w:t>
            </w:r>
          </w:p>
        </w:tc>
        <w:tc>
          <w:tcPr>
            <w:tcW w:w="116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881 419,3</w:t>
            </w:r>
          </w:p>
        </w:tc>
        <w:tc>
          <w:tcPr>
            <w:tcW w:w="118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1 698 844,4</w:t>
            </w:r>
          </w:p>
        </w:tc>
        <w:tc>
          <w:tcPr>
            <w:tcW w:w="118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2 613 113,2</w:t>
            </w:r>
          </w:p>
        </w:tc>
        <w:tc>
          <w:tcPr>
            <w:tcW w:w="116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914 268,8</w:t>
            </w:r>
          </w:p>
        </w:tc>
        <w:tc>
          <w:tcPr>
            <w:tcW w:w="12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1 782 041,6</w:t>
            </w:r>
          </w:p>
        </w:tc>
        <w:tc>
          <w:tcPr>
            <w:tcW w:w="128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2 722 856,5</w:t>
            </w:r>
          </w:p>
        </w:tc>
        <w:tc>
          <w:tcPr>
            <w:tcW w:w="122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940 814,9</w:t>
            </w:r>
          </w:p>
        </w:tc>
      </w:tr>
      <w:tr w:rsidR="001878D3" w:rsidRPr="001878D3" w:rsidTr="001878D3">
        <w:trPr>
          <w:trHeight w:val="1350"/>
        </w:trPr>
        <w:tc>
          <w:tcPr>
            <w:tcW w:w="460" w:type="dxa"/>
            <w:tcBorders>
              <w:top w:val="nil"/>
              <w:left w:val="nil"/>
              <w:bottom w:val="single" w:sz="4" w:space="0" w:color="auto"/>
              <w:right w:val="nil"/>
            </w:tcBorders>
            <w:shd w:val="clear" w:color="auto" w:fill="auto"/>
            <w:noWrap/>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3</w:t>
            </w:r>
          </w:p>
        </w:tc>
        <w:tc>
          <w:tcPr>
            <w:tcW w:w="3640" w:type="dxa"/>
            <w:tcBorders>
              <w:top w:val="nil"/>
              <w:left w:val="nil"/>
              <w:bottom w:val="single" w:sz="4" w:space="0" w:color="auto"/>
              <w:right w:val="nil"/>
            </w:tcBorders>
            <w:shd w:val="clear" w:color="auto" w:fill="auto"/>
            <w:hideMark/>
          </w:tcPr>
          <w:p w:rsidR="001878D3" w:rsidRPr="001878D3" w:rsidRDefault="001878D3" w:rsidP="001878D3">
            <w:pPr>
              <w:spacing w:after="0"/>
              <w:jc w:val="left"/>
              <w:rPr>
                <w:rFonts w:eastAsia="Times New Roman" w:cs="Times New Roman"/>
                <w:sz w:val="20"/>
                <w:szCs w:val="20"/>
              </w:rPr>
            </w:pPr>
            <w:r w:rsidRPr="001878D3">
              <w:rPr>
                <w:rFonts w:eastAsia="Times New Roman" w:cs="Times New Roman"/>
                <w:sz w:val="20"/>
                <w:szCs w:val="20"/>
              </w:rPr>
              <w:t>Други сметки за средства от Европейския съюз и средства по други международни програми и договори, за които се прилага режимът на сметките за средства от  Европейския съюз</w:t>
            </w:r>
          </w:p>
        </w:tc>
        <w:tc>
          <w:tcPr>
            <w:tcW w:w="118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232 973,2</w:t>
            </w:r>
          </w:p>
        </w:tc>
        <w:tc>
          <w:tcPr>
            <w:tcW w:w="120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340 673,5</w:t>
            </w:r>
          </w:p>
        </w:tc>
        <w:tc>
          <w:tcPr>
            <w:tcW w:w="116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107 700,3</w:t>
            </w:r>
          </w:p>
        </w:tc>
        <w:tc>
          <w:tcPr>
            <w:tcW w:w="118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189 443,2</w:t>
            </w:r>
          </w:p>
        </w:tc>
        <w:tc>
          <w:tcPr>
            <w:tcW w:w="118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284 695,2</w:t>
            </w:r>
          </w:p>
        </w:tc>
        <w:tc>
          <w:tcPr>
            <w:tcW w:w="116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95 252,0</w:t>
            </w:r>
          </w:p>
        </w:tc>
        <w:tc>
          <w:tcPr>
            <w:tcW w:w="124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119 688,1</w:t>
            </w:r>
          </w:p>
        </w:tc>
        <w:tc>
          <w:tcPr>
            <w:tcW w:w="128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196 155,7</w:t>
            </w:r>
          </w:p>
        </w:tc>
        <w:tc>
          <w:tcPr>
            <w:tcW w:w="122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76 467,6</w:t>
            </w:r>
          </w:p>
        </w:tc>
      </w:tr>
    </w:tbl>
    <w:p w:rsidR="001878D3" w:rsidRDefault="001878D3" w:rsidP="00A63B35">
      <w:pPr>
        <w:spacing w:after="120"/>
        <w:jc w:val="right"/>
        <w:rPr>
          <w:sz w:val="20"/>
          <w:szCs w:val="20"/>
        </w:rPr>
      </w:pPr>
    </w:p>
    <w:p w:rsidR="001878D3" w:rsidRDefault="001878D3" w:rsidP="00A63B35">
      <w:pPr>
        <w:spacing w:after="120"/>
        <w:jc w:val="right"/>
        <w:rPr>
          <w:sz w:val="20"/>
          <w:szCs w:val="20"/>
        </w:rPr>
      </w:pPr>
    </w:p>
    <w:p w:rsidR="00F140E4" w:rsidRDefault="00F140E4" w:rsidP="00A63B35">
      <w:pPr>
        <w:spacing w:after="120"/>
        <w:jc w:val="right"/>
        <w:rPr>
          <w:sz w:val="20"/>
          <w:szCs w:val="20"/>
        </w:rPr>
      </w:pPr>
    </w:p>
    <w:p w:rsidR="00F140E4" w:rsidRPr="005B6198" w:rsidRDefault="00F140E4" w:rsidP="00A63B35">
      <w:pPr>
        <w:spacing w:after="120"/>
        <w:jc w:val="right"/>
        <w:rPr>
          <w:sz w:val="20"/>
          <w:szCs w:val="20"/>
        </w:rPr>
      </w:pPr>
    </w:p>
    <w:p w:rsidR="00CC01ED" w:rsidRPr="003F599B" w:rsidRDefault="00CC01ED" w:rsidP="00CC01ED"/>
    <w:p w:rsidR="00D840F3" w:rsidRDefault="00D840F3" w:rsidP="00DE2BDB">
      <w:pPr>
        <w:pStyle w:val="Heading2"/>
      </w:pPr>
      <w:bookmarkStart w:id="877" w:name="_Toc464224830"/>
      <w:bookmarkStart w:id="878" w:name="_Toc464225480"/>
      <w:bookmarkStart w:id="879" w:name="_Toc464459027"/>
      <w:bookmarkStart w:id="880" w:name="_Toc464459775"/>
      <w:bookmarkStart w:id="881" w:name="_Toc464460728"/>
      <w:bookmarkStart w:id="882" w:name="_Toc464463127"/>
      <w:bookmarkStart w:id="883" w:name="_Toc464464956"/>
      <w:bookmarkStart w:id="884" w:name="_Toc464465463"/>
      <w:bookmarkStart w:id="885" w:name="_Toc464465651"/>
      <w:bookmarkStart w:id="886" w:name="_Toc464466475"/>
      <w:bookmarkStart w:id="887" w:name="_Toc464466718"/>
      <w:bookmarkStart w:id="888" w:name="_Toc464645435"/>
      <w:bookmarkStart w:id="889" w:name="_Toc465205593"/>
      <w:r>
        <w:br w:type="page"/>
      </w:r>
    </w:p>
    <w:p w:rsidR="00E67632" w:rsidRDefault="00E67632" w:rsidP="00DE2BDB">
      <w:pPr>
        <w:pStyle w:val="Heading2"/>
        <w:numPr>
          <w:ilvl w:val="0"/>
          <w:numId w:val="0"/>
        </w:numPr>
      </w:pPr>
      <w:bookmarkStart w:id="890" w:name="_Toc23337508"/>
      <w:r w:rsidRPr="00D338FD">
        <w:t>Приложение № 8:</w:t>
      </w:r>
      <w:r w:rsidRPr="00BC7843">
        <w:t xml:space="preserve"> </w:t>
      </w:r>
      <w:r w:rsidR="006067A9">
        <w:br/>
      </w:r>
      <w:r w:rsidRPr="00B46E28">
        <w:t xml:space="preserve">Тавани на разходите и трансферите (нето) </w:t>
      </w:r>
      <w:r w:rsidR="00B502E4">
        <w:t>по други икономически обособени лица и структурни единици, включени в КФП за периода 2020</w:t>
      </w:r>
      <w:r w:rsidR="00C402B4" w:rsidRPr="00B46E28">
        <w:t>-</w:t>
      </w:r>
      <w:r w:rsidR="00C40D40" w:rsidRPr="00B46E28">
        <w:t>202</w:t>
      </w:r>
      <w:r w:rsidR="00B502E4">
        <w:t>2</w:t>
      </w:r>
      <w:r w:rsidR="00AA3035" w:rsidRPr="00B46E28">
        <w:t> г.</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p>
    <w:p w:rsidR="00A63B35" w:rsidRDefault="00A63B35" w:rsidP="00A63B35">
      <w:pPr>
        <w:spacing w:after="120"/>
        <w:jc w:val="right"/>
        <w:rPr>
          <w:sz w:val="20"/>
          <w:szCs w:val="20"/>
        </w:rPr>
      </w:pPr>
      <w:r w:rsidRPr="005B6198">
        <w:rPr>
          <w:sz w:val="20"/>
          <w:szCs w:val="20"/>
        </w:rPr>
        <w:t>(в хил. лв.)</w:t>
      </w:r>
    </w:p>
    <w:tbl>
      <w:tblPr>
        <w:tblW w:w="14820" w:type="dxa"/>
        <w:tblInd w:w="55" w:type="dxa"/>
        <w:tblCellMar>
          <w:left w:w="70" w:type="dxa"/>
          <w:right w:w="70" w:type="dxa"/>
        </w:tblCellMar>
        <w:tblLook w:val="04A0" w:firstRow="1" w:lastRow="0" w:firstColumn="1" w:lastColumn="0" w:noHBand="0" w:noVBand="1"/>
      </w:tblPr>
      <w:tblGrid>
        <w:gridCol w:w="460"/>
        <w:gridCol w:w="3640"/>
        <w:gridCol w:w="1180"/>
        <w:gridCol w:w="1200"/>
        <w:gridCol w:w="1160"/>
        <w:gridCol w:w="1180"/>
        <w:gridCol w:w="1180"/>
        <w:gridCol w:w="1160"/>
        <w:gridCol w:w="1240"/>
        <w:gridCol w:w="1200"/>
        <w:gridCol w:w="1220"/>
      </w:tblGrid>
      <w:tr w:rsidR="00F140E4" w:rsidRPr="00F140E4" w:rsidTr="00F140E4">
        <w:trPr>
          <w:trHeight w:val="255"/>
        </w:trPr>
        <w:tc>
          <w:tcPr>
            <w:tcW w:w="460" w:type="dxa"/>
            <w:tcBorders>
              <w:top w:val="single" w:sz="4" w:space="0" w:color="auto"/>
              <w:left w:val="nil"/>
              <w:bottom w:val="nil"/>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 </w:t>
            </w:r>
          </w:p>
        </w:tc>
        <w:tc>
          <w:tcPr>
            <w:tcW w:w="3640" w:type="dxa"/>
            <w:tcBorders>
              <w:top w:val="single" w:sz="4" w:space="0" w:color="auto"/>
              <w:left w:val="nil"/>
              <w:bottom w:val="nil"/>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 </w:t>
            </w:r>
          </w:p>
        </w:tc>
        <w:tc>
          <w:tcPr>
            <w:tcW w:w="1180" w:type="dxa"/>
            <w:tcBorders>
              <w:top w:val="single" w:sz="4" w:space="0" w:color="auto"/>
              <w:left w:val="nil"/>
              <w:bottom w:val="single" w:sz="4" w:space="0" w:color="595959"/>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2020 г.</w:t>
            </w:r>
          </w:p>
        </w:tc>
        <w:tc>
          <w:tcPr>
            <w:tcW w:w="1200" w:type="dxa"/>
            <w:tcBorders>
              <w:top w:val="single" w:sz="4" w:space="0" w:color="auto"/>
              <w:left w:val="nil"/>
              <w:bottom w:val="single" w:sz="4" w:space="0" w:color="595959"/>
              <w:right w:val="nil"/>
            </w:tcBorders>
            <w:shd w:val="clear" w:color="auto" w:fill="auto"/>
            <w:hideMark/>
          </w:tcPr>
          <w:p w:rsidR="00F140E4" w:rsidRPr="00F140E4" w:rsidRDefault="00F140E4" w:rsidP="00F140E4">
            <w:pPr>
              <w:spacing w:after="0"/>
              <w:jc w:val="center"/>
              <w:rPr>
                <w:rFonts w:eastAsia="Times New Roman" w:cs="Times New Roman"/>
                <w:sz w:val="20"/>
                <w:szCs w:val="20"/>
              </w:rPr>
            </w:pPr>
            <w:r w:rsidRPr="00F140E4">
              <w:rPr>
                <w:rFonts w:eastAsia="Times New Roman" w:cs="Times New Roman"/>
                <w:sz w:val="20"/>
                <w:szCs w:val="20"/>
              </w:rPr>
              <w:t> </w:t>
            </w:r>
          </w:p>
        </w:tc>
        <w:tc>
          <w:tcPr>
            <w:tcW w:w="1160" w:type="dxa"/>
            <w:tcBorders>
              <w:top w:val="single" w:sz="4" w:space="0" w:color="auto"/>
              <w:left w:val="nil"/>
              <w:bottom w:val="single" w:sz="4" w:space="0" w:color="595959"/>
              <w:right w:val="nil"/>
            </w:tcBorders>
            <w:shd w:val="clear" w:color="auto" w:fill="auto"/>
            <w:hideMark/>
          </w:tcPr>
          <w:p w:rsidR="00F140E4" w:rsidRPr="00F140E4" w:rsidRDefault="00F140E4" w:rsidP="00F140E4">
            <w:pPr>
              <w:spacing w:after="0"/>
              <w:jc w:val="center"/>
              <w:rPr>
                <w:rFonts w:eastAsia="Times New Roman" w:cs="Times New Roman"/>
                <w:sz w:val="20"/>
                <w:szCs w:val="20"/>
              </w:rPr>
            </w:pPr>
            <w:r w:rsidRPr="00F140E4">
              <w:rPr>
                <w:rFonts w:eastAsia="Times New Roman" w:cs="Times New Roman"/>
                <w:sz w:val="20"/>
                <w:szCs w:val="20"/>
              </w:rPr>
              <w:t> </w:t>
            </w:r>
          </w:p>
        </w:tc>
        <w:tc>
          <w:tcPr>
            <w:tcW w:w="3520" w:type="dxa"/>
            <w:gridSpan w:val="3"/>
            <w:tcBorders>
              <w:top w:val="single" w:sz="4" w:space="0" w:color="auto"/>
              <w:left w:val="nil"/>
              <w:bottom w:val="single" w:sz="4" w:space="0" w:color="595959"/>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2021 г.</w:t>
            </w:r>
          </w:p>
        </w:tc>
        <w:tc>
          <w:tcPr>
            <w:tcW w:w="3660" w:type="dxa"/>
            <w:gridSpan w:val="3"/>
            <w:tcBorders>
              <w:top w:val="single" w:sz="4" w:space="0" w:color="auto"/>
              <w:left w:val="nil"/>
              <w:bottom w:val="single" w:sz="4" w:space="0" w:color="595959"/>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2022 г.</w:t>
            </w:r>
          </w:p>
        </w:tc>
      </w:tr>
      <w:tr w:rsidR="00F140E4" w:rsidRPr="00F140E4" w:rsidTr="00F140E4">
        <w:trPr>
          <w:trHeight w:val="1110"/>
        </w:trPr>
        <w:tc>
          <w:tcPr>
            <w:tcW w:w="460" w:type="dxa"/>
            <w:tcBorders>
              <w:top w:val="nil"/>
              <w:left w:val="nil"/>
              <w:bottom w:val="nil"/>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w:t>
            </w:r>
          </w:p>
        </w:tc>
        <w:tc>
          <w:tcPr>
            <w:tcW w:w="3640" w:type="dxa"/>
            <w:tcBorders>
              <w:top w:val="nil"/>
              <w:left w:val="nil"/>
              <w:bottom w:val="nil"/>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Други икономически обособени лица, включени в КФП</w:t>
            </w:r>
          </w:p>
        </w:tc>
        <w:tc>
          <w:tcPr>
            <w:tcW w:w="118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Общо разходи и трансфери (нето)</w:t>
            </w:r>
          </w:p>
        </w:tc>
        <w:tc>
          <w:tcPr>
            <w:tcW w:w="2360" w:type="dxa"/>
            <w:gridSpan w:val="2"/>
            <w:tcBorders>
              <w:top w:val="single" w:sz="4" w:space="0" w:color="595959"/>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в т.ч.</w:t>
            </w:r>
          </w:p>
        </w:tc>
        <w:tc>
          <w:tcPr>
            <w:tcW w:w="118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Общо разходи и трансфери (нето)</w:t>
            </w:r>
          </w:p>
        </w:tc>
        <w:tc>
          <w:tcPr>
            <w:tcW w:w="2340" w:type="dxa"/>
            <w:gridSpan w:val="2"/>
            <w:tcBorders>
              <w:top w:val="single" w:sz="4" w:space="0" w:color="595959"/>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в т.ч.</w:t>
            </w:r>
          </w:p>
        </w:tc>
        <w:tc>
          <w:tcPr>
            <w:tcW w:w="124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Общо разходи и трансфери (нето)</w:t>
            </w:r>
          </w:p>
        </w:tc>
        <w:tc>
          <w:tcPr>
            <w:tcW w:w="2420" w:type="dxa"/>
            <w:gridSpan w:val="2"/>
            <w:tcBorders>
              <w:top w:val="single" w:sz="4" w:space="0" w:color="595959"/>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в т.ч.</w:t>
            </w:r>
          </w:p>
        </w:tc>
      </w:tr>
      <w:tr w:rsidR="00F140E4" w:rsidRPr="00F140E4" w:rsidTr="00F140E4">
        <w:trPr>
          <w:trHeight w:val="510"/>
        </w:trPr>
        <w:tc>
          <w:tcPr>
            <w:tcW w:w="46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 </w:t>
            </w:r>
          </w:p>
        </w:tc>
        <w:tc>
          <w:tcPr>
            <w:tcW w:w="364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 </w:t>
            </w:r>
          </w:p>
        </w:tc>
        <w:tc>
          <w:tcPr>
            <w:tcW w:w="1180" w:type="dxa"/>
            <w:tcBorders>
              <w:top w:val="nil"/>
              <w:left w:val="nil"/>
              <w:bottom w:val="single" w:sz="4" w:space="0" w:color="auto"/>
              <w:right w:val="nil"/>
            </w:tcBorders>
            <w:shd w:val="clear" w:color="auto" w:fill="auto"/>
            <w:vAlign w:val="center"/>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к.2.1-к.2.2</w:t>
            </w:r>
          </w:p>
        </w:tc>
        <w:tc>
          <w:tcPr>
            <w:tcW w:w="120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Разходи</w:t>
            </w:r>
          </w:p>
        </w:tc>
        <w:tc>
          <w:tcPr>
            <w:tcW w:w="116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Трансфери (нето)</w:t>
            </w:r>
          </w:p>
        </w:tc>
        <w:tc>
          <w:tcPr>
            <w:tcW w:w="1180" w:type="dxa"/>
            <w:tcBorders>
              <w:top w:val="nil"/>
              <w:left w:val="nil"/>
              <w:bottom w:val="single" w:sz="4" w:space="0" w:color="auto"/>
              <w:right w:val="nil"/>
            </w:tcBorders>
            <w:shd w:val="clear" w:color="auto" w:fill="auto"/>
            <w:vAlign w:val="center"/>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к.3.1-к.3.2</w:t>
            </w:r>
          </w:p>
        </w:tc>
        <w:tc>
          <w:tcPr>
            <w:tcW w:w="118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Разходи</w:t>
            </w:r>
          </w:p>
        </w:tc>
        <w:tc>
          <w:tcPr>
            <w:tcW w:w="116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Трансфери (нето)</w:t>
            </w:r>
          </w:p>
        </w:tc>
        <w:tc>
          <w:tcPr>
            <w:tcW w:w="1240" w:type="dxa"/>
            <w:tcBorders>
              <w:top w:val="nil"/>
              <w:left w:val="nil"/>
              <w:bottom w:val="single" w:sz="4" w:space="0" w:color="auto"/>
              <w:right w:val="nil"/>
            </w:tcBorders>
            <w:shd w:val="clear" w:color="auto" w:fill="auto"/>
            <w:vAlign w:val="center"/>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к.4.1-к.4.2</w:t>
            </w:r>
          </w:p>
        </w:tc>
        <w:tc>
          <w:tcPr>
            <w:tcW w:w="120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Разходи</w:t>
            </w:r>
          </w:p>
        </w:tc>
        <w:tc>
          <w:tcPr>
            <w:tcW w:w="1220" w:type="dxa"/>
            <w:tcBorders>
              <w:top w:val="nil"/>
              <w:left w:val="nil"/>
              <w:bottom w:val="single" w:sz="4" w:space="0" w:color="auto"/>
              <w:right w:val="nil"/>
            </w:tcBorders>
            <w:shd w:val="clear" w:color="auto" w:fill="auto"/>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Трансфери (нето)</w:t>
            </w:r>
          </w:p>
        </w:tc>
      </w:tr>
      <w:tr w:rsidR="00F140E4" w:rsidRPr="00F140E4" w:rsidTr="00F140E4">
        <w:trPr>
          <w:trHeight w:val="255"/>
        </w:trPr>
        <w:tc>
          <w:tcPr>
            <w:tcW w:w="46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 </w:t>
            </w:r>
          </w:p>
        </w:tc>
        <w:tc>
          <w:tcPr>
            <w:tcW w:w="364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1</w:t>
            </w:r>
          </w:p>
        </w:tc>
        <w:tc>
          <w:tcPr>
            <w:tcW w:w="118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2</w:t>
            </w:r>
          </w:p>
        </w:tc>
        <w:tc>
          <w:tcPr>
            <w:tcW w:w="120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2.1</w:t>
            </w:r>
          </w:p>
        </w:tc>
        <w:tc>
          <w:tcPr>
            <w:tcW w:w="116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2.2</w:t>
            </w:r>
          </w:p>
        </w:tc>
        <w:tc>
          <w:tcPr>
            <w:tcW w:w="118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3</w:t>
            </w:r>
          </w:p>
        </w:tc>
        <w:tc>
          <w:tcPr>
            <w:tcW w:w="118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3.1</w:t>
            </w:r>
          </w:p>
        </w:tc>
        <w:tc>
          <w:tcPr>
            <w:tcW w:w="116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3.2</w:t>
            </w:r>
          </w:p>
        </w:tc>
        <w:tc>
          <w:tcPr>
            <w:tcW w:w="124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4</w:t>
            </w:r>
          </w:p>
        </w:tc>
        <w:tc>
          <w:tcPr>
            <w:tcW w:w="120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4.1</w:t>
            </w:r>
          </w:p>
        </w:tc>
        <w:tc>
          <w:tcPr>
            <w:tcW w:w="122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center"/>
              <w:rPr>
                <w:rFonts w:eastAsia="Times New Roman" w:cs="Times New Roman"/>
                <w:b/>
                <w:bCs/>
                <w:sz w:val="20"/>
                <w:szCs w:val="20"/>
              </w:rPr>
            </w:pPr>
            <w:r w:rsidRPr="00F140E4">
              <w:rPr>
                <w:rFonts w:eastAsia="Times New Roman" w:cs="Times New Roman"/>
                <w:b/>
                <w:bCs/>
                <w:sz w:val="20"/>
                <w:szCs w:val="20"/>
              </w:rPr>
              <w:t>4.2</w:t>
            </w:r>
          </w:p>
        </w:tc>
      </w:tr>
      <w:tr w:rsidR="00F140E4" w:rsidRPr="00F140E4" w:rsidTr="00F140E4">
        <w:trPr>
          <w:trHeight w:val="570"/>
        </w:trPr>
        <w:tc>
          <w:tcPr>
            <w:tcW w:w="460" w:type="dxa"/>
            <w:tcBorders>
              <w:top w:val="nil"/>
              <w:left w:val="nil"/>
              <w:bottom w:val="nil"/>
              <w:right w:val="nil"/>
            </w:tcBorders>
            <w:shd w:val="clear" w:color="auto" w:fill="auto"/>
            <w:noWrap/>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w:t>
            </w:r>
          </w:p>
        </w:tc>
        <w:tc>
          <w:tcPr>
            <w:tcW w:w="3640" w:type="dxa"/>
            <w:tcBorders>
              <w:top w:val="nil"/>
              <w:left w:val="nil"/>
              <w:bottom w:val="nil"/>
              <w:right w:val="nil"/>
            </w:tcBorders>
            <w:shd w:val="clear" w:color="auto" w:fill="auto"/>
            <w:hideMark/>
          </w:tcPr>
          <w:p w:rsidR="00F140E4" w:rsidRPr="00F140E4" w:rsidRDefault="00F140E4" w:rsidP="00F140E4">
            <w:pPr>
              <w:spacing w:after="0"/>
              <w:jc w:val="left"/>
              <w:rPr>
                <w:rFonts w:eastAsia="Times New Roman" w:cs="Times New Roman"/>
                <w:sz w:val="20"/>
                <w:szCs w:val="20"/>
              </w:rPr>
            </w:pPr>
            <w:r w:rsidRPr="00F140E4">
              <w:rPr>
                <w:rFonts w:eastAsia="Times New Roman" w:cs="Times New Roman"/>
                <w:sz w:val="20"/>
                <w:szCs w:val="20"/>
              </w:rPr>
              <w:t>Предприятие за управление на дейностите по опазване на околната среда</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15 795,7</w:t>
            </w:r>
          </w:p>
        </w:tc>
        <w:tc>
          <w:tcPr>
            <w:tcW w:w="120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69 295,7</w:t>
            </w:r>
          </w:p>
        </w:tc>
        <w:tc>
          <w:tcPr>
            <w:tcW w:w="116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53 500,0</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15 175,7</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71 275,7</w:t>
            </w:r>
          </w:p>
        </w:tc>
        <w:tc>
          <w:tcPr>
            <w:tcW w:w="116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56 100,0</w:t>
            </w:r>
          </w:p>
        </w:tc>
        <w:tc>
          <w:tcPr>
            <w:tcW w:w="124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15 175,7</w:t>
            </w:r>
          </w:p>
        </w:tc>
        <w:tc>
          <w:tcPr>
            <w:tcW w:w="120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75 575,7</w:t>
            </w:r>
          </w:p>
        </w:tc>
        <w:tc>
          <w:tcPr>
            <w:tcW w:w="122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60 400,0</w:t>
            </w:r>
          </w:p>
        </w:tc>
      </w:tr>
      <w:tr w:rsidR="00F140E4" w:rsidRPr="00F140E4" w:rsidTr="00F140E4">
        <w:trPr>
          <w:trHeight w:val="570"/>
        </w:trPr>
        <w:tc>
          <w:tcPr>
            <w:tcW w:w="460" w:type="dxa"/>
            <w:tcBorders>
              <w:top w:val="nil"/>
              <w:left w:val="nil"/>
              <w:bottom w:val="nil"/>
              <w:right w:val="nil"/>
            </w:tcBorders>
            <w:shd w:val="clear" w:color="auto" w:fill="auto"/>
            <w:noWrap/>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w:t>
            </w:r>
          </w:p>
        </w:tc>
        <w:tc>
          <w:tcPr>
            <w:tcW w:w="3640" w:type="dxa"/>
            <w:tcBorders>
              <w:top w:val="nil"/>
              <w:left w:val="nil"/>
              <w:bottom w:val="nil"/>
              <w:right w:val="nil"/>
            </w:tcBorders>
            <w:shd w:val="clear" w:color="auto" w:fill="auto"/>
            <w:hideMark/>
          </w:tcPr>
          <w:p w:rsidR="00F140E4" w:rsidRPr="00F140E4" w:rsidRDefault="00F140E4" w:rsidP="00F140E4">
            <w:pPr>
              <w:spacing w:after="0"/>
              <w:jc w:val="left"/>
              <w:rPr>
                <w:rFonts w:eastAsia="Times New Roman" w:cs="Times New Roman"/>
                <w:sz w:val="20"/>
                <w:szCs w:val="20"/>
              </w:rPr>
            </w:pPr>
            <w:r w:rsidRPr="00F140E4">
              <w:rPr>
                <w:rFonts w:eastAsia="Times New Roman" w:cs="Times New Roman"/>
                <w:sz w:val="20"/>
                <w:szCs w:val="20"/>
              </w:rPr>
              <w:t>Фонд „Сигурност на електроенергийната система“</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1 829 139,0</w:t>
            </w:r>
          </w:p>
        </w:tc>
        <w:tc>
          <w:tcPr>
            <w:tcW w:w="120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1 829 139,0</w:t>
            </w:r>
          </w:p>
        </w:tc>
        <w:tc>
          <w:tcPr>
            <w:tcW w:w="116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1 829 139,0</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1 829 139,0</w:t>
            </w:r>
          </w:p>
        </w:tc>
        <w:tc>
          <w:tcPr>
            <w:tcW w:w="116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c>
          <w:tcPr>
            <w:tcW w:w="124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1 829 139,0</w:t>
            </w:r>
          </w:p>
        </w:tc>
        <w:tc>
          <w:tcPr>
            <w:tcW w:w="120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1 829 139,0</w:t>
            </w:r>
          </w:p>
        </w:tc>
        <w:tc>
          <w:tcPr>
            <w:tcW w:w="122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r>
      <w:tr w:rsidR="00F140E4" w:rsidRPr="00F140E4" w:rsidTr="00F140E4">
        <w:trPr>
          <w:trHeight w:val="570"/>
        </w:trPr>
        <w:tc>
          <w:tcPr>
            <w:tcW w:w="460" w:type="dxa"/>
            <w:tcBorders>
              <w:top w:val="nil"/>
              <w:left w:val="nil"/>
              <w:bottom w:val="nil"/>
              <w:right w:val="nil"/>
            </w:tcBorders>
            <w:shd w:val="clear" w:color="auto" w:fill="auto"/>
            <w:noWrap/>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3</w:t>
            </w:r>
          </w:p>
        </w:tc>
        <w:tc>
          <w:tcPr>
            <w:tcW w:w="3640" w:type="dxa"/>
            <w:tcBorders>
              <w:top w:val="nil"/>
              <w:left w:val="nil"/>
              <w:bottom w:val="nil"/>
              <w:right w:val="nil"/>
            </w:tcBorders>
            <w:shd w:val="clear" w:color="auto" w:fill="auto"/>
            <w:hideMark/>
          </w:tcPr>
          <w:p w:rsidR="00F140E4" w:rsidRPr="00F140E4" w:rsidRDefault="00F140E4" w:rsidP="00F140E4">
            <w:pPr>
              <w:spacing w:after="0"/>
              <w:jc w:val="left"/>
              <w:rPr>
                <w:rFonts w:eastAsia="Times New Roman" w:cs="Times New Roman"/>
                <w:sz w:val="20"/>
                <w:szCs w:val="20"/>
              </w:rPr>
            </w:pPr>
            <w:r w:rsidRPr="00F140E4">
              <w:rPr>
                <w:rFonts w:eastAsia="Times New Roman" w:cs="Times New Roman"/>
                <w:sz w:val="20"/>
                <w:szCs w:val="20"/>
              </w:rPr>
              <w:t>Държавно предприятие „Научно-производствен център“</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2 443,8</w:t>
            </w:r>
          </w:p>
        </w:tc>
        <w:tc>
          <w:tcPr>
            <w:tcW w:w="120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2 443,8</w:t>
            </w:r>
          </w:p>
        </w:tc>
        <w:tc>
          <w:tcPr>
            <w:tcW w:w="116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2 443,8</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2 443,8</w:t>
            </w:r>
          </w:p>
        </w:tc>
        <w:tc>
          <w:tcPr>
            <w:tcW w:w="116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c>
          <w:tcPr>
            <w:tcW w:w="124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2 443,8</w:t>
            </w:r>
          </w:p>
        </w:tc>
        <w:tc>
          <w:tcPr>
            <w:tcW w:w="120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2 443,8</w:t>
            </w:r>
          </w:p>
        </w:tc>
        <w:tc>
          <w:tcPr>
            <w:tcW w:w="122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r>
      <w:tr w:rsidR="00F140E4" w:rsidRPr="00F140E4" w:rsidTr="00F140E4">
        <w:trPr>
          <w:trHeight w:val="570"/>
        </w:trPr>
        <w:tc>
          <w:tcPr>
            <w:tcW w:w="460" w:type="dxa"/>
            <w:tcBorders>
              <w:top w:val="nil"/>
              <w:left w:val="nil"/>
              <w:bottom w:val="nil"/>
              <w:right w:val="nil"/>
            </w:tcBorders>
            <w:shd w:val="clear" w:color="auto" w:fill="auto"/>
            <w:noWrap/>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4</w:t>
            </w:r>
          </w:p>
        </w:tc>
        <w:tc>
          <w:tcPr>
            <w:tcW w:w="3640" w:type="dxa"/>
            <w:tcBorders>
              <w:top w:val="nil"/>
              <w:left w:val="nil"/>
              <w:bottom w:val="nil"/>
              <w:right w:val="nil"/>
            </w:tcBorders>
            <w:shd w:val="clear" w:color="auto" w:fill="auto"/>
            <w:hideMark/>
          </w:tcPr>
          <w:p w:rsidR="00F140E4" w:rsidRPr="00F140E4" w:rsidRDefault="00F140E4" w:rsidP="00F140E4">
            <w:pPr>
              <w:spacing w:after="0"/>
              <w:jc w:val="left"/>
              <w:rPr>
                <w:rFonts w:eastAsia="Times New Roman" w:cs="Times New Roman"/>
                <w:sz w:val="20"/>
                <w:szCs w:val="20"/>
              </w:rPr>
            </w:pPr>
            <w:r w:rsidRPr="00F140E4">
              <w:rPr>
                <w:rFonts w:eastAsia="Times New Roman" w:cs="Times New Roman"/>
                <w:sz w:val="20"/>
                <w:szCs w:val="20"/>
              </w:rPr>
              <w:t>Държавно предприятие „Управление и стопанисване на язовири“</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c>
          <w:tcPr>
            <w:tcW w:w="120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22 398,8</w:t>
            </w:r>
          </w:p>
        </w:tc>
        <w:tc>
          <w:tcPr>
            <w:tcW w:w="116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22 398,8</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c>
          <w:tcPr>
            <w:tcW w:w="118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22 901,0</w:t>
            </w:r>
          </w:p>
        </w:tc>
        <w:tc>
          <w:tcPr>
            <w:tcW w:w="116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22 901,0</w:t>
            </w:r>
          </w:p>
        </w:tc>
        <w:tc>
          <w:tcPr>
            <w:tcW w:w="124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0,0</w:t>
            </w:r>
          </w:p>
        </w:tc>
        <w:tc>
          <w:tcPr>
            <w:tcW w:w="120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22 901,0</w:t>
            </w:r>
          </w:p>
        </w:tc>
        <w:tc>
          <w:tcPr>
            <w:tcW w:w="1220" w:type="dxa"/>
            <w:tcBorders>
              <w:top w:val="nil"/>
              <w:left w:val="nil"/>
              <w:bottom w:val="nil"/>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22 901,0</w:t>
            </w:r>
          </w:p>
        </w:tc>
      </w:tr>
      <w:tr w:rsidR="00F140E4" w:rsidRPr="00F140E4" w:rsidTr="00F140E4">
        <w:trPr>
          <w:trHeight w:val="420"/>
        </w:trPr>
        <w:tc>
          <w:tcPr>
            <w:tcW w:w="460" w:type="dxa"/>
            <w:tcBorders>
              <w:top w:val="nil"/>
              <w:left w:val="nil"/>
              <w:bottom w:val="single" w:sz="4" w:space="0" w:color="auto"/>
              <w:right w:val="nil"/>
            </w:tcBorders>
            <w:shd w:val="clear" w:color="auto" w:fill="auto"/>
            <w:noWrap/>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5</w:t>
            </w:r>
          </w:p>
        </w:tc>
        <w:tc>
          <w:tcPr>
            <w:tcW w:w="3640" w:type="dxa"/>
            <w:tcBorders>
              <w:top w:val="nil"/>
              <w:left w:val="nil"/>
              <w:bottom w:val="single" w:sz="4" w:space="0" w:color="auto"/>
              <w:right w:val="nil"/>
            </w:tcBorders>
            <w:shd w:val="clear" w:color="auto" w:fill="auto"/>
            <w:hideMark/>
          </w:tcPr>
          <w:p w:rsidR="00F140E4" w:rsidRPr="00F140E4" w:rsidRDefault="00F140E4" w:rsidP="000A17A5">
            <w:pPr>
              <w:spacing w:after="0"/>
              <w:jc w:val="left"/>
              <w:rPr>
                <w:rFonts w:eastAsia="Times New Roman" w:cs="Times New Roman"/>
                <w:sz w:val="20"/>
                <w:szCs w:val="20"/>
              </w:rPr>
            </w:pPr>
            <w:r w:rsidRPr="00F140E4">
              <w:rPr>
                <w:rFonts w:eastAsia="Times New Roman" w:cs="Times New Roman"/>
                <w:sz w:val="20"/>
                <w:szCs w:val="20"/>
              </w:rPr>
              <w:t>Селскостопанска академия</w:t>
            </w:r>
          </w:p>
        </w:tc>
        <w:tc>
          <w:tcPr>
            <w:tcW w:w="118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16 000,0</w:t>
            </w:r>
          </w:p>
        </w:tc>
        <w:tc>
          <w:tcPr>
            <w:tcW w:w="120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43 985,7</w:t>
            </w:r>
          </w:p>
        </w:tc>
        <w:tc>
          <w:tcPr>
            <w:tcW w:w="116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27 985,7</w:t>
            </w:r>
          </w:p>
        </w:tc>
        <w:tc>
          <w:tcPr>
            <w:tcW w:w="118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16 000,0</w:t>
            </w:r>
          </w:p>
        </w:tc>
        <w:tc>
          <w:tcPr>
            <w:tcW w:w="118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45 185,7</w:t>
            </w:r>
          </w:p>
        </w:tc>
        <w:tc>
          <w:tcPr>
            <w:tcW w:w="116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29 185,7</w:t>
            </w:r>
          </w:p>
        </w:tc>
        <w:tc>
          <w:tcPr>
            <w:tcW w:w="124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16 000,0</w:t>
            </w:r>
          </w:p>
        </w:tc>
        <w:tc>
          <w:tcPr>
            <w:tcW w:w="120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45 185,7</w:t>
            </w:r>
          </w:p>
        </w:tc>
        <w:tc>
          <w:tcPr>
            <w:tcW w:w="1220" w:type="dxa"/>
            <w:tcBorders>
              <w:top w:val="nil"/>
              <w:left w:val="nil"/>
              <w:bottom w:val="single" w:sz="4" w:space="0" w:color="auto"/>
              <w:right w:val="nil"/>
            </w:tcBorders>
            <w:shd w:val="clear" w:color="auto" w:fill="auto"/>
            <w:noWrap/>
            <w:vAlign w:val="bottom"/>
            <w:hideMark/>
          </w:tcPr>
          <w:p w:rsidR="00F140E4" w:rsidRPr="00F140E4" w:rsidRDefault="00F140E4" w:rsidP="00F140E4">
            <w:pPr>
              <w:spacing w:after="0"/>
              <w:jc w:val="right"/>
              <w:rPr>
                <w:rFonts w:eastAsia="Times New Roman" w:cs="Times New Roman"/>
                <w:sz w:val="20"/>
                <w:szCs w:val="20"/>
              </w:rPr>
            </w:pPr>
            <w:r w:rsidRPr="00F140E4">
              <w:rPr>
                <w:rFonts w:eastAsia="Times New Roman" w:cs="Times New Roman"/>
                <w:sz w:val="20"/>
                <w:szCs w:val="20"/>
              </w:rPr>
              <w:t>29 185,7</w:t>
            </w:r>
          </w:p>
        </w:tc>
      </w:tr>
    </w:tbl>
    <w:p w:rsidR="00F140E4" w:rsidRDefault="00F140E4" w:rsidP="00A63B35">
      <w:pPr>
        <w:spacing w:after="120"/>
        <w:jc w:val="right"/>
        <w:rPr>
          <w:sz w:val="20"/>
          <w:szCs w:val="20"/>
        </w:rPr>
      </w:pPr>
    </w:p>
    <w:p w:rsidR="00F140E4" w:rsidRPr="005B6198" w:rsidRDefault="00F140E4" w:rsidP="00A63B35">
      <w:pPr>
        <w:spacing w:after="120"/>
        <w:jc w:val="right"/>
        <w:rPr>
          <w:sz w:val="20"/>
          <w:szCs w:val="20"/>
        </w:rPr>
      </w:pPr>
    </w:p>
    <w:p w:rsidR="005A30CA" w:rsidRPr="003F599B" w:rsidRDefault="005A30CA" w:rsidP="00346EBD">
      <w:pPr>
        <w:spacing w:after="120"/>
        <w:ind w:right="142"/>
        <w:jc w:val="right"/>
      </w:pPr>
    </w:p>
    <w:p w:rsidR="004968EC" w:rsidRDefault="004968EC" w:rsidP="00D22F61">
      <w:r>
        <w:br w:type="page"/>
      </w:r>
    </w:p>
    <w:p w:rsidR="002B149E" w:rsidRDefault="002B149E" w:rsidP="00DE2BDB">
      <w:pPr>
        <w:pStyle w:val="Heading2"/>
        <w:numPr>
          <w:ilvl w:val="0"/>
          <w:numId w:val="0"/>
        </w:numPr>
      </w:pPr>
      <w:bookmarkStart w:id="891" w:name="_Toc464224831"/>
      <w:bookmarkStart w:id="892" w:name="_Toc464225481"/>
      <w:bookmarkStart w:id="893" w:name="_Toc464459028"/>
      <w:bookmarkStart w:id="894" w:name="_Toc464459776"/>
      <w:bookmarkStart w:id="895" w:name="_Toc464460729"/>
      <w:bookmarkStart w:id="896" w:name="_Toc464463128"/>
      <w:bookmarkStart w:id="897" w:name="_Toc464464957"/>
      <w:bookmarkStart w:id="898" w:name="_Toc464465464"/>
      <w:bookmarkStart w:id="899" w:name="_Toc464465652"/>
      <w:bookmarkStart w:id="900" w:name="_Toc464466476"/>
      <w:bookmarkStart w:id="901" w:name="_Toc464466719"/>
      <w:bookmarkStart w:id="902" w:name="_Toc464645436"/>
      <w:bookmarkStart w:id="903" w:name="_Toc465205594"/>
      <w:bookmarkStart w:id="904" w:name="_Toc23337509"/>
      <w:r w:rsidRPr="00077DB4">
        <w:t xml:space="preserve">Приложение № 9: </w:t>
      </w:r>
      <w:r w:rsidR="001B1227" w:rsidRPr="00077DB4">
        <w:br/>
      </w:r>
      <w:r w:rsidR="00B04AD7" w:rsidRPr="00B46E28">
        <w:t>Р</w:t>
      </w:r>
      <w:r w:rsidRPr="00B46E28">
        <w:t xml:space="preserve">азмери на </w:t>
      </w:r>
      <w:r w:rsidR="00E3725A" w:rsidRPr="00B46E28">
        <w:t xml:space="preserve">ОСНОВНИТЕ </w:t>
      </w:r>
      <w:r w:rsidRPr="00B46E28">
        <w:t>бюджетни взаимоотношения между централния бюджет и бюдж</w:t>
      </w:r>
      <w:r w:rsidR="00B502E4">
        <w:t>етите на общините за периода 2020-2022</w:t>
      </w:r>
      <w:r w:rsidR="00AA3035" w:rsidRPr="00B46E28">
        <w:t> г.</w:t>
      </w:r>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p>
    <w:p w:rsidR="00A63B35" w:rsidRDefault="00A63B35" w:rsidP="00A63B35">
      <w:pPr>
        <w:spacing w:after="120"/>
        <w:ind w:firstLine="12900"/>
        <w:jc w:val="left"/>
        <w:rPr>
          <w:sz w:val="20"/>
          <w:szCs w:val="20"/>
        </w:rPr>
      </w:pPr>
      <w:r w:rsidRPr="005B6198">
        <w:rPr>
          <w:sz w:val="20"/>
          <w:szCs w:val="20"/>
        </w:rPr>
        <w:t>(в хил. лв.)</w:t>
      </w:r>
    </w:p>
    <w:tbl>
      <w:tblPr>
        <w:tblW w:w="14100" w:type="dxa"/>
        <w:tblInd w:w="55" w:type="dxa"/>
        <w:tblCellMar>
          <w:left w:w="70" w:type="dxa"/>
          <w:right w:w="70" w:type="dxa"/>
        </w:tblCellMar>
        <w:tblLook w:val="04A0" w:firstRow="1" w:lastRow="0" w:firstColumn="1" w:lastColumn="0" w:noHBand="0" w:noVBand="1"/>
      </w:tblPr>
      <w:tblGrid>
        <w:gridCol w:w="420"/>
        <w:gridCol w:w="8040"/>
        <w:gridCol w:w="1900"/>
        <w:gridCol w:w="1900"/>
        <w:gridCol w:w="1840"/>
      </w:tblGrid>
      <w:tr w:rsidR="001878D3" w:rsidRPr="001878D3" w:rsidTr="001878D3">
        <w:trPr>
          <w:trHeight w:val="230"/>
        </w:trPr>
        <w:tc>
          <w:tcPr>
            <w:tcW w:w="420" w:type="dxa"/>
            <w:vMerge w:val="restart"/>
            <w:tcBorders>
              <w:top w:val="single" w:sz="4" w:space="0" w:color="auto"/>
              <w:left w:val="nil"/>
              <w:bottom w:val="single" w:sz="4" w:space="0" w:color="000000"/>
              <w:right w:val="nil"/>
            </w:tcBorders>
            <w:shd w:val="clear" w:color="auto" w:fill="auto"/>
            <w:noWrap/>
            <w:vAlign w:val="center"/>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w:t>
            </w:r>
          </w:p>
        </w:tc>
        <w:tc>
          <w:tcPr>
            <w:tcW w:w="8040" w:type="dxa"/>
            <w:vMerge w:val="restart"/>
            <w:tcBorders>
              <w:top w:val="single" w:sz="4" w:space="0" w:color="auto"/>
              <w:left w:val="nil"/>
              <w:bottom w:val="single" w:sz="4" w:space="0" w:color="000000"/>
              <w:right w:val="nil"/>
            </w:tcBorders>
            <w:shd w:val="clear" w:color="auto" w:fill="auto"/>
            <w:noWrap/>
            <w:vAlign w:val="center"/>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Показатели</w:t>
            </w:r>
          </w:p>
        </w:tc>
        <w:tc>
          <w:tcPr>
            <w:tcW w:w="1900" w:type="dxa"/>
            <w:vMerge w:val="restart"/>
            <w:tcBorders>
              <w:top w:val="single" w:sz="4" w:space="0" w:color="auto"/>
              <w:left w:val="nil"/>
              <w:bottom w:val="single" w:sz="4" w:space="0" w:color="000000"/>
              <w:right w:val="nil"/>
            </w:tcBorders>
            <w:shd w:val="clear" w:color="auto" w:fill="auto"/>
            <w:noWrap/>
            <w:vAlign w:val="center"/>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xml:space="preserve"> 2020 г.</w:t>
            </w:r>
          </w:p>
        </w:tc>
        <w:tc>
          <w:tcPr>
            <w:tcW w:w="1900" w:type="dxa"/>
            <w:vMerge w:val="restart"/>
            <w:tcBorders>
              <w:top w:val="single" w:sz="4" w:space="0" w:color="auto"/>
              <w:left w:val="nil"/>
              <w:bottom w:val="single" w:sz="4" w:space="0" w:color="000000"/>
              <w:right w:val="nil"/>
            </w:tcBorders>
            <w:shd w:val="clear" w:color="auto" w:fill="auto"/>
            <w:noWrap/>
            <w:vAlign w:val="center"/>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xml:space="preserve"> 2021 г.</w:t>
            </w:r>
          </w:p>
        </w:tc>
        <w:tc>
          <w:tcPr>
            <w:tcW w:w="1840" w:type="dxa"/>
            <w:vMerge w:val="restart"/>
            <w:tcBorders>
              <w:top w:val="single" w:sz="4" w:space="0" w:color="auto"/>
              <w:left w:val="nil"/>
              <w:bottom w:val="single" w:sz="4" w:space="0" w:color="000000"/>
              <w:right w:val="nil"/>
            </w:tcBorders>
            <w:shd w:val="clear" w:color="auto" w:fill="auto"/>
            <w:noWrap/>
            <w:vAlign w:val="center"/>
            <w:hideMark/>
          </w:tcPr>
          <w:p w:rsidR="001878D3" w:rsidRPr="001878D3" w:rsidRDefault="001878D3" w:rsidP="001878D3">
            <w:pPr>
              <w:spacing w:after="0"/>
              <w:jc w:val="center"/>
              <w:rPr>
                <w:rFonts w:eastAsia="Times New Roman" w:cs="Times New Roman"/>
                <w:b/>
                <w:bCs/>
                <w:sz w:val="20"/>
                <w:szCs w:val="20"/>
              </w:rPr>
            </w:pPr>
            <w:r w:rsidRPr="001878D3">
              <w:rPr>
                <w:rFonts w:eastAsia="Times New Roman" w:cs="Times New Roman"/>
                <w:b/>
                <w:bCs/>
                <w:sz w:val="20"/>
                <w:szCs w:val="20"/>
              </w:rPr>
              <w:t xml:space="preserve"> 2022 г.</w:t>
            </w:r>
          </w:p>
        </w:tc>
      </w:tr>
      <w:tr w:rsidR="001878D3" w:rsidRPr="001878D3" w:rsidTr="001878D3">
        <w:trPr>
          <w:trHeight w:val="255"/>
        </w:trPr>
        <w:tc>
          <w:tcPr>
            <w:tcW w:w="42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c>
          <w:tcPr>
            <w:tcW w:w="804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c>
          <w:tcPr>
            <w:tcW w:w="190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c>
          <w:tcPr>
            <w:tcW w:w="190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c>
          <w:tcPr>
            <w:tcW w:w="184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r>
      <w:tr w:rsidR="001878D3" w:rsidRPr="001878D3" w:rsidTr="001878D3">
        <w:trPr>
          <w:trHeight w:val="270"/>
        </w:trPr>
        <w:tc>
          <w:tcPr>
            <w:tcW w:w="42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c>
          <w:tcPr>
            <w:tcW w:w="804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c>
          <w:tcPr>
            <w:tcW w:w="190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c>
          <w:tcPr>
            <w:tcW w:w="190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c>
          <w:tcPr>
            <w:tcW w:w="1840" w:type="dxa"/>
            <w:vMerge/>
            <w:tcBorders>
              <w:top w:val="single" w:sz="4" w:space="0" w:color="auto"/>
              <w:left w:val="nil"/>
              <w:bottom w:val="single" w:sz="4" w:space="0" w:color="000000"/>
              <w:right w:val="nil"/>
            </w:tcBorders>
            <w:vAlign w:val="center"/>
            <w:hideMark/>
          </w:tcPr>
          <w:p w:rsidR="001878D3" w:rsidRPr="001878D3" w:rsidRDefault="001878D3" w:rsidP="001878D3">
            <w:pPr>
              <w:spacing w:after="0"/>
              <w:jc w:val="left"/>
              <w:rPr>
                <w:rFonts w:eastAsia="Times New Roman" w:cs="Times New Roman"/>
                <w:b/>
                <w:bCs/>
                <w:sz w:val="20"/>
                <w:szCs w:val="20"/>
              </w:rPr>
            </w:pPr>
          </w:p>
        </w:tc>
      </w:tr>
      <w:tr w:rsidR="001878D3" w:rsidRPr="001878D3" w:rsidTr="001878D3">
        <w:trPr>
          <w:trHeight w:val="319"/>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jc w:val="left"/>
              <w:rPr>
                <w:rFonts w:eastAsia="Times New Roman" w:cs="Times New Roman"/>
                <w:b/>
                <w:bCs/>
                <w:sz w:val="20"/>
                <w:szCs w:val="20"/>
              </w:rPr>
            </w:pPr>
            <w:r w:rsidRPr="001878D3">
              <w:rPr>
                <w:rFonts w:eastAsia="Times New Roman" w:cs="Times New Roman"/>
                <w:b/>
                <w:bCs/>
                <w:sz w:val="20"/>
                <w:szCs w:val="20"/>
              </w:rPr>
              <w:t>Основни бюджетни взаимоотношения - Всичко</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b/>
                <w:bCs/>
                <w:color w:val="000000"/>
                <w:sz w:val="20"/>
                <w:szCs w:val="20"/>
              </w:rPr>
            </w:pPr>
            <w:r w:rsidRPr="001878D3">
              <w:rPr>
                <w:rFonts w:eastAsia="Times New Roman" w:cs="Times New Roman"/>
                <w:b/>
                <w:bCs/>
                <w:color w:val="000000"/>
                <w:sz w:val="20"/>
                <w:szCs w:val="20"/>
              </w:rPr>
              <w:t>4 202 545,5</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b/>
                <w:bCs/>
                <w:color w:val="000000"/>
                <w:sz w:val="20"/>
                <w:szCs w:val="20"/>
              </w:rPr>
            </w:pPr>
            <w:r w:rsidRPr="001878D3">
              <w:rPr>
                <w:rFonts w:eastAsia="Times New Roman" w:cs="Times New Roman"/>
                <w:b/>
                <w:bCs/>
                <w:color w:val="000000"/>
                <w:sz w:val="20"/>
                <w:szCs w:val="20"/>
              </w:rPr>
              <w:t>4 639 500,7</w:t>
            </w: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b/>
                <w:bCs/>
                <w:color w:val="000000"/>
                <w:sz w:val="20"/>
                <w:szCs w:val="20"/>
              </w:rPr>
            </w:pPr>
            <w:r w:rsidRPr="001878D3">
              <w:rPr>
                <w:rFonts w:eastAsia="Times New Roman" w:cs="Times New Roman"/>
                <w:b/>
                <w:bCs/>
                <w:color w:val="000000"/>
                <w:sz w:val="20"/>
                <w:szCs w:val="20"/>
              </w:rPr>
              <w:t>4 664 500,7</w:t>
            </w:r>
          </w:p>
        </w:tc>
      </w:tr>
      <w:tr w:rsidR="001878D3" w:rsidRPr="001878D3" w:rsidTr="001878D3">
        <w:trPr>
          <w:trHeight w:val="319"/>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100" w:firstLine="200"/>
              <w:jc w:val="left"/>
              <w:rPr>
                <w:rFonts w:eastAsia="Times New Roman" w:cs="Times New Roman"/>
                <w:sz w:val="20"/>
                <w:szCs w:val="20"/>
              </w:rPr>
            </w:pPr>
            <w:r w:rsidRPr="001878D3">
              <w:rPr>
                <w:rFonts w:eastAsia="Times New Roman" w:cs="Times New Roman"/>
                <w:sz w:val="20"/>
                <w:szCs w:val="20"/>
              </w:rPr>
              <w:t>от тях:</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left"/>
              <w:rPr>
                <w:rFonts w:eastAsia="Times New Roman" w:cs="Times New Roman"/>
                <w:color w:val="000000"/>
                <w:sz w:val="20"/>
                <w:szCs w:val="20"/>
              </w:rPr>
            </w:pP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left"/>
              <w:rPr>
                <w:rFonts w:eastAsia="Times New Roman" w:cs="Times New Roman"/>
                <w:color w:val="000000"/>
                <w:sz w:val="20"/>
                <w:szCs w:val="20"/>
              </w:rPr>
            </w:pPr>
          </w:p>
        </w:tc>
      </w:tr>
      <w:tr w:rsidR="001878D3" w:rsidRPr="001878D3" w:rsidTr="001878D3">
        <w:trPr>
          <w:trHeight w:val="319"/>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1</w:t>
            </w: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100" w:firstLine="200"/>
              <w:jc w:val="left"/>
              <w:rPr>
                <w:rFonts w:eastAsia="Times New Roman" w:cs="Times New Roman"/>
                <w:sz w:val="20"/>
                <w:szCs w:val="20"/>
              </w:rPr>
            </w:pPr>
            <w:r w:rsidRPr="001878D3">
              <w:rPr>
                <w:rFonts w:eastAsia="Times New Roman" w:cs="Times New Roman"/>
                <w:sz w:val="20"/>
                <w:szCs w:val="20"/>
              </w:rPr>
              <w:t>Обща субсидия за делегираните от държавата дейности</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3 653 185,2</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4 065 140,4</w:t>
            </w: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4 065 140,4</w:t>
            </w:r>
          </w:p>
        </w:tc>
      </w:tr>
      <w:tr w:rsidR="001878D3" w:rsidRPr="001878D3" w:rsidTr="001878D3">
        <w:trPr>
          <w:trHeight w:val="319"/>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w:t>
            </w: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100" w:firstLine="200"/>
              <w:jc w:val="left"/>
              <w:rPr>
                <w:rFonts w:eastAsia="Times New Roman" w:cs="Times New Roman"/>
                <w:sz w:val="20"/>
                <w:szCs w:val="20"/>
              </w:rPr>
            </w:pPr>
            <w:r w:rsidRPr="001878D3">
              <w:rPr>
                <w:rFonts w:eastAsia="Times New Roman" w:cs="Times New Roman"/>
                <w:sz w:val="20"/>
                <w:szCs w:val="20"/>
              </w:rPr>
              <w:t>Трансфери за местни дейности, без целева субсидия за капиталови разходи</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350 250,1</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365 250,1</w:t>
            </w: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380 250,1</w:t>
            </w:r>
          </w:p>
        </w:tc>
      </w:tr>
      <w:tr w:rsidR="001878D3" w:rsidRPr="001878D3" w:rsidTr="001878D3">
        <w:trPr>
          <w:trHeight w:val="300"/>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200" w:firstLine="400"/>
              <w:jc w:val="left"/>
              <w:rPr>
                <w:rFonts w:eastAsia="Times New Roman" w:cs="Times New Roman"/>
                <w:sz w:val="20"/>
                <w:szCs w:val="20"/>
              </w:rPr>
            </w:pPr>
            <w:r w:rsidRPr="001878D3">
              <w:rPr>
                <w:rFonts w:eastAsia="Times New Roman" w:cs="Times New Roman"/>
                <w:sz w:val="20"/>
                <w:szCs w:val="20"/>
              </w:rPr>
              <w:t>от тях:</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left"/>
              <w:rPr>
                <w:rFonts w:eastAsia="Times New Roman" w:cs="Times New Roman"/>
                <w:color w:val="000000"/>
                <w:sz w:val="20"/>
                <w:szCs w:val="20"/>
              </w:rPr>
            </w:pP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left"/>
              <w:rPr>
                <w:rFonts w:eastAsia="Times New Roman" w:cs="Times New Roman"/>
                <w:color w:val="000000"/>
                <w:sz w:val="20"/>
                <w:szCs w:val="20"/>
              </w:rPr>
            </w:pPr>
          </w:p>
        </w:tc>
      </w:tr>
      <w:tr w:rsidR="001878D3" w:rsidRPr="001878D3" w:rsidTr="001878D3">
        <w:trPr>
          <w:trHeight w:val="319"/>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2.1</w:t>
            </w: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200" w:firstLine="400"/>
              <w:jc w:val="left"/>
              <w:rPr>
                <w:rFonts w:eastAsia="Times New Roman" w:cs="Times New Roman"/>
                <w:sz w:val="20"/>
                <w:szCs w:val="20"/>
              </w:rPr>
            </w:pPr>
            <w:r w:rsidRPr="001878D3">
              <w:rPr>
                <w:rFonts w:eastAsia="Times New Roman" w:cs="Times New Roman"/>
                <w:sz w:val="20"/>
                <w:szCs w:val="20"/>
              </w:rPr>
              <w:t>Обща изравнителна субсидия</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307 022,0</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317 022,0</w:t>
            </w: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327 022,0</w:t>
            </w:r>
          </w:p>
        </w:tc>
      </w:tr>
      <w:tr w:rsidR="001878D3" w:rsidRPr="001878D3" w:rsidTr="001878D3">
        <w:trPr>
          <w:trHeight w:val="319"/>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2.2</w:t>
            </w: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200" w:firstLine="400"/>
              <w:jc w:val="left"/>
              <w:rPr>
                <w:rFonts w:eastAsia="Times New Roman" w:cs="Times New Roman"/>
                <w:sz w:val="20"/>
                <w:szCs w:val="20"/>
              </w:rPr>
            </w:pPr>
            <w:r w:rsidRPr="001878D3">
              <w:rPr>
                <w:rFonts w:eastAsia="Times New Roman" w:cs="Times New Roman"/>
                <w:sz w:val="20"/>
                <w:szCs w:val="20"/>
              </w:rPr>
              <w:t>За зимно поддържане и снегопочистване на общински пътища</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43 228,1</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48 228,1</w:t>
            </w: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53 228,1</w:t>
            </w:r>
          </w:p>
        </w:tc>
      </w:tr>
      <w:tr w:rsidR="001878D3" w:rsidRPr="001878D3" w:rsidTr="001878D3">
        <w:trPr>
          <w:trHeight w:val="319"/>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3</w:t>
            </w: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100" w:firstLine="200"/>
              <w:jc w:val="left"/>
              <w:rPr>
                <w:rFonts w:eastAsia="Times New Roman" w:cs="Times New Roman"/>
                <w:sz w:val="20"/>
                <w:szCs w:val="20"/>
              </w:rPr>
            </w:pPr>
            <w:r w:rsidRPr="001878D3">
              <w:rPr>
                <w:rFonts w:eastAsia="Times New Roman" w:cs="Times New Roman"/>
                <w:sz w:val="20"/>
                <w:szCs w:val="20"/>
              </w:rPr>
              <w:t>Целева субсидия за капиталови разходи</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199 110,2</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209 110,2</w:t>
            </w: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219 110,2</w:t>
            </w:r>
          </w:p>
        </w:tc>
      </w:tr>
      <w:tr w:rsidR="001878D3" w:rsidRPr="001878D3" w:rsidTr="001878D3">
        <w:trPr>
          <w:trHeight w:val="270"/>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200" w:firstLine="400"/>
              <w:jc w:val="left"/>
              <w:rPr>
                <w:rFonts w:eastAsia="Times New Roman" w:cs="Times New Roman"/>
                <w:sz w:val="20"/>
                <w:szCs w:val="20"/>
              </w:rPr>
            </w:pPr>
            <w:r w:rsidRPr="001878D3">
              <w:rPr>
                <w:rFonts w:eastAsia="Times New Roman" w:cs="Times New Roman"/>
                <w:sz w:val="20"/>
                <w:szCs w:val="20"/>
              </w:rPr>
              <w:t>от тях за:</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left"/>
              <w:rPr>
                <w:rFonts w:eastAsia="Times New Roman" w:cs="Times New Roman"/>
                <w:color w:val="000000"/>
                <w:sz w:val="20"/>
                <w:szCs w:val="20"/>
              </w:rPr>
            </w:pP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left"/>
              <w:rPr>
                <w:rFonts w:eastAsia="Times New Roman" w:cs="Times New Roman"/>
                <w:color w:val="000000"/>
                <w:sz w:val="20"/>
                <w:szCs w:val="20"/>
              </w:rPr>
            </w:pPr>
          </w:p>
        </w:tc>
      </w:tr>
      <w:tr w:rsidR="001878D3" w:rsidRPr="001878D3" w:rsidTr="001878D3">
        <w:trPr>
          <w:trHeight w:val="319"/>
        </w:trPr>
        <w:tc>
          <w:tcPr>
            <w:tcW w:w="420" w:type="dxa"/>
            <w:tcBorders>
              <w:top w:val="nil"/>
              <w:left w:val="nil"/>
              <w:bottom w:val="nil"/>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3.1</w:t>
            </w:r>
          </w:p>
        </w:tc>
        <w:tc>
          <w:tcPr>
            <w:tcW w:w="8040" w:type="dxa"/>
            <w:tcBorders>
              <w:top w:val="nil"/>
              <w:left w:val="nil"/>
              <w:bottom w:val="nil"/>
              <w:right w:val="nil"/>
            </w:tcBorders>
            <w:shd w:val="clear" w:color="auto" w:fill="auto"/>
            <w:noWrap/>
            <w:vAlign w:val="center"/>
            <w:hideMark/>
          </w:tcPr>
          <w:p w:rsidR="001878D3" w:rsidRPr="001878D3" w:rsidRDefault="001878D3" w:rsidP="001878D3">
            <w:pPr>
              <w:spacing w:after="0"/>
              <w:ind w:firstLineChars="200" w:firstLine="400"/>
              <w:jc w:val="left"/>
              <w:rPr>
                <w:rFonts w:eastAsia="Times New Roman" w:cs="Times New Roman"/>
                <w:sz w:val="20"/>
                <w:szCs w:val="20"/>
              </w:rPr>
            </w:pPr>
            <w:r w:rsidRPr="001878D3">
              <w:rPr>
                <w:rFonts w:eastAsia="Times New Roman" w:cs="Times New Roman"/>
                <w:sz w:val="20"/>
                <w:szCs w:val="20"/>
              </w:rPr>
              <w:t>делегирани от държавата дейности</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85 066,5</w:t>
            </w:r>
          </w:p>
        </w:tc>
        <w:tc>
          <w:tcPr>
            <w:tcW w:w="190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93 358,3</w:t>
            </w:r>
          </w:p>
        </w:tc>
        <w:tc>
          <w:tcPr>
            <w:tcW w:w="1840" w:type="dxa"/>
            <w:tcBorders>
              <w:top w:val="nil"/>
              <w:left w:val="nil"/>
              <w:bottom w:val="nil"/>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93 358,3</w:t>
            </w:r>
          </w:p>
        </w:tc>
      </w:tr>
      <w:tr w:rsidR="001878D3" w:rsidRPr="001878D3" w:rsidTr="001878D3">
        <w:trPr>
          <w:trHeight w:val="319"/>
        </w:trPr>
        <w:tc>
          <w:tcPr>
            <w:tcW w:w="420" w:type="dxa"/>
            <w:tcBorders>
              <w:top w:val="nil"/>
              <w:left w:val="nil"/>
              <w:bottom w:val="single" w:sz="4" w:space="0" w:color="auto"/>
              <w:right w:val="nil"/>
            </w:tcBorders>
            <w:shd w:val="clear" w:color="auto" w:fill="auto"/>
            <w:noWrap/>
            <w:vAlign w:val="center"/>
            <w:hideMark/>
          </w:tcPr>
          <w:p w:rsidR="001878D3" w:rsidRPr="001878D3" w:rsidRDefault="001878D3" w:rsidP="001878D3">
            <w:pPr>
              <w:spacing w:after="0"/>
              <w:jc w:val="right"/>
              <w:rPr>
                <w:rFonts w:eastAsia="Times New Roman" w:cs="Times New Roman"/>
                <w:sz w:val="20"/>
                <w:szCs w:val="20"/>
              </w:rPr>
            </w:pPr>
            <w:r w:rsidRPr="001878D3">
              <w:rPr>
                <w:rFonts w:eastAsia="Times New Roman" w:cs="Times New Roman"/>
                <w:sz w:val="20"/>
                <w:szCs w:val="20"/>
              </w:rPr>
              <w:t>3.2</w:t>
            </w:r>
          </w:p>
        </w:tc>
        <w:tc>
          <w:tcPr>
            <w:tcW w:w="8040" w:type="dxa"/>
            <w:tcBorders>
              <w:top w:val="nil"/>
              <w:left w:val="nil"/>
              <w:bottom w:val="single" w:sz="4" w:space="0" w:color="auto"/>
              <w:right w:val="nil"/>
            </w:tcBorders>
            <w:shd w:val="clear" w:color="auto" w:fill="auto"/>
            <w:noWrap/>
            <w:vAlign w:val="center"/>
            <w:hideMark/>
          </w:tcPr>
          <w:p w:rsidR="001878D3" w:rsidRPr="001878D3" w:rsidRDefault="001878D3" w:rsidP="001878D3">
            <w:pPr>
              <w:spacing w:after="0"/>
              <w:ind w:firstLineChars="200" w:firstLine="400"/>
              <w:jc w:val="left"/>
              <w:rPr>
                <w:rFonts w:eastAsia="Times New Roman" w:cs="Times New Roman"/>
                <w:sz w:val="20"/>
                <w:szCs w:val="20"/>
              </w:rPr>
            </w:pPr>
            <w:r w:rsidRPr="001878D3">
              <w:rPr>
                <w:rFonts w:eastAsia="Times New Roman" w:cs="Times New Roman"/>
                <w:sz w:val="20"/>
                <w:szCs w:val="20"/>
              </w:rPr>
              <w:t>местни дейности</w:t>
            </w:r>
          </w:p>
        </w:tc>
        <w:tc>
          <w:tcPr>
            <w:tcW w:w="190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114 043,7</w:t>
            </w:r>
          </w:p>
        </w:tc>
        <w:tc>
          <w:tcPr>
            <w:tcW w:w="190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115 751,9</w:t>
            </w:r>
          </w:p>
        </w:tc>
        <w:tc>
          <w:tcPr>
            <w:tcW w:w="1840" w:type="dxa"/>
            <w:tcBorders>
              <w:top w:val="nil"/>
              <w:left w:val="nil"/>
              <w:bottom w:val="single" w:sz="4" w:space="0" w:color="auto"/>
              <w:right w:val="nil"/>
            </w:tcBorders>
            <w:shd w:val="clear" w:color="auto" w:fill="auto"/>
            <w:noWrap/>
            <w:vAlign w:val="bottom"/>
            <w:hideMark/>
          </w:tcPr>
          <w:p w:rsidR="001878D3" w:rsidRPr="001878D3" w:rsidRDefault="001878D3" w:rsidP="001878D3">
            <w:pPr>
              <w:spacing w:after="0"/>
              <w:jc w:val="right"/>
              <w:rPr>
                <w:rFonts w:eastAsia="Times New Roman" w:cs="Times New Roman"/>
                <w:color w:val="000000"/>
                <w:sz w:val="20"/>
                <w:szCs w:val="20"/>
              </w:rPr>
            </w:pPr>
            <w:r w:rsidRPr="001878D3">
              <w:rPr>
                <w:rFonts w:eastAsia="Times New Roman" w:cs="Times New Roman"/>
                <w:color w:val="000000"/>
                <w:sz w:val="20"/>
                <w:szCs w:val="20"/>
              </w:rPr>
              <w:t>125 751,9</w:t>
            </w:r>
          </w:p>
        </w:tc>
      </w:tr>
    </w:tbl>
    <w:p w:rsidR="001878D3" w:rsidRDefault="001878D3" w:rsidP="00A63B35">
      <w:pPr>
        <w:spacing w:after="120"/>
        <w:ind w:firstLine="12900"/>
        <w:jc w:val="left"/>
        <w:rPr>
          <w:sz w:val="20"/>
          <w:szCs w:val="20"/>
        </w:rPr>
      </w:pPr>
    </w:p>
    <w:p w:rsidR="001878D3" w:rsidRDefault="001878D3" w:rsidP="00A63B35">
      <w:pPr>
        <w:spacing w:after="120"/>
        <w:ind w:firstLine="12900"/>
        <w:jc w:val="left"/>
        <w:rPr>
          <w:sz w:val="20"/>
          <w:szCs w:val="20"/>
        </w:rPr>
      </w:pPr>
    </w:p>
    <w:p w:rsidR="00787998" w:rsidRDefault="00787998" w:rsidP="00A63B35">
      <w:pPr>
        <w:spacing w:after="120"/>
        <w:ind w:firstLine="12900"/>
        <w:jc w:val="left"/>
        <w:rPr>
          <w:sz w:val="20"/>
          <w:szCs w:val="20"/>
        </w:rPr>
      </w:pPr>
    </w:p>
    <w:p w:rsidR="00787998" w:rsidRDefault="00787998" w:rsidP="00A63B35">
      <w:pPr>
        <w:spacing w:after="120"/>
        <w:ind w:firstLine="12900"/>
        <w:jc w:val="left"/>
        <w:rPr>
          <w:sz w:val="20"/>
          <w:szCs w:val="20"/>
        </w:rPr>
      </w:pPr>
    </w:p>
    <w:p w:rsidR="004349B9" w:rsidRDefault="004349B9" w:rsidP="00A63B35">
      <w:pPr>
        <w:spacing w:after="120"/>
        <w:ind w:firstLine="12900"/>
        <w:jc w:val="left"/>
        <w:rPr>
          <w:sz w:val="20"/>
          <w:szCs w:val="20"/>
        </w:rPr>
      </w:pPr>
    </w:p>
    <w:p w:rsidR="00C037C4" w:rsidRDefault="00C037C4" w:rsidP="00756A2F">
      <w:pPr>
        <w:suppressAutoHyphens/>
        <w:autoSpaceDE w:val="0"/>
        <w:autoSpaceDN w:val="0"/>
        <w:adjustRightInd w:val="0"/>
        <w:spacing w:after="120" w:line="276" w:lineRule="auto"/>
        <w:ind w:firstLine="709"/>
        <w:rPr>
          <w:b/>
        </w:rPr>
      </w:pPr>
    </w:p>
    <w:p w:rsidR="00C037C4" w:rsidRDefault="00C037C4" w:rsidP="00756A2F">
      <w:pPr>
        <w:suppressAutoHyphens/>
        <w:autoSpaceDE w:val="0"/>
        <w:autoSpaceDN w:val="0"/>
        <w:adjustRightInd w:val="0"/>
        <w:spacing w:after="120" w:line="276" w:lineRule="auto"/>
        <w:ind w:firstLine="709"/>
        <w:rPr>
          <w:b/>
        </w:rPr>
      </w:pPr>
    </w:p>
    <w:p w:rsidR="00C037C4" w:rsidRDefault="00C037C4" w:rsidP="00756A2F">
      <w:pPr>
        <w:suppressAutoHyphens/>
        <w:autoSpaceDE w:val="0"/>
        <w:autoSpaceDN w:val="0"/>
        <w:adjustRightInd w:val="0"/>
        <w:spacing w:after="120" w:line="276" w:lineRule="auto"/>
        <w:ind w:firstLine="709"/>
        <w:rPr>
          <w:b/>
        </w:rPr>
      </w:pPr>
    </w:p>
    <w:p w:rsidR="00C037C4" w:rsidRDefault="00C037C4" w:rsidP="00756A2F">
      <w:pPr>
        <w:suppressAutoHyphens/>
        <w:autoSpaceDE w:val="0"/>
        <w:autoSpaceDN w:val="0"/>
        <w:adjustRightInd w:val="0"/>
        <w:spacing w:after="120" w:line="276" w:lineRule="auto"/>
        <w:ind w:firstLine="709"/>
        <w:rPr>
          <w:b/>
        </w:rPr>
      </w:pPr>
    </w:p>
    <w:p w:rsidR="00876743" w:rsidRDefault="00876743" w:rsidP="00756A2F">
      <w:pPr>
        <w:suppressAutoHyphens/>
        <w:autoSpaceDE w:val="0"/>
        <w:autoSpaceDN w:val="0"/>
        <w:adjustRightInd w:val="0"/>
        <w:spacing w:after="120" w:line="276" w:lineRule="auto"/>
        <w:ind w:firstLine="709"/>
        <w:rPr>
          <w:b/>
        </w:rPr>
        <w:sectPr w:rsidR="00876743" w:rsidSect="00FF16A0">
          <w:pgSz w:w="16838" w:h="11906" w:orient="landscape" w:code="9"/>
          <w:pgMar w:top="1134" w:right="1134" w:bottom="284" w:left="1134" w:header="709" w:footer="709" w:gutter="0"/>
          <w:cols w:space="708"/>
          <w:titlePg/>
          <w:docGrid w:linePitch="360"/>
        </w:sectPr>
      </w:pPr>
    </w:p>
    <w:p w:rsidR="00C037C4" w:rsidRPr="00B46E28" w:rsidRDefault="00C037C4" w:rsidP="00DE2BDB">
      <w:pPr>
        <w:pStyle w:val="Heading2"/>
        <w:numPr>
          <w:ilvl w:val="0"/>
          <w:numId w:val="0"/>
        </w:numPr>
        <w:rPr>
          <w:lang w:val="ru-RU"/>
        </w:rPr>
      </w:pPr>
      <w:bookmarkStart w:id="905" w:name="_Toc23337510"/>
      <w:r>
        <w:t>Приложение № 10</w:t>
      </w:r>
      <w:r w:rsidRPr="00077DB4">
        <w:t xml:space="preserve">: </w:t>
      </w:r>
      <w:r w:rsidRPr="00077DB4">
        <w:br/>
      </w:r>
      <w:r w:rsidRPr="00B46E28">
        <w:t>ДАНЪЧНИ РАЗХОДИ</w:t>
      </w:r>
      <w:r w:rsidR="00B502E4">
        <w:t xml:space="preserve"> ЗА 2018 И 2020</w:t>
      </w:r>
      <w:r w:rsidR="00B64EB4">
        <w:t xml:space="preserve"> г.</w:t>
      </w:r>
      <w:bookmarkEnd w:id="905"/>
    </w:p>
    <w:p w:rsidR="00C037C4" w:rsidRDefault="00C037C4" w:rsidP="003F599B">
      <w:pPr>
        <w:suppressAutoHyphens/>
        <w:autoSpaceDE w:val="0"/>
        <w:autoSpaceDN w:val="0"/>
        <w:adjustRightInd w:val="0"/>
        <w:spacing w:after="120" w:line="276" w:lineRule="auto"/>
        <w:rPr>
          <w:b/>
        </w:rPr>
      </w:pPr>
    </w:p>
    <w:p w:rsidR="00297E9C" w:rsidRPr="00011FFD" w:rsidRDefault="00297E9C" w:rsidP="00297E9C">
      <w:pPr>
        <w:suppressAutoHyphens/>
        <w:autoSpaceDE w:val="0"/>
        <w:autoSpaceDN w:val="0"/>
        <w:adjustRightInd w:val="0"/>
        <w:spacing w:after="120" w:line="276" w:lineRule="auto"/>
        <w:rPr>
          <w:sz w:val="20"/>
          <w:szCs w:val="20"/>
        </w:rPr>
      </w:pPr>
      <w:r w:rsidRPr="00011FFD">
        <w:rPr>
          <w:sz w:val="20"/>
          <w:szCs w:val="20"/>
        </w:rPr>
        <w:t xml:space="preserve">Изготвената прогноза за данъчните разходи за 2020 г. представлява предварителна оценка на данъчните разходи по данъчни преференции и облекчения, регламентирани в Закона за данък върху добавената стойност, Закона за акцизите и данъчните складове, Закона за корпоративното подоходно облагане и Закона за данъците върху доходите на физическите лица за съответната година. </w:t>
      </w:r>
    </w:p>
    <w:p w:rsidR="00297E9C" w:rsidRPr="00011FFD" w:rsidRDefault="00297E9C" w:rsidP="00297E9C">
      <w:pPr>
        <w:suppressAutoHyphens/>
        <w:autoSpaceDE w:val="0"/>
        <w:autoSpaceDN w:val="0"/>
        <w:adjustRightInd w:val="0"/>
        <w:spacing w:after="120" w:line="276" w:lineRule="auto"/>
        <w:rPr>
          <w:sz w:val="20"/>
          <w:szCs w:val="20"/>
        </w:rPr>
      </w:pPr>
      <w:r w:rsidRPr="00011FFD">
        <w:rPr>
          <w:sz w:val="20"/>
          <w:szCs w:val="20"/>
        </w:rPr>
        <w:t xml:space="preserve">За целите на настоящата прогноза е използван методът на преотстъпените приходи. Това е най-често използваният метод за оценка на стойността на данъчните разходи, който се свежда до оценка на суми, които не са платени в бюджета в резултат на съществуването на определен данъчен разход. </w:t>
      </w:r>
    </w:p>
    <w:p w:rsidR="00297E9C" w:rsidRDefault="00297E9C" w:rsidP="00297E9C">
      <w:pPr>
        <w:suppressAutoHyphens/>
        <w:autoSpaceDE w:val="0"/>
        <w:autoSpaceDN w:val="0"/>
        <w:adjustRightInd w:val="0"/>
        <w:spacing w:after="120" w:line="276" w:lineRule="auto"/>
        <w:rPr>
          <w:sz w:val="20"/>
          <w:szCs w:val="20"/>
        </w:rPr>
      </w:pPr>
      <w:r w:rsidRPr="00011FFD">
        <w:rPr>
          <w:sz w:val="20"/>
          <w:szCs w:val="20"/>
        </w:rPr>
        <w:t>При остойностяване на данъчните разходи по различните видове данъци е използвана информацията от есенната макроикономическа прогноза на Министерство</w:t>
      </w:r>
      <w:r w:rsidR="003D2251" w:rsidRPr="00011FFD">
        <w:rPr>
          <w:sz w:val="20"/>
          <w:szCs w:val="20"/>
        </w:rPr>
        <w:t>то</w:t>
      </w:r>
      <w:r w:rsidRPr="00011FFD">
        <w:rPr>
          <w:sz w:val="20"/>
          <w:szCs w:val="20"/>
        </w:rPr>
        <w:t xml:space="preserve"> на финансите за периода 2019-2022, действащата нормативна уредба, предложените промени в законопроектите за изменение и допълнение на данъчните закони за 2020 г., основните допускания в </w:t>
      </w:r>
      <w:r w:rsidR="003D2251" w:rsidRPr="00011FFD">
        <w:rPr>
          <w:sz w:val="20"/>
          <w:szCs w:val="20"/>
        </w:rPr>
        <w:t xml:space="preserve">актуализираната </w:t>
      </w:r>
      <w:r w:rsidRPr="00011FFD">
        <w:rPr>
          <w:sz w:val="20"/>
          <w:szCs w:val="20"/>
        </w:rPr>
        <w:t>средносрочна бюджетна прогноза, разпоредбите от проекта на ЗДБРБ за 2020 г., както и отчетна информация</w:t>
      </w:r>
      <w:r w:rsidR="003D24BE" w:rsidRPr="00011FFD">
        <w:rPr>
          <w:sz w:val="20"/>
          <w:szCs w:val="20"/>
        </w:rPr>
        <w:t>,</w:t>
      </w:r>
      <w:r w:rsidRPr="00011FFD">
        <w:rPr>
          <w:sz w:val="20"/>
          <w:szCs w:val="20"/>
        </w:rPr>
        <w:t xml:space="preserve"> предоставена от Националната агенция за приходите, Агенция „Митници“, Националния статистически институт, Българска народна банка и др.</w:t>
      </w:r>
    </w:p>
    <w:p w:rsidR="00011FFD" w:rsidRPr="00011FFD" w:rsidRDefault="00011FFD" w:rsidP="00297E9C">
      <w:pPr>
        <w:suppressAutoHyphens/>
        <w:autoSpaceDE w:val="0"/>
        <w:autoSpaceDN w:val="0"/>
        <w:adjustRightInd w:val="0"/>
        <w:spacing w:after="120" w:line="276" w:lineRule="auto"/>
        <w:rPr>
          <w:sz w:val="20"/>
          <w:szCs w:val="20"/>
        </w:rPr>
      </w:pPr>
    </w:p>
    <w:tbl>
      <w:tblPr>
        <w:tblW w:w="5000" w:type="pct"/>
        <w:jc w:val="center"/>
        <w:tblCellMar>
          <w:left w:w="70" w:type="dxa"/>
          <w:right w:w="70" w:type="dxa"/>
        </w:tblCellMar>
        <w:tblLook w:val="04A0" w:firstRow="1" w:lastRow="0" w:firstColumn="1" w:lastColumn="0" w:noHBand="0" w:noVBand="1"/>
      </w:tblPr>
      <w:tblGrid>
        <w:gridCol w:w="9156"/>
        <w:gridCol w:w="1477"/>
        <w:gridCol w:w="1244"/>
        <w:gridCol w:w="2693"/>
      </w:tblGrid>
      <w:tr w:rsidR="00467685" w:rsidRPr="00011FFD" w:rsidTr="00BE2D00">
        <w:trPr>
          <w:trHeight w:val="315"/>
          <w:jc w:val="center"/>
        </w:trPr>
        <w:tc>
          <w:tcPr>
            <w:tcW w:w="3142" w:type="pct"/>
            <w:tcBorders>
              <w:top w:val="nil"/>
              <w:left w:val="nil"/>
              <w:bottom w:val="single" w:sz="4" w:space="0" w:color="auto"/>
              <w:right w:val="nil"/>
            </w:tcBorders>
            <w:shd w:val="clear" w:color="auto" w:fill="auto"/>
            <w:noWrap/>
            <w:vAlign w:val="bottom"/>
            <w:hideMark/>
          </w:tcPr>
          <w:p w:rsidR="00467685" w:rsidRPr="00011FFD" w:rsidRDefault="00467685" w:rsidP="00BA7275">
            <w:pPr>
              <w:spacing w:after="0"/>
              <w:jc w:val="left"/>
              <w:rPr>
                <w:rFonts w:eastAsia="Times New Roman"/>
                <w:sz w:val="20"/>
                <w:szCs w:val="20"/>
              </w:rPr>
            </w:pPr>
          </w:p>
        </w:tc>
        <w:tc>
          <w:tcPr>
            <w:tcW w:w="507" w:type="pct"/>
            <w:tcBorders>
              <w:top w:val="nil"/>
              <w:left w:val="nil"/>
              <w:bottom w:val="single" w:sz="4" w:space="0" w:color="auto"/>
              <w:right w:val="nil"/>
            </w:tcBorders>
            <w:shd w:val="clear" w:color="auto" w:fill="auto"/>
            <w:noWrap/>
            <w:vAlign w:val="bottom"/>
            <w:hideMark/>
          </w:tcPr>
          <w:p w:rsidR="00467685" w:rsidRPr="00011FFD" w:rsidRDefault="00467685" w:rsidP="00BA7275">
            <w:pPr>
              <w:spacing w:after="0"/>
              <w:jc w:val="left"/>
              <w:rPr>
                <w:rFonts w:eastAsia="Times New Roman"/>
                <w:sz w:val="20"/>
                <w:szCs w:val="20"/>
              </w:rPr>
            </w:pPr>
          </w:p>
        </w:tc>
        <w:tc>
          <w:tcPr>
            <w:tcW w:w="427" w:type="pct"/>
            <w:tcBorders>
              <w:top w:val="nil"/>
              <w:left w:val="nil"/>
              <w:bottom w:val="single" w:sz="4" w:space="0" w:color="auto"/>
              <w:right w:val="nil"/>
            </w:tcBorders>
            <w:shd w:val="clear" w:color="auto" w:fill="auto"/>
            <w:noWrap/>
            <w:vAlign w:val="bottom"/>
            <w:hideMark/>
          </w:tcPr>
          <w:p w:rsidR="00467685" w:rsidRPr="00011FFD" w:rsidRDefault="00467685" w:rsidP="00BA7275">
            <w:pPr>
              <w:spacing w:after="0"/>
              <w:jc w:val="left"/>
              <w:rPr>
                <w:rFonts w:eastAsia="Times New Roman"/>
                <w:sz w:val="20"/>
                <w:szCs w:val="20"/>
              </w:rPr>
            </w:pPr>
          </w:p>
        </w:tc>
        <w:tc>
          <w:tcPr>
            <w:tcW w:w="924" w:type="pct"/>
            <w:tcBorders>
              <w:top w:val="nil"/>
              <w:left w:val="nil"/>
              <w:bottom w:val="single" w:sz="4" w:space="0" w:color="auto"/>
              <w:right w:val="nil"/>
            </w:tcBorders>
            <w:shd w:val="clear" w:color="auto" w:fill="auto"/>
            <w:noWrap/>
            <w:vAlign w:val="bottom"/>
            <w:hideMark/>
          </w:tcPr>
          <w:p w:rsidR="00467685" w:rsidRPr="00011FFD" w:rsidRDefault="00865627" w:rsidP="00BA7275">
            <w:pPr>
              <w:spacing w:after="0"/>
              <w:jc w:val="right"/>
              <w:rPr>
                <w:rFonts w:eastAsia="Times New Roman"/>
                <w:sz w:val="20"/>
                <w:szCs w:val="20"/>
              </w:rPr>
            </w:pPr>
            <w:r w:rsidRPr="00011FFD">
              <w:rPr>
                <w:rFonts w:eastAsia="Times New Roman"/>
                <w:sz w:val="20"/>
                <w:szCs w:val="20"/>
              </w:rPr>
              <w:t xml:space="preserve">(в </w:t>
            </w:r>
            <w:r w:rsidR="00467685" w:rsidRPr="00011FFD">
              <w:rPr>
                <w:rFonts w:eastAsia="Times New Roman"/>
                <w:sz w:val="20"/>
                <w:szCs w:val="20"/>
              </w:rPr>
              <w:t>хил. лв.</w:t>
            </w:r>
            <w:r w:rsidRPr="00011FFD">
              <w:rPr>
                <w:rFonts w:eastAsia="Times New Roman"/>
                <w:sz w:val="20"/>
                <w:szCs w:val="20"/>
              </w:rPr>
              <w:t>)</w:t>
            </w:r>
          </w:p>
        </w:tc>
      </w:tr>
      <w:tr w:rsidR="00467685" w:rsidRPr="00011FFD" w:rsidTr="00DA4EF2">
        <w:trPr>
          <w:trHeight w:val="945"/>
          <w:jc w:val="center"/>
        </w:trPr>
        <w:tc>
          <w:tcPr>
            <w:tcW w:w="3142" w:type="pct"/>
            <w:tcBorders>
              <w:top w:val="single" w:sz="4" w:space="0" w:color="auto"/>
              <w:bottom w:val="single" w:sz="4" w:space="0" w:color="auto"/>
            </w:tcBorders>
            <w:shd w:val="clear" w:color="auto" w:fill="auto"/>
            <w:vAlign w:val="center"/>
            <w:hideMark/>
          </w:tcPr>
          <w:p w:rsidR="00467685" w:rsidRPr="00011FFD" w:rsidRDefault="00467685" w:rsidP="00BA7275">
            <w:pPr>
              <w:spacing w:after="0"/>
              <w:jc w:val="center"/>
              <w:rPr>
                <w:rFonts w:eastAsia="Times New Roman"/>
                <w:b/>
                <w:bCs/>
                <w:color w:val="000000"/>
                <w:sz w:val="20"/>
                <w:szCs w:val="20"/>
              </w:rPr>
            </w:pPr>
            <w:r w:rsidRPr="00011FFD">
              <w:rPr>
                <w:rFonts w:eastAsia="Times New Roman"/>
                <w:b/>
                <w:bCs/>
                <w:color w:val="000000"/>
                <w:sz w:val="20"/>
                <w:szCs w:val="20"/>
              </w:rPr>
              <w:t>Данъчни разходи по видове данъци, в т.ч.</w:t>
            </w:r>
          </w:p>
        </w:tc>
        <w:tc>
          <w:tcPr>
            <w:tcW w:w="507" w:type="pct"/>
            <w:tcBorders>
              <w:top w:val="single" w:sz="4" w:space="0" w:color="auto"/>
              <w:bottom w:val="single" w:sz="4" w:space="0" w:color="auto"/>
            </w:tcBorders>
            <w:shd w:val="clear" w:color="auto" w:fill="auto"/>
            <w:vAlign w:val="center"/>
            <w:hideMark/>
          </w:tcPr>
          <w:p w:rsidR="00467685" w:rsidRPr="00011FFD" w:rsidRDefault="00297E9C" w:rsidP="00297E9C">
            <w:pPr>
              <w:spacing w:after="0"/>
              <w:ind w:left="213"/>
              <w:jc w:val="center"/>
              <w:rPr>
                <w:rFonts w:eastAsia="Times New Roman"/>
                <w:b/>
                <w:bCs/>
                <w:color w:val="000000"/>
                <w:sz w:val="20"/>
                <w:szCs w:val="20"/>
              </w:rPr>
            </w:pPr>
            <w:r w:rsidRPr="00011FFD">
              <w:rPr>
                <w:rFonts w:eastAsia="Times New Roman"/>
                <w:b/>
                <w:bCs/>
                <w:color w:val="000000"/>
                <w:sz w:val="20"/>
                <w:szCs w:val="20"/>
              </w:rPr>
              <w:t>2018</w:t>
            </w:r>
            <w:r w:rsidR="00F66408" w:rsidRPr="00011FFD">
              <w:rPr>
                <w:rFonts w:eastAsia="Times New Roman"/>
                <w:b/>
                <w:bCs/>
                <w:color w:val="000000"/>
                <w:sz w:val="20"/>
                <w:szCs w:val="20"/>
              </w:rPr>
              <w:t xml:space="preserve"> г.</w:t>
            </w:r>
          </w:p>
          <w:p w:rsidR="00F66408" w:rsidRPr="00011FFD" w:rsidRDefault="00F66408" w:rsidP="00297E9C">
            <w:pPr>
              <w:spacing w:after="0"/>
              <w:ind w:left="213"/>
              <w:jc w:val="center"/>
              <w:rPr>
                <w:rFonts w:eastAsia="Times New Roman"/>
                <w:b/>
                <w:bCs/>
                <w:color w:val="000000"/>
                <w:sz w:val="20"/>
                <w:szCs w:val="20"/>
              </w:rPr>
            </w:pPr>
            <w:r w:rsidRPr="00011FFD">
              <w:rPr>
                <w:rFonts w:eastAsia="Times New Roman"/>
                <w:b/>
                <w:bCs/>
                <w:color w:val="000000"/>
                <w:sz w:val="20"/>
                <w:szCs w:val="20"/>
              </w:rPr>
              <w:t>Отчет</w:t>
            </w:r>
          </w:p>
        </w:tc>
        <w:tc>
          <w:tcPr>
            <w:tcW w:w="427" w:type="pct"/>
            <w:tcBorders>
              <w:top w:val="single" w:sz="4" w:space="0" w:color="auto"/>
              <w:bottom w:val="single" w:sz="4" w:space="0" w:color="auto"/>
            </w:tcBorders>
            <w:shd w:val="clear" w:color="auto" w:fill="auto"/>
            <w:vAlign w:val="center"/>
            <w:hideMark/>
          </w:tcPr>
          <w:p w:rsidR="00467685" w:rsidRPr="00011FFD" w:rsidRDefault="00467685" w:rsidP="00297E9C">
            <w:pPr>
              <w:spacing w:after="0"/>
              <w:jc w:val="center"/>
              <w:rPr>
                <w:rFonts w:eastAsia="Times New Roman"/>
                <w:b/>
                <w:bCs/>
                <w:color w:val="000000"/>
                <w:sz w:val="20"/>
                <w:szCs w:val="20"/>
              </w:rPr>
            </w:pPr>
          </w:p>
        </w:tc>
        <w:tc>
          <w:tcPr>
            <w:tcW w:w="924" w:type="pct"/>
            <w:tcBorders>
              <w:top w:val="single" w:sz="4" w:space="0" w:color="auto"/>
              <w:bottom w:val="single" w:sz="4" w:space="0" w:color="auto"/>
            </w:tcBorders>
            <w:shd w:val="clear" w:color="auto" w:fill="auto"/>
            <w:vAlign w:val="center"/>
            <w:hideMark/>
          </w:tcPr>
          <w:p w:rsidR="00F112A4" w:rsidRPr="00011FFD" w:rsidRDefault="00297E9C" w:rsidP="00297E9C">
            <w:pPr>
              <w:spacing w:after="0"/>
              <w:jc w:val="center"/>
              <w:rPr>
                <w:rFonts w:eastAsia="Times New Roman"/>
                <w:b/>
                <w:bCs/>
                <w:color w:val="000000"/>
                <w:sz w:val="20"/>
                <w:szCs w:val="20"/>
              </w:rPr>
            </w:pPr>
            <w:r w:rsidRPr="00011FFD">
              <w:rPr>
                <w:rFonts w:eastAsia="Times New Roman"/>
                <w:b/>
                <w:bCs/>
                <w:color w:val="000000"/>
                <w:sz w:val="20"/>
                <w:szCs w:val="20"/>
              </w:rPr>
              <w:t>2020</w:t>
            </w:r>
            <w:r w:rsidR="00F66408" w:rsidRPr="00011FFD">
              <w:rPr>
                <w:rFonts w:eastAsia="Times New Roman"/>
                <w:b/>
                <w:bCs/>
                <w:color w:val="000000"/>
                <w:sz w:val="20"/>
                <w:szCs w:val="20"/>
              </w:rPr>
              <w:t xml:space="preserve"> г.</w:t>
            </w:r>
          </w:p>
          <w:p w:rsidR="00467685" w:rsidRPr="00011FFD" w:rsidRDefault="00467685" w:rsidP="00297E9C">
            <w:pPr>
              <w:spacing w:after="0"/>
              <w:jc w:val="center"/>
              <w:rPr>
                <w:rFonts w:eastAsia="Times New Roman"/>
                <w:b/>
                <w:bCs/>
                <w:color w:val="000000"/>
                <w:sz w:val="20"/>
                <w:szCs w:val="20"/>
              </w:rPr>
            </w:pPr>
            <w:r w:rsidRPr="00011FFD">
              <w:rPr>
                <w:rFonts w:eastAsia="Times New Roman"/>
                <w:b/>
                <w:bCs/>
                <w:color w:val="000000"/>
                <w:sz w:val="20"/>
                <w:szCs w:val="20"/>
              </w:rPr>
              <w:t>Пр</w:t>
            </w:r>
            <w:r w:rsidR="00F66408" w:rsidRPr="00011FFD">
              <w:rPr>
                <w:rFonts w:eastAsia="Times New Roman"/>
                <w:b/>
                <w:bCs/>
                <w:color w:val="000000"/>
                <w:sz w:val="20"/>
                <w:szCs w:val="20"/>
              </w:rPr>
              <w:t>оект</w:t>
            </w:r>
          </w:p>
        </w:tc>
      </w:tr>
      <w:tr w:rsidR="00297E9C" w:rsidRPr="00011FFD" w:rsidTr="00DA4EF2">
        <w:trPr>
          <w:trHeight w:val="315"/>
          <w:jc w:val="center"/>
        </w:trPr>
        <w:tc>
          <w:tcPr>
            <w:tcW w:w="3142" w:type="pct"/>
            <w:tcBorders>
              <w:top w:val="single" w:sz="4" w:space="0" w:color="auto"/>
            </w:tcBorders>
            <w:shd w:val="clear" w:color="000000" w:fill="FFFFFF"/>
            <w:noWrap/>
            <w:vAlign w:val="bottom"/>
            <w:hideMark/>
          </w:tcPr>
          <w:p w:rsidR="00297E9C" w:rsidRPr="00011FFD" w:rsidRDefault="00297E9C" w:rsidP="00BA7275">
            <w:pPr>
              <w:spacing w:after="0"/>
              <w:jc w:val="left"/>
              <w:rPr>
                <w:rFonts w:eastAsia="Times New Roman"/>
                <w:sz w:val="20"/>
                <w:szCs w:val="20"/>
              </w:rPr>
            </w:pPr>
            <w:r w:rsidRPr="00011FFD">
              <w:rPr>
                <w:rFonts w:eastAsia="Times New Roman"/>
                <w:sz w:val="20"/>
                <w:szCs w:val="20"/>
              </w:rPr>
              <w:t>ДДС</w:t>
            </w:r>
          </w:p>
        </w:tc>
        <w:tc>
          <w:tcPr>
            <w:tcW w:w="507" w:type="pct"/>
            <w:tcBorders>
              <w:top w:val="single" w:sz="4" w:space="0" w:color="auto"/>
            </w:tcBorders>
            <w:shd w:val="clear" w:color="auto" w:fill="auto"/>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142 870,1</w:t>
            </w:r>
          </w:p>
        </w:tc>
        <w:tc>
          <w:tcPr>
            <w:tcW w:w="427" w:type="pct"/>
            <w:tcBorders>
              <w:top w:val="single" w:sz="4" w:space="0" w:color="auto"/>
            </w:tcBorders>
            <w:shd w:val="clear" w:color="auto" w:fill="auto"/>
            <w:noWrap/>
            <w:vAlign w:val="bottom"/>
            <w:hideMark/>
          </w:tcPr>
          <w:p w:rsidR="00297E9C" w:rsidRPr="00011FFD" w:rsidRDefault="00297E9C" w:rsidP="006070A1">
            <w:pPr>
              <w:spacing w:after="0"/>
              <w:jc w:val="center"/>
              <w:rPr>
                <w:rFonts w:eastAsia="Times New Roman"/>
                <w:sz w:val="20"/>
                <w:szCs w:val="20"/>
              </w:rPr>
            </w:pPr>
          </w:p>
        </w:tc>
        <w:tc>
          <w:tcPr>
            <w:tcW w:w="924" w:type="pct"/>
            <w:tcBorders>
              <w:top w:val="single" w:sz="4" w:space="0" w:color="auto"/>
            </w:tcBorders>
            <w:shd w:val="clear" w:color="auto" w:fill="auto"/>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163 242,0</w:t>
            </w:r>
          </w:p>
        </w:tc>
      </w:tr>
      <w:tr w:rsidR="00297E9C" w:rsidRPr="00011FFD" w:rsidTr="00BE2D00">
        <w:trPr>
          <w:trHeight w:val="315"/>
          <w:jc w:val="center"/>
        </w:trPr>
        <w:tc>
          <w:tcPr>
            <w:tcW w:w="3142" w:type="pct"/>
            <w:tcBorders>
              <w:top w:val="nil"/>
            </w:tcBorders>
            <w:shd w:val="clear" w:color="000000" w:fill="FFFFFF"/>
            <w:noWrap/>
            <w:vAlign w:val="bottom"/>
            <w:hideMark/>
          </w:tcPr>
          <w:p w:rsidR="00297E9C" w:rsidRPr="00011FFD" w:rsidRDefault="00297E9C" w:rsidP="00BA7275">
            <w:pPr>
              <w:spacing w:after="0"/>
              <w:jc w:val="left"/>
              <w:rPr>
                <w:rFonts w:eastAsia="Times New Roman"/>
                <w:sz w:val="20"/>
                <w:szCs w:val="20"/>
              </w:rPr>
            </w:pPr>
            <w:r w:rsidRPr="00011FFD">
              <w:rPr>
                <w:rFonts w:eastAsia="Times New Roman"/>
                <w:sz w:val="20"/>
                <w:szCs w:val="20"/>
              </w:rPr>
              <w:t>Акцизи</w:t>
            </w:r>
          </w:p>
        </w:tc>
        <w:tc>
          <w:tcPr>
            <w:tcW w:w="507" w:type="pct"/>
            <w:tcBorders>
              <w:top w:val="nil"/>
            </w:tcBorders>
            <w:shd w:val="clear" w:color="auto" w:fill="auto"/>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159 707,8</w:t>
            </w:r>
          </w:p>
        </w:tc>
        <w:tc>
          <w:tcPr>
            <w:tcW w:w="427" w:type="pct"/>
            <w:tcBorders>
              <w:top w:val="nil"/>
            </w:tcBorders>
            <w:shd w:val="clear" w:color="auto" w:fill="auto"/>
            <w:noWrap/>
            <w:vAlign w:val="bottom"/>
            <w:hideMark/>
          </w:tcPr>
          <w:p w:rsidR="00297E9C" w:rsidRPr="00011FFD" w:rsidRDefault="00297E9C" w:rsidP="006070A1">
            <w:pPr>
              <w:spacing w:after="0"/>
              <w:jc w:val="center"/>
              <w:rPr>
                <w:rFonts w:eastAsia="Times New Roman"/>
                <w:sz w:val="20"/>
                <w:szCs w:val="20"/>
              </w:rPr>
            </w:pPr>
          </w:p>
        </w:tc>
        <w:tc>
          <w:tcPr>
            <w:tcW w:w="924" w:type="pct"/>
            <w:tcBorders>
              <w:top w:val="nil"/>
            </w:tcBorders>
            <w:shd w:val="clear" w:color="auto" w:fill="auto"/>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164 787,3</w:t>
            </w:r>
          </w:p>
        </w:tc>
      </w:tr>
      <w:tr w:rsidR="00297E9C" w:rsidRPr="00011FFD" w:rsidTr="00BE2D00">
        <w:trPr>
          <w:trHeight w:val="315"/>
          <w:jc w:val="center"/>
        </w:trPr>
        <w:tc>
          <w:tcPr>
            <w:tcW w:w="3142" w:type="pct"/>
            <w:tcBorders>
              <w:top w:val="nil"/>
            </w:tcBorders>
            <w:shd w:val="clear" w:color="000000" w:fill="FFFFFF"/>
            <w:noWrap/>
            <w:vAlign w:val="bottom"/>
            <w:hideMark/>
          </w:tcPr>
          <w:p w:rsidR="00297E9C" w:rsidRPr="00011FFD" w:rsidRDefault="00297E9C" w:rsidP="00BA7275">
            <w:pPr>
              <w:spacing w:after="0"/>
              <w:jc w:val="left"/>
              <w:rPr>
                <w:rFonts w:eastAsia="Times New Roman"/>
                <w:sz w:val="20"/>
                <w:szCs w:val="20"/>
              </w:rPr>
            </w:pPr>
            <w:r w:rsidRPr="00011FFD">
              <w:rPr>
                <w:rFonts w:eastAsia="Times New Roman"/>
                <w:sz w:val="20"/>
                <w:szCs w:val="20"/>
              </w:rPr>
              <w:t>Корпоративни данъци</w:t>
            </w:r>
          </w:p>
        </w:tc>
        <w:tc>
          <w:tcPr>
            <w:tcW w:w="507" w:type="pct"/>
            <w:tcBorders>
              <w:top w:val="nil"/>
            </w:tcBorders>
            <w:shd w:val="clear" w:color="auto" w:fill="auto"/>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267 687,9</w:t>
            </w:r>
          </w:p>
        </w:tc>
        <w:tc>
          <w:tcPr>
            <w:tcW w:w="427" w:type="pct"/>
            <w:tcBorders>
              <w:top w:val="nil"/>
            </w:tcBorders>
            <w:shd w:val="clear" w:color="auto" w:fill="auto"/>
            <w:noWrap/>
            <w:vAlign w:val="bottom"/>
            <w:hideMark/>
          </w:tcPr>
          <w:p w:rsidR="00297E9C" w:rsidRPr="00011FFD" w:rsidRDefault="00297E9C" w:rsidP="006070A1">
            <w:pPr>
              <w:spacing w:after="0"/>
              <w:jc w:val="center"/>
              <w:rPr>
                <w:rFonts w:eastAsia="Times New Roman"/>
                <w:sz w:val="20"/>
                <w:szCs w:val="20"/>
              </w:rPr>
            </w:pPr>
          </w:p>
        </w:tc>
        <w:tc>
          <w:tcPr>
            <w:tcW w:w="924" w:type="pct"/>
            <w:tcBorders>
              <w:top w:val="nil"/>
            </w:tcBorders>
            <w:shd w:val="clear" w:color="auto" w:fill="auto"/>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300 425,1</w:t>
            </w:r>
          </w:p>
        </w:tc>
      </w:tr>
      <w:tr w:rsidR="00297E9C" w:rsidRPr="00011FFD" w:rsidTr="00BE2D00">
        <w:trPr>
          <w:trHeight w:val="315"/>
          <w:jc w:val="center"/>
        </w:trPr>
        <w:tc>
          <w:tcPr>
            <w:tcW w:w="3142" w:type="pct"/>
            <w:tcBorders>
              <w:top w:val="nil"/>
            </w:tcBorders>
            <w:shd w:val="clear" w:color="000000" w:fill="FFFFFF"/>
            <w:noWrap/>
            <w:vAlign w:val="bottom"/>
            <w:hideMark/>
          </w:tcPr>
          <w:p w:rsidR="00297E9C" w:rsidRPr="00011FFD" w:rsidRDefault="00297E9C" w:rsidP="00BA7275">
            <w:pPr>
              <w:spacing w:after="0"/>
              <w:jc w:val="left"/>
              <w:rPr>
                <w:rFonts w:eastAsia="Times New Roman"/>
                <w:sz w:val="20"/>
                <w:szCs w:val="20"/>
              </w:rPr>
            </w:pPr>
            <w:r w:rsidRPr="00011FFD">
              <w:rPr>
                <w:rFonts w:eastAsia="Times New Roman"/>
                <w:sz w:val="20"/>
                <w:szCs w:val="20"/>
              </w:rPr>
              <w:t>Данъци върху доходите на физическите лица</w:t>
            </w:r>
          </w:p>
        </w:tc>
        <w:tc>
          <w:tcPr>
            <w:tcW w:w="507" w:type="pct"/>
            <w:tcBorders>
              <w:top w:val="nil"/>
            </w:tcBorders>
            <w:shd w:val="clear" w:color="auto" w:fill="auto"/>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64 538,4</w:t>
            </w:r>
          </w:p>
        </w:tc>
        <w:tc>
          <w:tcPr>
            <w:tcW w:w="427" w:type="pct"/>
            <w:tcBorders>
              <w:top w:val="nil"/>
            </w:tcBorders>
            <w:shd w:val="clear" w:color="auto" w:fill="auto"/>
            <w:noWrap/>
            <w:vAlign w:val="bottom"/>
            <w:hideMark/>
          </w:tcPr>
          <w:p w:rsidR="00297E9C" w:rsidRPr="00011FFD" w:rsidRDefault="00297E9C" w:rsidP="006070A1">
            <w:pPr>
              <w:spacing w:after="0"/>
              <w:jc w:val="center"/>
              <w:rPr>
                <w:rFonts w:eastAsia="Times New Roman"/>
                <w:sz w:val="20"/>
                <w:szCs w:val="20"/>
              </w:rPr>
            </w:pPr>
          </w:p>
        </w:tc>
        <w:tc>
          <w:tcPr>
            <w:tcW w:w="924" w:type="pct"/>
            <w:tcBorders>
              <w:top w:val="nil"/>
            </w:tcBorders>
            <w:shd w:val="clear" w:color="auto" w:fill="auto"/>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78 535,8</w:t>
            </w:r>
          </w:p>
        </w:tc>
      </w:tr>
      <w:tr w:rsidR="00297E9C" w:rsidRPr="00011FFD" w:rsidTr="00BE2D00">
        <w:trPr>
          <w:trHeight w:val="480"/>
          <w:jc w:val="center"/>
        </w:trPr>
        <w:tc>
          <w:tcPr>
            <w:tcW w:w="3142" w:type="pct"/>
            <w:tcBorders>
              <w:top w:val="nil"/>
            </w:tcBorders>
            <w:shd w:val="clear" w:color="000000" w:fill="FFFFFF"/>
            <w:noWrap/>
            <w:vAlign w:val="bottom"/>
            <w:hideMark/>
          </w:tcPr>
          <w:p w:rsidR="00297E9C" w:rsidRPr="00011FFD" w:rsidRDefault="00297E9C" w:rsidP="00BA7275">
            <w:pPr>
              <w:spacing w:after="0"/>
              <w:jc w:val="left"/>
              <w:rPr>
                <w:rFonts w:eastAsia="Times New Roman"/>
                <w:b/>
                <w:bCs/>
                <w:sz w:val="20"/>
                <w:szCs w:val="20"/>
              </w:rPr>
            </w:pPr>
            <w:r w:rsidRPr="00011FFD">
              <w:rPr>
                <w:rFonts w:eastAsia="Times New Roman"/>
                <w:b/>
                <w:bCs/>
                <w:sz w:val="20"/>
                <w:szCs w:val="20"/>
              </w:rPr>
              <w:t>Общо данъчни разходи</w:t>
            </w:r>
          </w:p>
        </w:tc>
        <w:tc>
          <w:tcPr>
            <w:tcW w:w="507" w:type="pct"/>
            <w:tcBorders>
              <w:top w:val="nil"/>
            </w:tcBorders>
            <w:shd w:val="clear" w:color="auto" w:fill="auto"/>
            <w:noWrap/>
            <w:vAlign w:val="bottom"/>
            <w:hideMark/>
          </w:tcPr>
          <w:p w:rsidR="00297E9C" w:rsidRPr="00011FFD" w:rsidRDefault="00297E9C" w:rsidP="00297E9C">
            <w:pPr>
              <w:spacing w:after="0"/>
              <w:jc w:val="center"/>
              <w:rPr>
                <w:rFonts w:eastAsia="Times New Roman"/>
                <w:b/>
                <w:bCs/>
                <w:sz w:val="20"/>
                <w:szCs w:val="20"/>
              </w:rPr>
            </w:pPr>
            <w:r w:rsidRPr="00011FFD">
              <w:rPr>
                <w:rFonts w:eastAsia="Times New Roman"/>
                <w:b/>
                <w:bCs/>
                <w:sz w:val="20"/>
                <w:szCs w:val="20"/>
              </w:rPr>
              <w:t>634 804,2</w:t>
            </w:r>
          </w:p>
        </w:tc>
        <w:tc>
          <w:tcPr>
            <w:tcW w:w="427" w:type="pct"/>
            <w:tcBorders>
              <w:top w:val="nil"/>
            </w:tcBorders>
            <w:shd w:val="clear" w:color="auto" w:fill="auto"/>
            <w:noWrap/>
            <w:vAlign w:val="bottom"/>
            <w:hideMark/>
          </w:tcPr>
          <w:p w:rsidR="00297E9C" w:rsidRPr="00011FFD" w:rsidRDefault="00297E9C" w:rsidP="006070A1">
            <w:pPr>
              <w:spacing w:after="0"/>
              <w:jc w:val="center"/>
              <w:rPr>
                <w:rFonts w:eastAsia="Times New Roman"/>
                <w:b/>
                <w:bCs/>
                <w:sz w:val="20"/>
                <w:szCs w:val="20"/>
              </w:rPr>
            </w:pPr>
          </w:p>
        </w:tc>
        <w:tc>
          <w:tcPr>
            <w:tcW w:w="924" w:type="pct"/>
            <w:tcBorders>
              <w:top w:val="nil"/>
            </w:tcBorders>
            <w:shd w:val="clear" w:color="auto" w:fill="auto"/>
            <w:noWrap/>
            <w:vAlign w:val="bottom"/>
            <w:hideMark/>
          </w:tcPr>
          <w:p w:rsidR="00297E9C" w:rsidRPr="00011FFD" w:rsidRDefault="00297E9C" w:rsidP="00297E9C">
            <w:pPr>
              <w:spacing w:after="0"/>
              <w:jc w:val="center"/>
              <w:rPr>
                <w:rFonts w:eastAsia="Times New Roman"/>
                <w:b/>
                <w:bCs/>
                <w:sz w:val="20"/>
                <w:szCs w:val="20"/>
              </w:rPr>
            </w:pPr>
            <w:r w:rsidRPr="00011FFD">
              <w:rPr>
                <w:rFonts w:eastAsia="Times New Roman"/>
                <w:b/>
                <w:bCs/>
                <w:sz w:val="20"/>
                <w:szCs w:val="20"/>
              </w:rPr>
              <w:t>706 990,2</w:t>
            </w:r>
          </w:p>
        </w:tc>
      </w:tr>
      <w:tr w:rsidR="00297E9C" w:rsidRPr="00011FFD" w:rsidTr="00BE2D00">
        <w:trPr>
          <w:trHeight w:val="315"/>
          <w:jc w:val="center"/>
        </w:trPr>
        <w:tc>
          <w:tcPr>
            <w:tcW w:w="3142" w:type="pct"/>
            <w:tcBorders>
              <w:top w:val="nil"/>
            </w:tcBorders>
            <w:shd w:val="clear" w:color="000000" w:fill="FFFFFF"/>
            <w:noWrap/>
            <w:vAlign w:val="bottom"/>
            <w:hideMark/>
          </w:tcPr>
          <w:p w:rsidR="00297E9C" w:rsidRPr="00011FFD" w:rsidRDefault="00297E9C" w:rsidP="00BA7275">
            <w:pPr>
              <w:spacing w:after="0"/>
              <w:jc w:val="left"/>
              <w:rPr>
                <w:rFonts w:eastAsia="Times New Roman"/>
                <w:sz w:val="20"/>
                <w:szCs w:val="20"/>
              </w:rPr>
            </w:pPr>
            <w:r w:rsidRPr="00011FFD">
              <w:rPr>
                <w:rFonts w:eastAsia="Times New Roman"/>
                <w:sz w:val="20"/>
                <w:szCs w:val="20"/>
              </w:rPr>
              <w:t>БВП</w:t>
            </w:r>
          </w:p>
        </w:tc>
        <w:tc>
          <w:tcPr>
            <w:tcW w:w="507" w:type="pct"/>
            <w:tcBorders>
              <w:top w:val="nil"/>
            </w:tcBorders>
            <w:shd w:val="clear" w:color="000000" w:fill="FFFFFF"/>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109 694 805</w:t>
            </w:r>
          </w:p>
        </w:tc>
        <w:tc>
          <w:tcPr>
            <w:tcW w:w="427" w:type="pct"/>
            <w:tcBorders>
              <w:top w:val="nil"/>
            </w:tcBorders>
            <w:shd w:val="clear" w:color="000000" w:fill="FFFFFF"/>
            <w:noWrap/>
            <w:vAlign w:val="bottom"/>
            <w:hideMark/>
          </w:tcPr>
          <w:p w:rsidR="00297E9C" w:rsidRPr="00011FFD" w:rsidRDefault="00297E9C" w:rsidP="006070A1">
            <w:pPr>
              <w:spacing w:after="0"/>
              <w:jc w:val="center"/>
              <w:rPr>
                <w:rFonts w:eastAsia="Times New Roman"/>
                <w:sz w:val="20"/>
                <w:szCs w:val="20"/>
              </w:rPr>
            </w:pPr>
          </w:p>
        </w:tc>
        <w:tc>
          <w:tcPr>
            <w:tcW w:w="924" w:type="pct"/>
            <w:tcBorders>
              <w:top w:val="nil"/>
            </w:tcBorders>
            <w:shd w:val="clear" w:color="000000" w:fill="FFFFFF"/>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126 769 060</w:t>
            </w:r>
          </w:p>
        </w:tc>
      </w:tr>
      <w:tr w:rsidR="00297E9C" w:rsidRPr="00011FFD" w:rsidTr="00BE2D00">
        <w:trPr>
          <w:trHeight w:val="315"/>
          <w:jc w:val="center"/>
        </w:trPr>
        <w:tc>
          <w:tcPr>
            <w:tcW w:w="3142" w:type="pct"/>
            <w:tcBorders>
              <w:top w:val="nil"/>
              <w:bottom w:val="single" w:sz="4" w:space="0" w:color="auto"/>
            </w:tcBorders>
            <w:shd w:val="clear" w:color="000000" w:fill="FFFFFF"/>
            <w:noWrap/>
            <w:vAlign w:val="bottom"/>
            <w:hideMark/>
          </w:tcPr>
          <w:p w:rsidR="00297E9C" w:rsidRPr="00011FFD" w:rsidRDefault="00297E9C" w:rsidP="00BA7275">
            <w:pPr>
              <w:spacing w:after="0"/>
              <w:jc w:val="left"/>
              <w:rPr>
                <w:rFonts w:eastAsia="Times New Roman"/>
                <w:sz w:val="20"/>
                <w:szCs w:val="20"/>
              </w:rPr>
            </w:pPr>
            <w:r w:rsidRPr="00011FFD">
              <w:rPr>
                <w:rFonts w:eastAsia="Times New Roman"/>
                <w:sz w:val="20"/>
                <w:szCs w:val="20"/>
              </w:rPr>
              <w:t>% от БВП</w:t>
            </w:r>
          </w:p>
        </w:tc>
        <w:tc>
          <w:tcPr>
            <w:tcW w:w="507" w:type="pct"/>
            <w:tcBorders>
              <w:top w:val="nil"/>
              <w:bottom w:val="single" w:sz="4" w:space="0" w:color="auto"/>
            </w:tcBorders>
            <w:shd w:val="clear" w:color="000000" w:fill="FFFFFF"/>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0,58%</w:t>
            </w:r>
          </w:p>
        </w:tc>
        <w:tc>
          <w:tcPr>
            <w:tcW w:w="427" w:type="pct"/>
            <w:tcBorders>
              <w:top w:val="nil"/>
              <w:bottom w:val="single" w:sz="4" w:space="0" w:color="auto"/>
            </w:tcBorders>
            <w:shd w:val="clear" w:color="000000" w:fill="FFFFFF"/>
            <w:noWrap/>
            <w:vAlign w:val="bottom"/>
            <w:hideMark/>
          </w:tcPr>
          <w:p w:rsidR="00297E9C" w:rsidRPr="00011FFD" w:rsidRDefault="00297E9C" w:rsidP="006070A1">
            <w:pPr>
              <w:spacing w:after="0"/>
              <w:jc w:val="center"/>
              <w:rPr>
                <w:rFonts w:eastAsia="Times New Roman"/>
                <w:sz w:val="20"/>
                <w:szCs w:val="20"/>
              </w:rPr>
            </w:pPr>
          </w:p>
        </w:tc>
        <w:tc>
          <w:tcPr>
            <w:tcW w:w="924" w:type="pct"/>
            <w:tcBorders>
              <w:top w:val="nil"/>
              <w:bottom w:val="single" w:sz="4" w:space="0" w:color="auto"/>
            </w:tcBorders>
            <w:shd w:val="clear" w:color="000000" w:fill="FFFFFF"/>
            <w:noWrap/>
            <w:vAlign w:val="bottom"/>
            <w:hideMark/>
          </w:tcPr>
          <w:p w:rsidR="00297E9C" w:rsidRPr="00011FFD" w:rsidRDefault="00297E9C" w:rsidP="00297E9C">
            <w:pPr>
              <w:spacing w:after="0"/>
              <w:jc w:val="center"/>
              <w:rPr>
                <w:rFonts w:eastAsia="Times New Roman"/>
                <w:sz w:val="20"/>
                <w:szCs w:val="20"/>
              </w:rPr>
            </w:pPr>
            <w:r w:rsidRPr="00011FFD">
              <w:rPr>
                <w:rFonts w:eastAsia="Times New Roman"/>
                <w:sz w:val="20"/>
                <w:szCs w:val="20"/>
              </w:rPr>
              <w:t>0,56%</w:t>
            </w:r>
          </w:p>
        </w:tc>
      </w:tr>
    </w:tbl>
    <w:p w:rsidR="00467685" w:rsidRPr="007F3B93" w:rsidRDefault="00467685" w:rsidP="00973EEB">
      <w:pPr>
        <w:suppressAutoHyphens/>
        <w:autoSpaceDE w:val="0"/>
        <w:autoSpaceDN w:val="0"/>
        <w:adjustRightInd w:val="0"/>
        <w:spacing w:after="120" w:line="276" w:lineRule="auto"/>
        <w:rPr>
          <w:b/>
        </w:rPr>
      </w:pPr>
    </w:p>
    <w:sectPr w:rsidR="00467685" w:rsidRPr="007F3B93" w:rsidSect="00FF16A0">
      <w:pgSz w:w="16838" w:h="11906" w:orient="landscape" w:code="9"/>
      <w:pgMar w:top="1134" w:right="1134" w:bottom="28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4FBC" w:rsidRDefault="00984FBC" w:rsidP="0072684A">
      <w:pPr>
        <w:spacing w:after="0"/>
      </w:pPr>
      <w:r>
        <w:separator/>
      </w:r>
    </w:p>
  </w:endnote>
  <w:endnote w:type="continuationSeparator" w:id="0">
    <w:p w:rsidR="00984FBC" w:rsidRDefault="00984FBC" w:rsidP="0072684A">
      <w:pPr>
        <w:spacing w:after="0"/>
      </w:pPr>
      <w:r>
        <w:continuationSeparator/>
      </w:r>
    </w:p>
  </w:endnote>
  <w:endnote w:type="continuationNotice" w:id="1">
    <w:p w:rsidR="00984FBC" w:rsidRDefault="00984FB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00004FF" w:usb2="00000000" w:usb3="00000000" w:csb0="0000019F" w:csb1="00000000"/>
  </w:font>
  <w:font w:name="MS Mincho">
    <w:altName w:val="Yu Gothic UI"/>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7F256C" w:rsidRDefault="00AD2E9D" w:rsidP="00DE35DE">
    <w:pPr>
      <w:pStyle w:val="Footer"/>
      <w:spacing w:before="200" w:after="0"/>
      <w:jc w:val="right"/>
      <w:rPr>
        <w:noProof/>
        <w:sz w:val="20"/>
      </w:rPr>
    </w:pPr>
    <w:r w:rsidRPr="007F256C">
      <w:rPr>
        <w:noProof/>
        <w:sz w:val="20"/>
      </w:rPr>
      <w:fldChar w:fldCharType="begin"/>
    </w:r>
    <w:r w:rsidRPr="007F256C">
      <w:rPr>
        <w:noProof/>
        <w:sz w:val="20"/>
      </w:rPr>
      <w:instrText xml:space="preserve"> PAGE   \* MERGEFORMAT </w:instrText>
    </w:r>
    <w:r w:rsidRPr="007F256C">
      <w:rPr>
        <w:noProof/>
        <w:sz w:val="20"/>
      </w:rPr>
      <w:fldChar w:fldCharType="separate"/>
    </w:r>
    <w:r w:rsidR="00656372">
      <w:rPr>
        <w:noProof/>
        <w:sz w:val="20"/>
      </w:rPr>
      <w:t>22</w:t>
    </w:r>
    <w:r w:rsidRPr="007F256C">
      <w:rPr>
        <w:noProof/>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5835B2" w:rsidRDefault="00AD2E9D" w:rsidP="005835B2">
    <w:pPr>
      <w:pStyle w:val="Footer"/>
      <w:spacing w:before="200" w:after="0"/>
      <w:jc w:val="right"/>
      <w:rPr>
        <w:sz w:val="20"/>
      </w:rPr>
    </w:pPr>
    <w:r w:rsidRPr="007F256C">
      <w:rPr>
        <w:sz w:val="20"/>
      </w:rPr>
      <w:fldChar w:fldCharType="begin"/>
    </w:r>
    <w:r w:rsidRPr="007F256C">
      <w:rPr>
        <w:sz w:val="20"/>
      </w:rPr>
      <w:instrText xml:space="preserve"> PAGE   \* MERGEFORMAT </w:instrText>
    </w:r>
    <w:r w:rsidRPr="007F256C">
      <w:rPr>
        <w:sz w:val="20"/>
      </w:rPr>
      <w:fldChar w:fldCharType="separate"/>
    </w:r>
    <w:r w:rsidR="00E4288B">
      <w:rPr>
        <w:noProof/>
        <w:sz w:val="20"/>
      </w:rPr>
      <w:t>11</w:t>
    </w:r>
    <w:r w:rsidRPr="007F256C">
      <w:rPr>
        <w:noProof/>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7F256C" w:rsidRDefault="00AD2E9D" w:rsidP="008E39D6">
    <w:pPr>
      <w:pStyle w:val="Footer"/>
      <w:spacing w:before="200" w:after="0"/>
      <w:jc w:val="right"/>
      <w:rPr>
        <w:sz w:val="20"/>
      </w:rPr>
    </w:pPr>
    <w:r w:rsidRPr="007F256C">
      <w:rPr>
        <w:sz w:val="20"/>
      </w:rPr>
      <w:fldChar w:fldCharType="begin"/>
    </w:r>
    <w:r w:rsidRPr="007F256C">
      <w:rPr>
        <w:sz w:val="20"/>
      </w:rPr>
      <w:instrText xml:space="preserve"> PAGE   \* MERGEFORMAT </w:instrText>
    </w:r>
    <w:r w:rsidRPr="007F256C">
      <w:rPr>
        <w:sz w:val="20"/>
      </w:rPr>
      <w:fldChar w:fldCharType="separate"/>
    </w:r>
    <w:r w:rsidR="00656372">
      <w:rPr>
        <w:noProof/>
        <w:sz w:val="20"/>
      </w:rPr>
      <w:t>13</w:t>
    </w:r>
    <w:r w:rsidRPr="007F256C">
      <w:rPr>
        <w:noProof/>
        <w:sz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A025C5" w:rsidRDefault="00AD2E9D" w:rsidP="00A025C5">
    <w:pPr>
      <w:pStyle w:val="Footer"/>
      <w:spacing w:before="200" w:after="0"/>
      <w:jc w:val="right"/>
      <w:rPr>
        <w:sz w:val="20"/>
      </w:rPr>
    </w:pPr>
    <w:r w:rsidRPr="007F256C">
      <w:rPr>
        <w:sz w:val="20"/>
      </w:rPr>
      <w:fldChar w:fldCharType="begin"/>
    </w:r>
    <w:r w:rsidRPr="007F256C">
      <w:rPr>
        <w:sz w:val="20"/>
      </w:rPr>
      <w:instrText xml:space="preserve"> PAGE   \* MERGEFORMAT </w:instrText>
    </w:r>
    <w:r w:rsidRPr="007F256C">
      <w:rPr>
        <w:sz w:val="20"/>
      </w:rPr>
      <w:fldChar w:fldCharType="separate"/>
    </w:r>
    <w:r w:rsidR="00656372">
      <w:rPr>
        <w:noProof/>
        <w:sz w:val="20"/>
      </w:rPr>
      <w:t>23</w:t>
    </w:r>
    <w:r w:rsidRPr="007F256C">
      <w:rPr>
        <w:noProof/>
        <w:sz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7F256C" w:rsidRDefault="00AD2E9D" w:rsidP="00DE35DE">
    <w:pPr>
      <w:pStyle w:val="Footer"/>
      <w:spacing w:before="200" w:after="0"/>
      <w:jc w:val="right"/>
      <w:rPr>
        <w:noProof/>
        <w:sz w:val="20"/>
      </w:rPr>
    </w:pPr>
    <w:r w:rsidRPr="007F256C">
      <w:rPr>
        <w:noProof/>
        <w:sz w:val="20"/>
      </w:rPr>
      <w:fldChar w:fldCharType="begin"/>
    </w:r>
    <w:r w:rsidRPr="007F256C">
      <w:rPr>
        <w:noProof/>
        <w:sz w:val="20"/>
      </w:rPr>
      <w:instrText xml:space="preserve"> PAGE   \* MERGEFORMAT </w:instrText>
    </w:r>
    <w:r w:rsidRPr="007F256C">
      <w:rPr>
        <w:noProof/>
        <w:sz w:val="20"/>
      </w:rPr>
      <w:fldChar w:fldCharType="separate"/>
    </w:r>
    <w:r w:rsidR="00E4288B">
      <w:rPr>
        <w:noProof/>
        <w:sz w:val="20"/>
      </w:rPr>
      <w:t>220</w:t>
    </w:r>
    <w:r w:rsidRPr="007F256C">
      <w:rPr>
        <w:noProof/>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4FBC" w:rsidRDefault="00984FBC" w:rsidP="0072684A">
      <w:pPr>
        <w:spacing w:after="0"/>
      </w:pPr>
      <w:r>
        <w:separator/>
      </w:r>
    </w:p>
  </w:footnote>
  <w:footnote w:type="continuationSeparator" w:id="0">
    <w:p w:rsidR="00984FBC" w:rsidRDefault="00984FBC" w:rsidP="0072684A">
      <w:pPr>
        <w:spacing w:after="0"/>
      </w:pPr>
      <w:r>
        <w:continuationSeparator/>
      </w:r>
    </w:p>
  </w:footnote>
  <w:footnote w:type="continuationNotice" w:id="1">
    <w:p w:rsidR="00984FBC" w:rsidRDefault="00984FBC">
      <w:pPr>
        <w:spacing w:after="0"/>
      </w:pPr>
    </w:p>
  </w:footnote>
  <w:footnote w:id="2">
    <w:p w:rsidR="00AD2E9D" w:rsidRPr="00C90225" w:rsidRDefault="00AD2E9D" w:rsidP="00663F27">
      <w:pPr>
        <w:pStyle w:val="FootnoteText"/>
        <w:ind w:left="0" w:firstLine="0"/>
      </w:pPr>
      <w:r>
        <w:rPr>
          <w:rStyle w:val="FootnoteReference"/>
        </w:rPr>
        <w:footnoteRef/>
      </w:r>
      <w:r>
        <w:t xml:space="preserve"> По данни от Наблюдението на работната сила (НРС).</w:t>
      </w:r>
    </w:p>
  </w:footnote>
  <w:footnote w:id="3">
    <w:p w:rsidR="00AD2E9D" w:rsidRPr="005229B5" w:rsidRDefault="00AD2E9D" w:rsidP="00663F27">
      <w:pPr>
        <w:pStyle w:val="FootnoteText"/>
        <w:ind w:left="0" w:firstLine="0"/>
      </w:pPr>
      <w:r>
        <w:rPr>
          <w:rStyle w:val="FootnoteReference"/>
        </w:rPr>
        <w:footnoteRef/>
      </w:r>
      <w:r>
        <w:t xml:space="preserve"> Производителността на труда общо за икономиката е изчислена с БВП по цени от 2015 г. и броят на заетите лица по данни съгласно ЕСС 2010.</w:t>
      </w:r>
    </w:p>
  </w:footnote>
  <w:footnote w:id="4">
    <w:p w:rsidR="00AD2E9D" w:rsidRPr="005229B5" w:rsidRDefault="00AD2E9D" w:rsidP="00663F27">
      <w:pPr>
        <w:pStyle w:val="FootnoteText"/>
        <w:ind w:left="0" w:firstLine="0"/>
      </w:pPr>
      <w:r>
        <w:rPr>
          <w:rStyle w:val="FootnoteReference"/>
        </w:rPr>
        <w:footnoteRef/>
      </w:r>
      <w:r>
        <w:t xml:space="preserve"> Номиналните РТЕП общо за икономиката са изчислени като отношение между компенсацията на един нает по текущи цени и БВП на един зает по постоянни цени от 2015 г.</w:t>
      </w:r>
    </w:p>
  </w:footnote>
  <w:footnote w:id="5">
    <w:p w:rsidR="00AD2E9D" w:rsidRPr="00520971" w:rsidRDefault="00AD2E9D" w:rsidP="00520971">
      <w:pPr>
        <w:pStyle w:val="FootnoteText"/>
      </w:pPr>
      <w:r>
        <w:rPr>
          <w:rStyle w:val="FootnoteReference"/>
        </w:rPr>
        <w:footnoteRef/>
      </w:r>
      <w:r>
        <w:t xml:space="preserve">   </w:t>
      </w:r>
      <w:r w:rsidRPr="00520971">
        <w:t>При оценяване на базисната инфлация от общата инфлация е изключено влиянието на цените на храни, алкохол, цигари и енергийни стоки.</w:t>
      </w:r>
    </w:p>
    <w:p w:rsidR="00AD2E9D" w:rsidRDefault="00AD2E9D">
      <w:pPr>
        <w:pStyle w:val="FootnoteText"/>
      </w:pPr>
    </w:p>
  </w:footnote>
  <w:footnote w:id="6">
    <w:p w:rsidR="00AD2E9D" w:rsidRPr="00DF0FAC" w:rsidRDefault="00AD2E9D" w:rsidP="00520971">
      <w:pPr>
        <w:spacing w:after="60"/>
        <w:rPr>
          <w:bCs/>
          <w:color w:val="000000"/>
          <w:sz w:val="20"/>
          <w:szCs w:val="20"/>
        </w:rPr>
      </w:pPr>
      <w:r w:rsidRPr="00865A89">
        <w:rPr>
          <w:rStyle w:val="FootnoteReference"/>
          <w:sz w:val="20"/>
          <w:szCs w:val="20"/>
        </w:rPr>
        <w:footnoteRef/>
      </w:r>
      <w:r w:rsidRPr="00865A89">
        <w:rPr>
          <w:sz w:val="20"/>
          <w:szCs w:val="20"/>
        </w:rPr>
        <w:t xml:space="preserve"> </w:t>
      </w:r>
      <w:r>
        <w:rPr>
          <w:sz w:val="20"/>
          <w:szCs w:val="20"/>
        </w:rPr>
        <w:t xml:space="preserve">   </w:t>
      </w:r>
      <w:r w:rsidRPr="00DF0FAC">
        <w:rPr>
          <w:bCs/>
          <w:color w:val="000000"/>
          <w:sz w:val="20"/>
          <w:szCs w:val="20"/>
        </w:rPr>
        <w:t xml:space="preserve">Съгласно принципите на функциониране на паричния съвет повишението на международните валутни </w:t>
      </w:r>
      <w:r>
        <w:rPr>
          <w:bCs/>
          <w:color w:val="000000"/>
          <w:sz w:val="20"/>
          <w:szCs w:val="20"/>
        </w:rPr>
        <w:t xml:space="preserve">          </w:t>
      </w:r>
      <w:r w:rsidRPr="00DF0FAC">
        <w:rPr>
          <w:bCs/>
          <w:color w:val="000000"/>
          <w:sz w:val="20"/>
          <w:szCs w:val="20"/>
        </w:rPr>
        <w:t>резерви съответства на увеличение на балансовата стойност на пасивите на управление „Емисионно“</w:t>
      </w:r>
      <w:r>
        <w:rPr>
          <w:bCs/>
          <w:color w:val="000000"/>
          <w:sz w:val="20"/>
          <w:szCs w:val="20"/>
        </w:rPr>
        <w:t xml:space="preserve"> на Българска народна банка</w:t>
      </w:r>
      <w:r w:rsidRPr="00DF0FAC">
        <w:rPr>
          <w:bCs/>
          <w:color w:val="000000"/>
          <w:sz w:val="20"/>
          <w:szCs w:val="20"/>
        </w:rPr>
        <w:t>.</w:t>
      </w:r>
    </w:p>
  </w:footnote>
  <w:footnote w:id="7">
    <w:p w:rsidR="00AD2E9D" w:rsidRPr="00DF0FAC" w:rsidRDefault="00AD2E9D" w:rsidP="00520971">
      <w:pPr>
        <w:pStyle w:val="FootnoteText"/>
        <w:spacing w:after="60"/>
      </w:pPr>
      <w:r w:rsidRPr="00DF0FAC">
        <w:rPr>
          <w:rStyle w:val="FootnoteReference"/>
        </w:rPr>
        <w:footnoteRef/>
      </w:r>
      <w:r w:rsidRPr="00DF0FAC">
        <w:t xml:space="preserve"> </w:t>
      </w:r>
      <w:r>
        <w:t xml:space="preserve">   </w:t>
      </w:r>
      <w:r w:rsidRPr="00DF0FAC">
        <w:t>Изчислено като съотношение на ликвидния буфер и нетните изходящи ликвидни потоци.</w:t>
      </w:r>
    </w:p>
  </w:footnote>
  <w:footnote w:id="8">
    <w:p w:rsidR="00AD2E9D" w:rsidRPr="00DF0FAC" w:rsidRDefault="00AD2E9D" w:rsidP="00520971">
      <w:pPr>
        <w:pStyle w:val="FootnoteText"/>
        <w:spacing w:after="60"/>
      </w:pPr>
      <w:r w:rsidRPr="00DF0FAC">
        <w:rPr>
          <w:rStyle w:val="FootnoteReference"/>
        </w:rPr>
        <w:footnoteRef/>
      </w:r>
      <w:r>
        <w:t xml:space="preserve">  </w:t>
      </w:r>
      <w:r w:rsidRPr="00DF0FAC">
        <w:t xml:space="preserve">През </w:t>
      </w:r>
      <w:r>
        <w:t xml:space="preserve">м. </w:t>
      </w:r>
      <w:r w:rsidRPr="00DF0FAC">
        <w:t xml:space="preserve">април 2018 г. в паричната статистика бе включена нова отчетна единица в резултат на прекласификация поради </w:t>
      </w:r>
      <w:r>
        <w:t xml:space="preserve">преобразуване на дружество чрез </w:t>
      </w:r>
      <w:r w:rsidRPr="00DF0FAC">
        <w:t>вливане</w:t>
      </w:r>
      <w:r>
        <w:t xml:space="preserve"> в кредитна институция.</w:t>
      </w:r>
    </w:p>
  </w:footnote>
  <w:footnote w:id="9">
    <w:p w:rsidR="00AD2E9D" w:rsidRDefault="00AD2E9D" w:rsidP="00405CBC">
      <w:pPr>
        <w:pStyle w:val="FootnoteText"/>
      </w:pPr>
      <w:r>
        <w:rPr>
          <w:rStyle w:val="FootnoteReference"/>
        </w:rPr>
        <w:footnoteRef/>
      </w:r>
      <w:r>
        <w:t xml:space="preserve"> Според дефиницията на Наблюдението на работната сила (НРС).</w:t>
      </w:r>
    </w:p>
  </w:footnote>
  <w:footnote w:id="10">
    <w:p w:rsidR="00AD2E9D" w:rsidRDefault="00AD2E9D" w:rsidP="00924EB2">
      <w:pPr>
        <w:pStyle w:val="FootnoteText"/>
      </w:pPr>
      <w:r>
        <w:rPr>
          <w:rStyle w:val="FootnoteReference"/>
        </w:rPr>
        <w:footnoteRef/>
      </w:r>
      <w:r>
        <w:t xml:space="preserve">  </w:t>
      </w:r>
      <w:r w:rsidRPr="00520971">
        <w:t>При оценяване на базисната инфлация от общата инфлация е изключено влиянието на цените на храни, алкохол, цигари и енергийни стоки.</w:t>
      </w:r>
    </w:p>
  </w:footnote>
  <w:footnote w:id="11">
    <w:p w:rsidR="00AD2E9D" w:rsidRPr="00924EB2" w:rsidRDefault="00AD2E9D" w:rsidP="00924EB2">
      <w:pPr>
        <w:pStyle w:val="FootnoteText"/>
      </w:pPr>
      <w:r>
        <w:rPr>
          <w:rStyle w:val="FootnoteReference"/>
        </w:rPr>
        <w:footnoteRef/>
      </w:r>
      <w:r>
        <w:t xml:space="preserve"> </w:t>
      </w:r>
      <w:r w:rsidRPr="00924EB2">
        <w:t>От 2018 г. Европейската комисия започна да публикува и лятна прогноза за развитието на икономиката на ЕС и отделните държави-членки, която обхваща само показателите БВП и инфлация.</w:t>
      </w:r>
    </w:p>
    <w:p w:rsidR="00AD2E9D" w:rsidRDefault="00AD2E9D">
      <w:pPr>
        <w:pStyle w:val="FootnoteText"/>
      </w:pPr>
    </w:p>
  </w:footnote>
  <w:footnote w:id="12">
    <w:p w:rsidR="00AD2E9D" w:rsidRPr="00C33CBF" w:rsidRDefault="00AD2E9D" w:rsidP="006C2144">
      <w:pPr>
        <w:pStyle w:val="FootnoteText"/>
        <w:rPr>
          <w:iCs/>
        </w:rPr>
      </w:pPr>
      <w:r w:rsidRPr="00C33CBF">
        <w:rPr>
          <w:rStyle w:val="FootnoteReference"/>
          <w:sz w:val="20"/>
        </w:rPr>
        <w:footnoteRef/>
      </w:r>
      <w:r w:rsidRPr="00C33CBF">
        <w:t xml:space="preserve"> </w:t>
      </w:r>
      <w:r>
        <w:tab/>
      </w:r>
      <w:r w:rsidRPr="00E47606">
        <w:rPr>
          <w:iCs/>
        </w:rPr>
        <w:t xml:space="preserve">Поради закръгление </w:t>
      </w:r>
      <w:r w:rsidRPr="00D8768E">
        <w:rPr>
          <w:iCs/>
          <w:lang w:val="ru-RU"/>
        </w:rPr>
        <w:t>(</w:t>
      </w:r>
      <w:r w:rsidRPr="00E47606">
        <w:rPr>
          <w:iCs/>
        </w:rPr>
        <w:t>в млн. лв.</w:t>
      </w:r>
      <w:r w:rsidRPr="00D8768E">
        <w:rPr>
          <w:iCs/>
          <w:lang w:val="ru-RU"/>
        </w:rPr>
        <w:t xml:space="preserve"> </w:t>
      </w:r>
      <w:r>
        <w:rPr>
          <w:iCs/>
        </w:rPr>
        <w:t>и като процент от БВП</w:t>
      </w:r>
      <w:r w:rsidRPr="00D8768E">
        <w:rPr>
          <w:iCs/>
          <w:lang w:val="ru-RU"/>
        </w:rPr>
        <w:t>)</w:t>
      </w:r>
      <w:r w:rsidRPr="00E47606">
        <w:rPr>
          <w:iCs/>
        </w:rPr>
        <w:t xml:space="preserve"> някои сумарни позиции в таблиците и графиките в актуализираната бюджетна прогноза </w:t>
      </w:r>
      <w:r>
        <w:rPr>
          <w:iCs/>
        </w:rPr>
        <w:t xml:space="preserve">за периода </w:t>
      </w:r>
      <w:r w:rsidRPr="00E47606">
        <w:rPr>
          <w:iCs/>
        </w:rPr>
        <w:t>20</w:t>
      </w:r>
      <w:r>
        <w:rPr>
          <w:iCs/>
        </w:rPr>
        <w:t xml:space="preserve">20-2022 г. </w:t>
      </w:r>
      <w:r w:rsidRPr="00E47606">
        <w:rPr>
          <w:iCs/>
        </w:rPr>
        <w:t>и приложенията към нея не се изчерпват от съставните им числа.</w:t>
      </w:r>
    </w:p>
    <w:p w:rsidR="00AD2E9D" w:rsidRPr="000E1C99" w:rsidRDefault="00AD2E9D" w:rsidP="006C2144">
      <w:pPr>
        <w:pStyle w:val="FootnoteText"/>
      </w:pPr>
    </w:p>
  </w:footnote>
  <w:footnote w:id="13">
    <w:p w:rsidR="00AD2E9D" w:rsidRPr="000E1C99" w:rsidRDefault="00AD2E9D" w:rsidP="00C1779E">
      <w:pPr>
        <w:pStyle w:val="FootnoteText"/>
        <w:spacing w:after="120"/>
      </w:pPr>
      <w:r w:rsidRPr="00C33CBF">
        <w:rPr>
          <w:rStyle w:val="FootnoteReference"/>
          <w:sz w:val="20"/>
        </w:rPr>
        <w:footnoteRef/>
      </w:r>
      <w:r w:rsidRPr="00C33CBF">
        <w:t xml:space="preserve"> </w:t>
      </w:r>
      <w:r>
        <w:tab/>
      </w:r>
      <w:r w:rsidRPr="001E1E4C">
        <w:rPr>
          <w:iCs/>
        </w:rPr>
        <w:t>В таблицата са включени с</w:t>
      </w:r>
      <w:r>
        <w:rPr>
          <w:iCs/>
        </w:rPr>
        <w:t>метки за средства от ЕС на: ДФ „</w:t>
      </w:r>
      <w:r w:rsidRPr="001E1E4C">
        <w:rPr>
          <w:iCs/>
        </w:rPr>
        <w:t>Земеделие</w:t>
      </w:r>
      <w:r>
        <w:rPr>
          <w:iCs/>
        </w:rPr>
        <w:t>“</w:t>
      </w:r>
      <w:r w:rsidRPr="001E1E4C">
        <w:rPr>
          <w:iCs/>
        </w:rPr>
        <w:t>; Национален фонд  и Другите сметки за средства от ЕС и средства по други международни програми и договори, за които се прилага режимът на сметките за средства от ЕС</w:t>
      </w:r>
      <w:r>
        <w:rPr>
          <w:iCs/>
        </w:rPr>
        <w:t>.</w:t>
      </w:r>
      <w:r w:rsidRPr="00A1681C">
        <w:rPr>
          <w:iCs/>
        </w:rPr>
        <w:t xml:space="preserve"> </w:t>
      </w:r>
    </w:p>
  </w:footnote>
  <w:footnote w:id="14">
    <w:p w:rsidR="00AD2E9D" w:rsidRPr="003B749E" w:rsidRDefault="00AD2E9D" w:rsidP="00C1779E">
      <w:pPr>
        <w:pStyle w:val="FootnoteText"/>
        <w:spacing w:after="120"/>
        <w:rPr>
          <w:iCs/>
        </w:rPr>
      </w:pPr>
      <w:r>
        <w:rPr>
          <w:rStyle w:val="FootnoteReference"/>
        </w:rPr>
        <w:footnoteRef/>
      </w:r>
      <w:r>
        <w:t xml:space="preserve">   </w:t>
      </w:r>
      <w:r w:rsidRPr="003B749E">
        <w:rPr>
          <w:iCs/>
        </w:rPr>
        <w:t>Според методологията на ЕСС</w:t>
      </w:r>
      <w:r>
        <w:rPr>
          <w:iCs/>
        </w:rPr>
        <w:t xml:space="preserve"> </w:t>
      </w:r>
      <w:r w:rsidRPr="003B749E">
        <w:rPr>
          <w:iCs/>
        </w:rPr>
        <w:t>2010 сектор „Държавно управление“ включва всички институционални единици, чиято роля е предоставянето на непазарна продукция за индивидуално и колективно потребление и/или преразпределението на национален доход.</w:t>
      </w:r>
    </w:p>
    <w:p w:rsidR="00AD2E9D" w:rsidRDefault="00AD2E9D">
      <w:pPr>
        <w:pStyle w:val="FootnoteText"/>
      </w:pPr>
    </w:p>
  </w:footnote>
  <w:footnote w:id="15">
    <w:p w:rsidR="00AD2E9D" w:rsidRPr="00D44B06" w:rsidRDefault="00AD2E9D" w:rsidP="00483690">
      <w:pPr>
        <w:pStyle w:val="FootnoteText"/>
      </w:pPr>
      <w:r>
        <w:rPr>
          <w:rStyle w:val="FootnoteReference"/>
        </w:rPr>
        <w:footnoteRef/>
      </w:r>
      <w:r>
        <w:t xml:space="preserve">  П</w:t>
      </w:r>
      <w:r w:rsidRPr="00A530E3">
        <w:t>о реда на чл.</w:t>
      </w:r>
      <w:r>
        <w:t xml:space="preserve"> </w:t>
      </w:r>
      <w:r w:rsidRPr="00A530E3">
        <w:t xml:space="preserve">40, ал. 3 от Закона за здравното осигуряване за </w:t>
      </w:r>
      <w:r>
        <w:t>пенсионери, деца, студенти редовно обучение до 26- годишна възраст, чуждестранните студенти редовно обучение до 26-годишна възраст и др.</w:t>
      </w:r>
    </w:p>
  </w:footnote>
  <w:footnote w:id="16">
    <w:p w:rsidR="00AD2E9D" w:rsidRPr="00B64DCB" w:rsidRDefault="00AD2E9D" w:rsidP="00964569">
      <w:pPr>
        <w:pStyle w:val="FootnoteText"/>
      </w:pPr>
      <w:r w:rsidRPr="00B64DCB">
        <w:rPr>
          <w:rStyle w:val="FootnoteReference"/>
        </w:rPr>
        <w:footnoteRef/>
      </w:r>
      <w:r w:rsidRPr="00B64DCB">
        <w:t xml:space="preserve"> </w:t>
      </w:r>
      <w:r>
        <w:t xml:space="preserve">  </w:t>
      </w:r>
      <w:r w:rsidRPr="00B64DCB">
        <w:t>Виж ДВ, бр. 51 от 2018 г.</w:t>
      </w:r>
    </w:p>
  </w:footnote>
  <w:footnote w:id="17">
    <w:p w:rsidR="00AD2E9D" w:rsidRDefault="00AD2E9D" w:rsidP="00964569">
      <w:pPr>
        <w:pStyle w:val="FootnoteText"/>
      </w:pPr>
      <w:r w:rsidRPr="00B64DCB">
        <w:rPr>
          <w:rStyle w:val="FootnoteReference"/>
        </w:rPr>
        <w:footnoteRef/>
      </w:r>
      <w:r w:rsidRPr="00B64DCB">
        <w:t xml:space="preserve">  </w:t>
      </w:r>
      <w:r>
        <w:t>Предвид, че п</w:t>
      </w:r>
      <w:r w:rsidRPr="00B64DCB">
        <w:t>осочените разходи са на начислена основа, съгласно методологията на ЕСС 2010, разход</w:t>
      </w:r>
      <w:r>
        <w:t>ът</w:t>
      </w:r>
      <w:r w:rsidRPr="00B64DCB">
        <w:t xml:space="preserve"> се записва в годината на придобиване на актива</w:t>
      </w:r>
      <w:r>
        <w:t>.</w:t>
      </w:r>
    </w:p>
  </w:footnote>
  <w:footnote w:id="18">
    <w:p w:rsidR="00AD2E9D" w:rsidRPr="0039691F" w:rsidRDefault="00AD2E9D" w:rsidP="0039691F">
      <w:pPr>
        <w:pStyle w:val="FootnoteText"/>
      </w:pPr>
      <w:r>
        <w:rPr>
          <w:rStyle w:val="FootnoteReference"/>
        </w:rPr>
        <w:footnoteRef/>
      </w:r>
      <w:r>
        <w:t xml:space="preserve"> </w:t>
      </w:r>
      <w:r w:rsidRPr="0039691F">
        <w:t>Директива 2011/85/ЕС на Съвета от 8 ноември 2011 г. относно изискванията за бюджетните рамки на държавите членки (</w:t>
      </w:r>
      <w:hyperlink r:id="rId1" w:history="1">
        <w:r w:rsidRPr="0039691F">
          <w:rPr>
            <w:rStyle w:val="Hyperlink"/>
            <w:rFonts w:cstheme="minorBidi"/>
          </w:rPr>
          <w:t>https://eur-lex.europa.eu/legal-content/BG/ALL/?uri=CELEX:32011L0085</w:t>
        </w:r>
      </w:hyperlink>
      <w:r w:rsidRPr="00E22A97">
        <w:rPr>
          <w:lang w:val="ru-RU"/>
        </w:rPr>
        <w:t>).</w:t>
      </w:r>
      <w:r w:rsidRPr="0039691F">
        <w:t xml:space="preserve"> Съгласно член 14, параграф 3 от тази директива: </w:t>
      </w:r>
      <w:r w:rsidRPr="0039691F">
        <w:rPr>
          <w:i/>
        </w:rPr>
        <w:t xml:space="preserve">„За всички подсектори на сектор </w:t>
      </w:r>
      <w:r>
        <w:rPr>
          <w:i/>
        </w:rPr>
        <w:t xml:space="preserve">„Държавно управление“ държавите </w:t>
      </w:r>
      <w:r w:rsidRPr="0039691F">
        <w:rPr>
          <w:i/>
        </w:rPr>
        <w:t>членки публикуват съответна информация за условните задължения с потенциално значително въздействие върху публичните бюджети, включително държавни гаранции, необслужвани кредити и задължения, произтичащи от дейността на публични дружества, както и техния размер. Държавите</w:t>
      </w:r>
      <w:r>
        <w:rPr>
          <w:i/>
        </w:rPr>
        <w:t xml:space="preserve"> </w:t>
      </w:r>
      <w:r w:rsidRPr="0039691F">
        <w:rPr>
          <w:i/>
        </w:rPr>
        <w:t>членки публикуват и информация за дялове на сектор „Държавно управление“ в капитала на частни и публични дружества, които възлизат на икономически значими суми</w:t>
      </w:r>
      <w:r w:rsidRPr="0039691F">
        <w:rPr>
          <w:i/>
          <w:iCs/>
        </w:rPr>
        <w:t>“.</w:t>
      </w:r>
      <w:r w:rsidRPr="0039691F">
        <w:t xml:space="preserve"> </w:t>
      </w:r>
    </w:p>
    <w:p w:rsidR="00AD2E9D" w:rsidRDefault="00AD2E9D">
      <w:pPr>
        <w:pStyle w:val="FootnoteText"/>
      </w:pPr>
    </w:p>
  </w:footnote>
  <w:footnote w:id="19">
    <w:p w:rsidR="00AD2E9D" w:rsidRDefault="00AD2E9D" w:rsidP="00FC36AE">
      <w:pPr>
        <w:pStyle w:val="FootnoteText"/>
      </w:pPr>
      <w:r>
        <w:rPr>
          <w:rStyle w:val="FootnoteReference"/>
        </w:rPr>
        <w:footnoteRef/>
      </w:r>
      <w:r>
        <w:t xml:space="preserve"> </w:t>
      </w:r>
      <w:r w:rsidRPr="00FC36AE">
        <w:t xml:space="preserve">Съгласно </w:t>
      </w:r>
      <w:r>
        <w:t>Евростат.</w:t>
      </w:r>
    </w:p>
  </w:footnote>
  <w:footnote w:id="20">
    <w:p w:rsidR="00AD2E9D" w:rsidRPr="008419E6" w:rsidRDefault="00AD2E9D" w:rsidP="00270581">
      <w:pPr>
        <w:pStyle w:val="FootnoteText"/>
        <w:rPr>
          <w:lang w:eastAsia="x-none"/>
        </w:rPr>
      </w:pPr>
      <w:r w:rsidRPr="00E1730E">
        <w:rPr>
          <w:rStyle w:val="FootnoteReference"/>
          <w:sz w:val="20"/>
        </w:rPr>
        <w:footnoteRef/>
      </w:r>
      <w:r w:rsidRPr="00E1730E">
        <w:t xml:space="preserve"> </w:t>
      </w:r>
      <w:r w:rsidRPr="00E1730E">
        <w:tab/>
      </w:r>
      <w:r w:rsidRPr="00A27B2D">
        <w:t>Използваните в някои от графиките и таблиците в доклада съкращения към годините за периода 201</w:t>
      </w:r>
      <w:r>
        <w:t>9</w:t>
      </w:r>
      <w:r w:rsidRPr="00A27B2D">
        <w:t>-20</w:t>
      </w:r>
      <w:r>
        <w:t>22 г. са със следното значение:</w:t>
      </w:r>
    </w:p>
    <w:p w:rsidR="00AD2E9D" w:rsidRPr="00BA3A0C" w:rsidRDefault="00AD2E9D" w:rsidP="00ED18AF">
      <w:pPr>
        <w:pStyle w:val="FootnoteText"/>
        <w:numPr>
          <w:ilvl w:val="0"/>
          <w:numId w:val="6"/>
        </w:numPr>
      </w:pPr>
      <w:r w:rsidRPr="00A27B2D">
        <w:t>201</w:t>
      </w:r>
      <w:r>
        <w:t>9 оч. изпъл.</w:t>
      </w:r>
      <w:r w:rsidRPr="00A27B2D">
        <w:t xml:space="preserve"> – </w:t>
      </w:r>
      <w:r>
        <w:t>очаквано изпълнение</w:t>
      </w:r>
      <w:r w:rsidRPr="00A27B2D">
        <w:t xml:space="preserve"> за 201</w:t>
      </w:r>
      <w:r>
        <w:t>9</w:t>
      </w:r>
      <w:r w:rsidRPr="00A27B2D">
        <w:t xml:space="preserve"> г.; </w:t>
      </w:r>
    </w:p>
    <w:p w:rsidR="00AD2E9D" w:rsidRPr="00D96049" w:rsidRDefault="00AD2E9D" w:rsidP="00ED18AF">
      <w:pPr>
        <w:pStyle w:val="FootnoteText"/>
        <w:numPr>
          <w:ilvl w:val="0"/>
          <w:numId w:val="6"/>
        </w:numPr>
      </w:pPr>
      <w:r w:rsidRPr="00D96049">
        <w:rPr>
          <w:lang w:val="ru-RU"/>
        </w:rPr>
        <w:t>201</w:t>
      </w:r>
      <w:r w:rsidRPr="00D96049">
        <w:t>9</w:t>
      </w:r>
      <w:r w:rsidRPr="00D96049">
        <w:rPr>
          <w:lang w:val="ru-RU"/>
        </w:rPr>
        <w:t xml:space="preserve"> </w:t>
      </w:r>
      <w:r w:rsidRPr="00D96049">
        <w:t>ревиз. оценка – ревизирана оценка на програмата за 2019 г.;</w:t>
      </w:r>
    </w:p>
    <w:p w:rsidR="00AD2E9D" w:rsidRPr="00A27B2D" w:rsidRDefault="00AD2E9D" w:rsidP="00ED18AF">
      <w:pPr>
        <w:pStyle w:val="FootnoteText"/>
        <w:numPr>
          <w:ilvl w:val="0"/>
          <w:numId w:val="6"/>
        </w:numPr>
      </w:pPr>
      <w:r>
        <w:t>2020 п – проект за 2020</w:t>
      </w:r>
      <w:r w:rsidRPr="00A27B2D">
        <w:t xml:space="preserve"> г.;</w:t>
      </w:r>
    </w:p>
    <w:p w:rsidR="00AD2E9D" w:rsidRPr="00A27B2D" w:rsidRDefault="00AD2E9D" w:rsidP="00ED18AF">
      <w:pPr>
        <w:pStyle w:val="FootnoteText"/>
        <w:numPr>
          <w:ilvl w:val="0"/>
          <w:numId w:val="6"/>
        </w:numPr>
      </w:pPr>
      <w:r>
        <w:t>20</w:t>
      </w:r>
      <w:r>
        <w:rPr>
          <w:lang w:val="en-US"/>
        </w:rPr>
        <w:t>2</w:t>
      </w:r>
      <w:r>
        <w:t>1 п – прогноза за 20</w:t>
      </w:r>
      <w:r>
        <w:rPr>
          <w:lang w:val="en-US"/>
        </w:rPr>
        <w:t>2</w:t>
      </w:r>
      <w:r>
        <w:t>1</w:t>
      </w:r>
      <w:r w:rsidRPr="00A27B2D">
        <w:t xml:space="preserve"> г.;</w:t>
      </w:r>
    </w:p>
    <w:p w:rsidR="00AD2E9D" w:rsidRPr="00E1730E" w:rsidRDefault="00AD2E9D" w:rsidP="00ED18AF">
      <w:pPr>
        <w:pStyle w:val="FootnoteText"/>
        <w:numPr>
          <w:ilvl w:val="0"/>
          <w:numId w:val="6"/>
        </w:numPr>
      </w:pPr>
      <w:r w:rsidRPr="00A27B2D">
        <w:t>20</w:t>
      </w:r>
      <w:r>
        <w:t>22</w:t>
      </w:r>
      <w:r w:rsidRPr="00A27B2D">
        <w:t xml:space="preserve"> п – прогноза за 20</w:t>
      </w:r>
      <w:r>
        <w:t>22</w:t>
      </w:r>
      <w:r w:rsidRPr="00A27B2D">
        <w:t xml:space="preserve"> г.</w:t>
      </w:r>
    </w:p>
  </w:footnote>
  <w:footnote w:id="21">
    <w:p w:rsidR="00AD2E9D" w:rsidRDefault="00AD2E9D">
      <w:pPr>
        <w:pStyle w:val="FootnoteText"/>
      </w:pPr>
      <w:r>
        <w:rPr>
          <w:rStyle w:val="FootnoteReference"/>
        </w:rPr>
        <w:footnoteRef/>
      </w:r>
      <w:r>
        <w:t xml:space="preserve">  </w:t>
      </w:r>
      <w:r w:rsidRPr="00EC2D52">
        <w:t xml:space="preserve">VIES декларация (Value Added Tax Information Exchange System - информационна система </w:t>
      </w:r>
      <w:r>
        <w:t>за обмяна на информация по ДДС)</w:t>
      </w:r>
      <w:r w:rsidRPr="00EC2D52">
        <w:t xml:space="preserve"> е обобщена декларация, използвана за целите на контрола и обмена на информация между държавите членки.</w:t>
      </w:r>
    </w:p>
  </w:footnote>
  <w:footnote w:id="22">
    <w:p w:rsidR="00AD2E9D" w:rsidRPr="001D60CC" w:rsidRDefault="00AD2E9D" w:rsidP="006C1196">
      <w:pPr>
        <w:pStyle w:val="FootnoteText"/>
      </w:pPr>
      <w:r w:rsidRPr="001D60CC">
        <w:rPr>
          <w:rStyle w:val="FootnoteReference"/>
          <w:sz w:val="20"/>
        </w:rPr>
        <w:footnoteRef/>
      </w:r>
      <w:r w:rsidRPr="001D60CC">
        <w:t xml:space="preserve"> </w:t>
      </w:r>
      <w:r>
        <w:tab/>
      </w:r>
      <w:r w:rsidRPr="001D60CC">
        <w:t>В текущите нелихвени разходи са включени и предоставените трансфери за чужбина и прираст</w:t>
      </w:r>
      <w:r>
        <w:t>ът</w:t>
      </w:r>
      <w:r w:rsidRPr="001D60CC">
        <w:t xml:space="preserve"> на държавния резерв.</w:t>
      </w:r>
    </w:p>
    <w:p w:rsidR="00AD2E9D" w:rsidRPr="00D8768E" w:rsidRDefault="00AD2E9D" w:rsidP="006C1196">
      <w:pPr>
        <w:pStyle w:val="FootnoteText"/>
        <w:rPr>
          <w:lang w:val="ru-RU"/>
        </w:rPr>
      </w:pPr>
    </w:p>
  </w:footnote>
  <w:footnote w:id="23">
    <w:p w:rsidR="00AD2E9D" w:rsidRPr="00734DE5" w:rsidRDefault="00AD2E9D" w:rsidP="00734DE5">
      <w:pPr>
        <w:pStyle w:val="FootnoteText"/>
      </w:pPr>
      <w:r>
        <w:rPr>
          <w:rStyle w:val="FootnoteReference"/>
        </w:rPr>
        <w:footnoteRef/>
      </w:r>
      <w:r>
        <w:t xml:space="preserve"> </w:t>
      </w:r>
      <w:r w:rsidRPr="00734DE5">
        <w:t>Виж ДВ, бр. 45 от 7.06.2019 г., в сила от 1.01.2020 г.</w:t>
      </w:r>
    </w:p>
    <w:p w:rsidR="00AD2E9D" w:rsidRDefault="00AD2E9D" w:rsidP="00734DE5">
      <w:pPr>
        <w:pStyle w:val="FootnoteText"/>
        <w:ind w:left="0" w:firstLine="0"/>
      </w:pPr>
    </w:p>
  </w:footnote>
  <w:footnote w:id="24">
    <w:p w:rsidR="00AD2E9D" w:rsidRPr="00FE7792" w:rsidRDefault="00AD2E9D" w:rsidP="00BA0BE3">
      <w:pPr>
        <w:pStyle w:val="FootnoteText"/>
      </w:pPr>
      <w:r w:rsidRPr="00FE7792">
        <w:rPr>
          <w:rStyle w:val="FootnoteReference"/>
        </w:rPr>
        <w:footnoteRef/>
      </w:r>
      <w:r w:rsidRPr="00FE7792">
        <w:t xml:space="preserve"> </w:t>
      </w:r>
      <w:r w:rsidRPr="00FE7792">
        <w:rPr>
          <w:bCs/>
          <w:lang w:val="en-US"/>
        </w:rPr>
        <w:t>M</w:t>
      </w:r>
      <w:r w:rsidRPr="00FE7792">
        <w:rPr>
          <w:bCs/>
        </w:rPr>
        <w:t>egawatt</w:t>
      </w:r>
      <w:r w:rsidRPr="0015560C">
        <w:rPr>
          <w:bCs/>
        </w:rPr>
        <w:t xml:space="preserve"> - </w:t>
      </w:r>
      <w:r>
        <w:rPr>
          <w:bCs/>
        </w:rPr>
        <w:t>м</w:t>
      </w:r>
      <w:r w:rsidRPr="00FE7792">
        <w:rPr>
          <w:bCs/>
        </w:rPr>
        <w:t>егавата.</w:t>
      </w:r>
    </w:p>
  </w:footnote>
  <w:footnote w:id="25">
    <w:p w:rsidR="00AD2E9D" w:rsidRDefault="00AD2E9D" w:rsidP="00BA0BE3">
      <w:pPr>
        <w:pStyle w:val="FootnoteText"/>
      </w:pPr>
      <w:r>
        <w:rPr>
          <w:rStyle w:val="FootnoteReference"/>
        </w:rPr>
        <w:footnoteRef/>
      </w:r>
      <w:r>
        <w:t xml:space="preserve"> М</w:t>
      </w:r>
      <w:r w:rsidRPr="00734DE5">
        <w:t>egawatt-hour</w:t>
      </w:r>
      <w:r>
        <w:t xml:space="preserve"> – мегаватчаса.</w:t>
      </w:r>
    </w:p>
  </w:footnote>
  <w:footnote w:id="26">
    <w:p w:rsidR="00AD2E9D" w:rsidRPr="00A9226A" w:rsidRDefault="00AD2E9D" w:rsidP="00C30B73">
      <w:pPr>
        <w:pStyle w:val="FootnoteText"/>
        <w:rPr>
          <w:sz w:val="18"/>
          <w:szCs w:val="18"/>
        </w:rPr>
      </w:pPr>
      <w:r w:rsidRPr="00A9226A">
        <w:rPr>
          <w:rStyle w:val="FootnoteReference"/>
          <w:szCs w:val="18"/>
        </w:rPr>
        <w:footnoteRef/>
      </w:r>
      <w:r w:rsidRPr="00A9226A">
        <w:rPr>
          <w:sz w:val="18"/>
          <w:szCs w:val="18"/>
        </w:rPr>
        <w:t xml:space="preserve"> Програма за морско дело и рибарство.</w:t>
      </w:r>
    </w:p>
  </w:footnote>
  <w:footnote w:id="27">
    <w:p w:rsidR="00AD2E9D" w:rsidRDefault="00AD2E9D" w:rsidP="00C30B73">
      <w:pPr>
        <w:pStyle w:val="FootnoteText"/>
      </w:pPr>
      <w:r w:rsidRPr="00A9226A">
        <w:rPr>
          <w:rStyle w:val="FootnoteReference"/>
          <w:szCs w:val="18"/>
        </w:rPr>
        <w:footnoteRef/>
      </w:r>
      <w:r w:rsidRPr="00A9226A">
        <w:rPr>
          <w:sz w:val="18"/>
          <w:szCs w:val="18"/>
        </w:rPr>
        <w:t xml:space="preserve"> Европейски фонд по морско дело и рибарство.</w:t>
      </w:r>
    </w:p>
  </w:footnote>
  <w:footnote w:id="28">
    <w:p w:rsidR="00AD2E9D" w:rsidRDefault="00AD2E9D" w:rsidP="00C457ED">
      <w:pPr>
        <w:pStyle w:val="FootnoteText"/>
      </w:pPr>
      <w:r>
        <w:rPr>
          <w:rStyle w:val="FootnoteReference"/>
        </w:rPr>
        <w:footnoteRef/>
      </w:r>
      <w:r>
        <w:t xml:space="preserve">  </w:t>
      </w:r>
      <w:r w:rsidRPr="00C457ED">
        <w:t>Обект на анализа са средствата от Европейския социален фонд, Европейския фонд за регионално развитие и Кохезионния фонд, които съфинансират изпълнението на съответните оперативни програми за</w:t>
      </w:r>
      <w:r>
        <w:t xml:space="preserve"> програмния период 2014-2020 г.</w:t>
      </w:r>
    </w:p>
  </w:footnote>
  <w:footnote w:id="29">
    <w:p w:rsidR="00AD2E9D" w:rsidRDefault="00AD2E9D">
      <w:pPr>
        <w:pStyle w:val="FootnoteText"/>
      </w:pPr>
      <w:r>
        <w:rPr>
          <w:rStyle w:val="FootnoteReference"/>
        </w:rPr>
        <w:footnoteRef/>
      </w:r>
      <w:r>
        <w:t xml:space="preserve">  </w:t>
      </w:r>
      <w:r w:rsidRPr="00C457ED">
        <w:t>Simulation model of Bulgaria's Investment in Long-term Advance – SIBILA</w:t>
      </w:r>
      <w:r w:rsidRPr="00C457ED">
        <w:rPr>
          <w:lang w:val="en-US"/>
        </w:rPr>
        <w:t xml:space="preserve"> 2.0</w:t>
      </w:r>
      <w:r w:rsidRPr="00C457ED">
        <w:t>.</w:t>
      </w:r>
    </w:p>
  </w:footnote>
  <w:footnote w:id="30">
    <w:p w:rsidR="00AD2E9D" w:rsidRPr="00C457ED" w:rsidRDefault="00AD2E9D" w:rsidP="00C457ED">
      <w:pPr>
        <w:pStyle w:val="FootnoteText"/>
      </w:pPr>
      <w:r>
        <w:rPr>
          <w:rStyle w:val="FootnoteReference"/>
        </w:rPr>
        <w:footnoteRef/>
      </w:r>
      <w:r>
        <w:t xml:space="preserve">  Предвид спецификата на модел</w:t>
      </w:r>
      <w:r w:rsidRPr="00C457ED">
        <w:t>, е  направена експертна оценка на Министерството на финансите за разпределението на общата сума на прогнозното усвояване на средствата от ЕС по типове фактори за дългосрочен растеж.</w:t>
      </w:r>
      <w:r w:rsidRPr="007D6981">
        <w:rPr>
          <w:lang w:val="ru-RU"/>
        </w:rPr>
        <w:t xml:space="preserve"> </w:t>
      </w:r>
    </w:p>
  </w:footnote>
  <w:footnote w:id="31">
    <w:p w:rsidR="00AD2E9D" w:rsidRPr="00C457ED" w:rsidRDefault="00AD2E9D" w:rsidP="00C457ED">
      <w:pPr>
        <w:pStyle w:val="FootnoteText"/>
      </w:pPr>
      <w:r>
        <w:rPr>
          <w:rStyle w:val="FootnoteReference"/>
        </w:rPr>
        <w:footnoteRef/>
      </w:r>
      <w:r>
        <w:t xml:space="preserve">  </w:t>
      </w:r>
      <w:r w:rsidRPr="00C457ED">
        <w:t>Цялостните ефекти от изпълнението на оперативните програми, съфинансирани със средства от ЕС, върху икономиката са получени като разлика между два сценария – базисен сценарий, в който е симулирано развитието на икономиката без планираните интервенции, и хипотетичен алтернативен сценарий, който отчита планираното усвояване на средствата от ЕС.</w:t>
      </w:r>
    </w:p>
    <w:p w:rsidR="00AD2E9D" w:rsidRDefault="00AD2E9D">
      <w:pPr>
        <w:pStyle w:val="FootnoteText"/>
      </w:pPr>
    </w:p>
  </w:footnote>
  <w:footnote w:id="32">
    <w:p w:rsidR="00AD2E9D" w:rsidRDefault="00AD2E9D">
      <w:pPr>
        <w:pStyle w:val="FootnoteText"/>
      </w:pPr>
      <w:r>
        <w:rPr>
          <w:rStyle w:val="FootnoteReference"/>
        </w:rPr>
        <w:footnoteRef/>
      </w:r>
      <w:r>
        <w:t xml:space="preserve">  </w:t>
      </w:r>
      <w:r w:rsidRPr="006F4B41">
        <w:t>Дългът по Закона за държавния дълг и останалите форми на дълг съгласно Регламент на Съвета (ЕО) № 479/2009 от 25 май 2009 г. за прилагане на Протокола за процедурата при прекомерен дефицит, приложен към Договора за създаване на Европейската общност, който се поема и изплаща от централния бюджет и от лицата, чиито бюджети са част от държавния бюджет, включително чрез сметките им за средствата от Европейския съюз.</w:t>
      </w:r>
    </w:p>
  </w:footnote>
  <w:footnote w:id="33">
    <w:p w:rsidR="00AD2E9D" w:rsidRPr="00777071" w:rsidRDefault="00AD2E9D" w:rsidP="00A220A8">
      <w:pPr>
        <w:pStyle w:val="FootnoteText"/>
      </w:pPr>
      <w:r w:rsidRPr="00777071">
        <w:rPr>
          <w:rStyle w:val="FootnoteReference"/>
        </w:rPr>
        <w:footnoteRef/>
      </w:r>
      <w:r w:rsidRPr="00777071">
        <w:t xml:space="preserve"> Приложение 2 от Fiscal Sustainability Report 2018.</w:t>
      </w:r>
    </w:p>
  </w:footnote>
  <w:footnote w:id="34">
    <w:p w:rsidR="00AD2E9D" w:rsidRPr="00811F25" w:rsidRDefault="00AD2E9D" w:rsidP="00A220A8">
      <w:pPr>
        <w:pStyle w:val="FootnoteText"/>
        <w:ind w:left="142" w:hanging="142"/>
      </w:pPr>
      <w:r w:rsidRPr="00811F25">
        <w:rPr>
          <w:rStyle w:val="FootnoteReference"/>
        </w:rPr>
        <w:footnoteRef/>
      </w:r>
      <w:r w:rsidRPr="00811F25">
        <w:t xml:space="preserve"> Референти стойности</w:t>
      </w:r>
      <w:r>
        <w:t>,</w:t>
      </w:r>
      <w:r w:rsidRPr="00811F25">
        <w:t xml:space="preserve"> заложени в Доклада за фискална устойчивост 2018 (Fiscal Sustainability Report 2018), посочващи степента на риск за устойчивостта на публичните финанси:</w:t>
      </w:r>
    </w:p>
    <w:p w:rsidR="00AD2E9D" w:rsidRPr="00811F25" w:rsidRDefault="00AD2E9D" w:rsidP="00A220A8">
      <w:pPr>
        <w:pStyle w:val="FootnoteText"/>
      </w:pPr>
      <w:r w:rsidRPr="00811F25">
        <w:tab/>
        <w:t>S1&lt;0  – нисък риск; 0&lt;S1&lt;2,5 – умерен риск; S1&gt;2,5 – висок риск;</w:t>
      </w:r>
    </w:p>
    <w:p w:rsidR="00AD2E9D" w:rsidRPr="003E108D" w:rsidRDefault="00AD2E9D" w:rsidP="00A220A8">
      <w:pPr>
        <w:pStyle w:val="FootnoteText"/>
      </w:pPr>
      <w:r w:rsidRPr="00811F25">
        <w:tab/>
        <w:t>S2&lt;2 – нисък риск; 2&lt;S2&lt;6 – умерен риск; S2&gt;6 – висок риск.</w:t>
      </w:r>
    </w:p>
  </w:footnote>
  <w:footnote w:id="35">
    <w:p w:rsidR="00AD2E9D" w:rsidRPr="009415E2" w:rsidRDefault="00AD2E9D" w:rsidP="009415E2">
      <w:pPr>
        <w:spacing w:after="0"/>
        <w:rPr>
          <w:rFonts w:eastAsia="Times New Roman" w:cs="Times New Roman"/>
          <w:sz w:val="20"/>
          <w:szCs w:val="20"/>
        </w:rPr>
      </w:pPr>
      <w:r w:rsidRPr="006B7C81">
        <w:rPr>
          <w:rStyle w:val="FootnoteReference"/>
        </w:rPr>
        <w:footnoteRef/>
      </w:r>
      <w:r w:rsidRPr="006B7C81">
        <w:t xml:space="preserve"> </w:t>
      </w:r>
      <w:r w:rsidRPr="009415E2">
        <w:rPr>
          <w:rFonts w:eastAsia="Times New Roman" w:cs="Times New Roman"/>
          <w:sz w:val="20"/>
          <w:szCs w:val="20"/>
        </w:rPr>
        <w:t xml:space="preserve">Европейски средства - включват средствата по предприсъединителни инструменти на ЕС и по оперативни програми от </w:t>
      </w:r>
      <w:r w:rsidRPr="00934746">
        <w:rPr>
          <w:rFonts w:eastAsia="Times New Roman" w:cs="Times New Roman"/>
          <w:sz w:val="20"/>
          <w:szCs w:val="20"/>
        </w:rPr>
        <w:t>Кохезионния и Структурните фондове</w:t>
      </w:r>
      <w:r w:rsidRPr="009415E2">
        <w:rPr>
          <w:rFonts w:eastAsia="Times New Roman" w:cs="Times New Roman"/>
          <w:sz w:val="20"/>
          <w:szCs w:val="20"/>
        </w:rPr>
        <w:t xml:space="preserve"> на ЕС (управлявани от Националния фонд към МФ), Европейския земеделски фонд за развитие на селските райони, Европейския фонд за гарантиране на земеделието, и Европейския фонд за рибарство (управлявани от Разплащателната агенция към ДФ „Земеделие“), както и други програми и проекти, финансирани от фондове и институции на ЕС. В европейските средства участват и средствата от национално съфинансиране. </w:t>
      </w:r>
    </w:p>
  </w:footnote>
  <w:footnote w:id="36">
    <w:p w:rsidR="00AD2E9D" w:rsidRPr="00391247" w:rsidRDefault="00AD2E9D" w:rsidP="00391247">
      <w:pPr>
        <w:pStyle w:val="FootnoteText"/>
      </w:pPr>
      <w:r>
        <w:rPr>
          <w:rStyle w:val="FootnoteReference"/>
        </w:rPr>
        <w:footnoteRef/>
      </w:r>
      <w:r>
        <w:t xml:space="preserve">  </w:t>
      </w:r>
      <w:r w:rsidRPr="00391247">
        <w:t xml:space="preserve">Съгласно §1, т. 41 от Допълнителните разпоредби на Закона за публичните финанси, в обхвата на фискалния резерв се включват и вземанията от фондовете на Европейския съюз за сертифицирани разходи, аванси и други. </w:t>
      </w:r>
    </w:p>
    <w:p w:rsidR="00AD2E9D" w:rsidRDefault="00AD2E9D">
      <w:pPr>
        <w:pStyle w:val="FootnoteText"/>
      </w:pPr>
    </w:p>
  </w:footnote>
  <w:footnote w:id="37">
    <w:p w:rsidR="00AD2E9D" w:rsidRPr="00693955" w:rsidRDefault="00AD2E9D" w:rsidP="003C0431">
      <w:pPr>
        <w:spacing w:after="0"/>
        <w:rPr>
          <w:sz w:val="18"/>
          <w:szCs w:val="18"/>
        </w:rPr>
      </w:pPr>
      <w:r w:rsidRPr="004F4C22">
        <w:rPr>
          <w:rStyle w:val="FootnoteReference"/>
        </w:rPr>
        <w:footnoteRef/>
      </w:r>
      <w:r w:rsidRPr="004F4C22">
        <w:t xml:space="preserve"> </w:t>
      </w:r>
      <w:r w:rsidRPr="00693955">
        <w:rPr>
          <w:rFonts w:eastAsia="Times New Roman" w:cs="Times New Roman"/>
          <w:sz w:val="18"/>
          <w:szCs w:val="18"/>
        </w:rPr>
        <w:t xml:space="preserve">Европейски средства - включват средствата по оперативни </w:t>
      </w:r>
      <w:r w:rsidRPr="0085440B">
        <w:rPr>
          <w:rFonts w:eastAsia="Times New Roman" w:cs="Times New Roman"/>
          <w:sz w:val="18"/>
          <w:szCs w:val="18"/>
        </w:rPr>
        <w:t>програми от Кохезионния и Структурните фондове на ЕС (администрирани</w:t>
      </w:r>
      <w:r w:rsidRPr="00693955">
        <w:rPr>
          <w:rFonts w:eastAsia="Times New Roman" w:cs="Times New Roman"/>
          <w:sz w:val="18"/>
          <w:szCs w:val="18"/>
        </w:rPr>
        <w:t xml:space="preserve"> от Националния фонд към МФ), Европейския земеделски фонд за развитие на селските райони, Европейския фонд за гарантиране на земеделието, и Европейския фонд за морско дело и рибарство (администрирани от Разплащателната агенция към ДФ „Земеделие“), както и други програми и проекти, финансирани от фондове и институции на ЕС. В европейските средства участват и средствата от национално съфинансиране.</w:t>
      </w:r>
    </w:p>
  </w:footnote>
  <w:footnote w:id="38">
    <w:p w:rsidR="00AD2E9D" w:rsidRDefault="00AD2E9D" w:rsidP="00520115">
      <w:pPr>
        <w:pStyle w:val="FootnoteText"/>
      </w:pPr>
      <w:r>
        <w:rPr>
          <w:rStyle w:val="FootnoteReference"/>
        </w:rPr>
        <w:footnoteRef/>
      </w:r>
      <w:r>
        <w:t xml:space="preserve">  </w:t>
      </w:r>
      <w:r w:rsidRPr="00DE3C55">
        <w:t>Обхватът на показателя фискален резерв е в съответствие с §1, т. 41 от Допълнителните разпоредби на Закона за публичните финанси.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Default="00AD2E9D" w:rsidP="00E42591">
    <w:pPr>
      <w:pStyle w:val="Header"/>
    </w:pPr>
    <w:bookmarkStart w:id="4" w:name="OLE_LINK15"/>
    <w:bookmarkStart w:id="5" w:name="OLE_LINK16"/>
    <w:bookmarkStart w:id="6" w:name="_Hlk464223980"/>
    <w:r>
      <w:rPr>
        <w:lang w:val="bg-BG" w:eastAsia="bg-BG"/>
      </w:rPr>
      <mc:AlternateContent>
        <mc:Choice Requires="wps">
          <w:drawing>
            <wp:anchor distT="4294967295" distB="4294967295" distL="114300" distR="114300" simplePos="0" relativeHeight="251646976" behindDoc="0" locked="0" layoutInCell="1" allowOverlap="1" wp14:anchorId="13CD4BA1" wp14:editId="45DB252C">
              <wp:simplePos x="0" y="0"/>
              <wp:positionH relativeFrom="column">
                <wp:posOffset>-958215</wp:posOffset>
              </wp:positionH>
              <wp:positionV relativeFrom="paragraph">
                <wp:posOffset>312419</wp:posOffset>
              </wp:positionV>
              <wp:extent cx="7623175" cy="0"/>
              <wp:effectExtent l="0" t="0" r="15875" b="19050"/>
              <wp:wrapNone/>
              <wp:docPr id="45"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623175" cy="0"/>
                      </a:xfrm>
                      <a:prstGeom prst="line">
                        <a:avLst/>
                      </a:prstGeom>
                      <a:noFill/>
                      <a:ln w="6350" cap="flat" cmpd="sng" algn="ctr">
                        <a:solidFill>
                          <a:srgbClr val="B32C16">
                            <a:lumMod val="75000"/>
                          </a:srgbClr>
                        </a:solidFill>
                        <a:prstDash val="solid"/>
                        <a:miter lim="800000"/>
                      </a:ln>
                      <a:effectLst/>
                    </wps:spPr>
                    <wps:bodyPr/>
                  </wps:wsp>
                </a:graphicData>
              </a:graphic>
              <wp14:sizeRelH relativeFrom="margin">
                <wp14:pctWidth>0</wp14:pctWidth>
              </wp14:sizeRelH>
              <wp14:sizeRelV relativeFrom="page">
                <wp14:pctHeight>0</wp14:pctHeight>
              </wp14:sizeRelV>
            </wp:anchor>
          </w:drawing>
        </mc:Choice>
        <mc:Fallback>
          <w:pict>
            <v:line w14:anchorId="2D8A3CE7" id="Straight Connector 7" o:spid="_x0000_s1026" style="position:absolute;z-index:2516469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75.45pt,24.6pt" to="524.8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" strokecolor="#862110" strokeweight=".5pt">
              <v:stroke joinstyle="miter"/>
              <o:lock v:ext="edit" shapetype="f"/>
            </v:line>
          </w:pict>
        </mc:Fallback>
      </mc:AlternateContent>
    </w:r>
    <w:r>
      <w:t>Въведение</w:t>
    </w:r>
    <w:bookmarkEnd w:id="4"/>
    <w:bookmarkEnd w:id="5"/>
    <w:bookmarkEnd w:id="6"/>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E25A7A" w:rsidRDefault="00AD2E9D" w:rsidP="00E4259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E42591" w:rsidRDefault="00AD2E9D" w:rsidP="00E4259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AF79F1" w:rsidRDefault="00AD2E9D" w:rsidP="00E4259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F74A3C" w:rsidRDefault="00AD2E9D" w:rsidP="00F74A3C">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E22A97" w:rsidRDefault="00AD2E9D" w:rsidP="00D671EF">
    <w:pPr>
      <w:pStyle w:val="Header"/>
      <w:rPr>
        <w:lang w:val="ru-RU"/>
      </w:rPr>
    </w:pPr>
  </w:p>
  <w:p w:rsidR="00AD2E9D" w:rsidRPr="00E42591" w:rsidRDefault="00AD2E9D" w:rsidP="00D671EF">
    <w:pPr>
      <w:pStyle w:val="Header"/>
      <w:jc w:val="center"/>
      <w:rPr>
        <w:color w:val="FFFFFF" w:themeColor="background1"/>
      </w:rPr>
    </w:pPr>
    <w:r>
      <w:rPr>
        <w:color w:val="FFFFFF" w:themeColor="background1"/>
      </w:rPr>
      <w:t>III</w:t>
    </w:r>
    <w:r w:rsidRPr="00E42591">
      <w:rPr>
        <w:color w:val="FFFFFF" w:themeColor="background1"/>
      </w:rPr>
      <w:t>.</w:t>
    </w:r>
  </w:p>
  <w:p w:rsidR="00AD2E9D" w:rsidRPr="00D671EF" w:rsidRDefault="00AD2E9D" w:rsidP="00D671EF">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1A13B3" w:rsidRDefault="00AD2E9D" w:rsidP="001A13B3">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1A13B3" w:rsidRDefault="00AD2E9D" w:rsidP="001A13B3">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F74A3C" w:rsidRDefault="00AD2E9D" w:rsidP="00F74A3C">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F74A3C" w:rsidRDefault="00AD2E9D" w:rsidP="00F74A3C">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F74A3C" w:rsidRDefault="00AD2E9D" w:rsidP="00F74A3C">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5C00F7" w:rsidRDefault="00AD2E9D" w:rsidP="005C00F7">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64F93" w:rsidRDefault="00AD2E9D" w:rsidP="00E42591">
    <w:pPr>
      <w:pStyle w:val="Header"/>
      <w:ind w:left="227"/>
      <w:rPr>
        <w:lang w:val="ru-RU"/>
      </w:rPr>
    </w:pPr>
    <w:r w:rsidRPr="007335C8">
      <w:rPr>
        <w:lang w:val="bg-BG" w:eastAsia="bg-BG"/>
      </w:rPr>
      <mc:AlternateContent>
        <mc:Choice Requires="wps">
          <w:drawing>
            <wp:anchor distT="0" distB="0" distL="114300" distR="114300" simplePos="0" relativeHeight="251649024" behindDoc="0" locked="0" layoutInCell="1" allowOverlap="1" wp14:anchorId="0B94936B" wp14:editId="5DE82EA9">
              <wp:simplePos x="0" y="0"/>
              <wp:positionH relativeFrom="page">
                <wp:posOffset>0</wp:posOffset>
              </wp:positionH>
              <wp:positionV relativeFrom="page">
                <wp:posOffset>428625</wp:posOffset>
              </wp:positionV>
              <wp:extent cx="720000" cy="180000"/>
              <wp:effectExtent l="0" t="0" r="4445" b="0"/>
              <wp:wrapNone/>
              <wp:docPr id="25" name="Rectangle 25"/>
              <wp:cNvGraphicFramePr/>
              <a:graphic xmlns:a="http://schemas.openxmlformats.org/drawingml/2006/main">
                <a:graphicData uri="http://schemas.microsoft.com/office/word/2010/wordprocessingShape">
                  <wps:wsp>
                    <wps:cNvSpPr/>
                    <wps:spPr>
                      <a:xfrm>
                        <a:off x="0" y="0"/>
                        <a:ext cx="720000" cy="180000"/>
                      </a:xfrm>
                      <a:prstGeom prst="rect">
                        <a:avLst/>
                      </a:prstGeom>
                      <a:solidFill>
                        <a:srgbClr val="A71F23"/>
                      </a:solidFill>
                      <a:ln w="3175">
                        <a:noFill/>
                      </a:ln>
                    </wps:spPr>
                    <wps:style>
                      <a:lnRef idx="2">
                        <a:schemeClr val="accent1">
                          <a:shade val="50000"/>
                        </a:schemeClr>
                      </a:lnRef>
                      <a:fillRef idx="1">
                        <a:schemeClr val="accent1"/>
                      </a:fillRef>
                      <a:effectRef idx="0">
                        <a:schemeClr val="accent1"/>
                      </a:effectRef>
                      <a:fontRef idx="minor">
                        <a:schemeClr val="lt1"/>
                      </a:fontRef>
                    </wps:style>
                    <wps:txbx>
                      <w:txbxContent>
                        <w:p w:rsidR="00AD2E9D" w:rsidRPr="0060194A" w:rsidRDefault="00AD2E9D" w:rsidP="0060194A">
                          <w:pPr>
                            <w:pStyle w:val="Header"/>
                            <w:jc w:val="center"/>
                            <w:rPr>
                              <w:color w:val="FFFFFF" w:themeColor="background1"/>
                            </w:rPr>
                          </w:pPr>
                          <w:r w:rsidRPr="0060194A">
                            <w:rPr>
                              <w:color w:val="FFFFFF" w:themeColor="background1"/>
                            </w:rPr>
                            <w:t>IX.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94936B" id="Rectangle 25" o:spid="_x0000_s1030" style="position:absolute;left:0;text-align:left;margin-left:0;margin-top:33.75pt;width:56.7pt;height:14.1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" fillcolor="#a71f23" stroked="f" strokeweight=".25pt">
              <v:textbox inset="0,0,0,0">
                <w:txbxContent>
                  <w:p w:rsidR="00AD2E9D" w:rsidRPr="0060194A" w:rsidRDefault="00AD2E9D" w:rsidP="0060194A">
                    <w:pPr>
                      <w:pStyle w:val="Header"/>
                      <w:jc w:val="center"/>
                      <w:rPr>
                        <w:color w:val="FFFFFF" w:themeColor="background1"/>
                      </w:rPr>
                    </w:pPr>
                    <w:r w:rsidRPr="0060194A">
                      <w:rPr>
                        <w:color w:val="FFFFFF" w:themeColor="background1"/>
                      </w:rPr>
                      <w:t>IX.</w:t>
                    </w:r>
                  </w:p>
                </w:txbxContent>
              </v:textbox>
              <w10:wrap anchorx="page" anchory="page"/>
            </v:rect>
          </w:pict>
        </mc:Fallback>
      </mc:AlternateContent>
    </w:r>
    <w:r w:rsidRPr="00664F93">
      <w:rPr>
        <w:lang w:val="ru-RU"/>
      </w:rPr>
      <w:t xml:space="preserve">Актуализирана средносрочна </w:t>
    </w:r>
    <w:r>
      <w:rPr>
        <w:lang w:val="ru-RU"/>
      </w:rPr>
      <w:t>бюджетна прогноза за периода 2020</w:t>
    </w:r>
    <w:r w:rsidRPr="00664F93">
      <w:rPr>
        <w:lang w:val="ru-RU"/>
      </w:rPr>
      <w:t>–20</w:t>
    </w:r>
    <w:r>
      <w:rPr>
        <w:lang w:val="bg-BG"/>
      </w:rPr>
      <w:t>22</w:t>
    </w:r>
    <w:r w:rsidRPr="00664F93">
      <w:rPr>
        <w:lang w:val="ru-RU"/>
      </w:rPr>
      <w:t xml:space="preserve"> г.</w:t>
    </w: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Default="00AD2E9D" w:rsidP="00E42591">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E9D" w:rsidRPr="006E0CA8" w:rsidRDefault="00AD2E9D" w:rsidP="006E0C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F132AAC8"/>
    <w:lvl w:ilvl="0" w:tplc="FFFFFFFF">
      <w:numFmt w:val="none"/>
      <w:lvlText w:val=""/>
      <w:lvlJc w:val="left"/>
      <w:pPr>
        <w:tabs>
          <w:tab w:val="num" w:pos="360"/>
        </w:tabs>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singleLevel"/>
    <w:tmpl w:val="00000002"/>
    <w:name w:val="WW8Num3"/>
    <w:lvl w:ilvl="0">
      <w:start w:val="2"/>
      <w:numFmt w:val="bullet"/>
      <w:lvlText w:val="-"/>
      <w:lvlJc w:val="left"/>
      <w:pPr>
        <w:tabs>
          <w:tab w:val="num" w:pos="0"/>
        </w:tabs>
        <w:ind w:left="1080" w:hanging="360"/>
      </w:pPr>
      <w:rPr>
        <w:rFonts w:ascii="Times New Roman" w:hAnsi="Times New Roman" w:cs="Times New Roman"/>
      </w:rPr>
    </w:lvl>
  </w:abstractNum>
  <w:abstractNum w:abstractNumId="2" w15:restartNumberingAfterBreak="0">
    <w:nsid w:val="00000004"/>
    <w:multiLevelType w:val="singleLevel"/>
    <w:tmpl w:val="00000004"/>
    <w:name w:val="WW8Num6"/>
    <w:lvl w:ilvl="0">
      <w:start w:val="1"/>
      <w:numFmt w:val="decimal"/>
      <w:lvlText w:val="%1."/>
      <w:lvlJc w:val="left"/>
      <w:pPr>
        <w:tabs>
          <w:tab w:val="num" w:pos="0"/>
        </w:tabs>
        <w:ind w:left="1080" w:hanging="360"/>
      </w:pPr>
    </w:lvl>
  </w:abstractNum>
  <w:abstractNum w:abstractNumId="3" w15:restartNumberingAfterBreak="0">
    <w:nsid w:val="00000006"/>
    <w:multiLevelType w:val="multilevel"/>
    <w:tmpl w:val="00000006"/>
    <w:name w:val="WW8Num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7"/>
    <w:multiLevelType w:val="multilevel"/>
    <w:tmpl w:val="00000007"/>
    <w:name w:val="WW8Num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2E8316B"/>
    <w:multiLevelType w:val="hybridMultilevel"/>
    <w:tmpl w:val="AA82D676"/>
    <w:lvl w:ilvl="0" w:tplc="1DE07EA8">
      <w:start w:val="1"/>
      <w:numFmt w:val="bullet"/>
      <w:pStyle w:val="ListParagraph"/>
      <w:lvlText w:val=""/>
      <w:lvlJc w:val="left"/>
      <w:pPr>
        <w:ind w:left="927" w:hanging="360"/>
      </w:pPr>
      <w:rPr>
        <w:rFonts w:ascii="Symbol" w:hAnsi="Symbol" w:hint="default"/>
        <w:b/>
        <w:i w:val="0"/>
        <w:color w:val="auto"/>
        <w:position w:val="0"/>
        <w:sz w:val="20"/>
        <w:u w:color="7598D9" w:themeColor="accent2"/>
      </w:rPr>
    </w:lvl>
    <w:lvl w:ilvl="1" w:tplc="ECAE7C3A">
      <w:numFmt w:val="bullet"/>
      <w:lvlText w:val="•"/>
      <w:lvlJc w:val="left"/>
      <w:pPr>
        <w:ind w:left="2505" w:hanging="705"/>
      </w:pPr>
      <w:rPr>
        <w:rFonts w:ascii="Times New Roman" w:eastAsia="Times New Roman" w:hAnsi="Times New Roman" w:cs="Times New Roman"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04293AE7"/>
    <w:multiLevelType w:val="hybridMultilevel"/>
    <w:tmpl w:val="C9DCAD7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47239F1"/>
    <w:multiLevelType w:val="hybridMultilevel"/>
    <w:tmpl w:val="40B49A3E"/>
    <w:lvl w:ilvl="0" w:tplc="A2DA03FC">
      <w:numFmt w:val="bullet"/>
      <w:lvlText w:val="–"/>
      <w:lvlJc w:val="left"/>
      <w:pPr>
        <w:ind w:left="1440" w:hanging="360"/>
      </w:pPr>
      <w:rPr>
        <w:rFonts w:ascii="Times New Roman" w:eastAsia="Times New Roman" w:hAnsi="Times New Roman" w:cs="Times New Roman"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8" w15:restartNumberingAfterBreak="0">
    <w:nsid w:val="059010A8"/>
    <w:multiLevelType w:val="hybridMultilevel"/>
    <w:tmpl w:val="4DB469AC"/>
    <w:lvl w:ilvl="0" w:tplc="28E8B8F6">
      <w:start w:val="1"/>
      <w:numFmt w:val="decimal"/>
      <w:lvlText w:val="%1."/>
      <w:lvlJc w:val="left"/>
      <w:pPr>
        <w:ind w:left="360" w:hanging="360"/>
      </w:pPr>
      <w:rPr>
        <w:rFonts w:cs="Times New Roman"/>
      </w:rPr>
    </w:lvl>
    <w:lvl w:ilvl="1" w:tplc="04020019">
      <w:start w:val="1"/>
      <w:numFmt w:val="lowerLetter"/>
      <w:lvlText w:val="%2."/>
      <w:lvlJc w:val="left"/>
      <w:pPr>
        <w:ind w:left="1789" w:hanging="360"/>
      </w:pPr>
      <w:rPr>
        <w:rFonts w:cs="Times New Roman"/>
      </w:rPr>
    </w:lvl>
    <w:lvl w:ilvl="2" w:tplc="0402001B">
      <w:start w:val="1"/>
      <w:numFmt w:val="lowerRoman"/>
      <w:lvlText w:val="%3."/>
      <w:lvlJc w:val="right"/>
      <w:pPr>
        <w:ind w:left="2509" w:hanging="180"/>
      </w:pPr>
      <w:rPr>
        <w:rFonts w:cs="Times New Roman"/>
      </w:rPr>
    </w:lvl>
    <w:lvl w:ilvl="3" w:tplc="0402000F">
      <w:start w:val="1"/>
      <w:numFmt w:val="decimal"/>
      <w:lvlText w:val="%4."/>
      <w:lvlJc w:val="left"/>
      <w:pPr>
        <w:ind w:left="3229" w:hanging="360"/>
      </w:pPr>
      <w:rPr>
        <w:rFonts w:cs="Times New Roman"/>
      </w:rPr>
    </w:lvl>
    <w:lvl w:ilvl="4" w:tplc="04020019">
      <w:start w:val="1"/>
      <w:numFmt w:val="lowerLetter"/>
      <w:lvlText w:val="%5."/>
      <w:lvlJc w:val="left"/>
      <w:pPr>
        <w:ind w:left="3949" w:hanging="360"/>
      </w:pPr>
      <w:rPr>
        <w:rFonts w:cs="Times New Roman"/>
      </w:rPr>
    </w:lvl>
    <w:lvl w:ilvl="5" w:tplc="0402001B">
      <w:start w:val="1"/>
      <w:numFmt w:val="lowerRoman"/>
      <w:lvlText w:val="%6."/>
      <w:lvlJc w:val="right"/>
      <w:pPr>
        <w:ind w:left="4669" w:hanging="180"/>
      </w:pPr>
      <w:rPr>
        <w:rFonts w:cs="Times New Roman"/>
      </w:rPr>
    </w:lvl>
    <w:lvl w:ilvl="6" w:tplc="0402000F">
      <w:start w:val="1"/>
      <w:numFmt w:val="decimal"/>
      <w:lvlText w:val="%7."/>
      <w:lvlJc w:val="left"/>
      <w:pPr>
        <w:ind w:left="5389" w:hanging="360"/>
      </w:pPr>
      <w:rPr>
        <w:rFonts w:cs="Times New Roman"/>
      </w:rPr>
    </w:lvl>
    <w:lvl w:ilvl="7" w:tplc="04020019">
      <w:start w:val="1"/>
      <w:numFmt w:val="lowerLetter"/>
      <w:lvlText w:val="%8."/>
      <w:lvlJc w:val="left"/>
      <w:pPr>
        <w:ind w:left="6109" w:hanging="360"/>
      </w:pPr>
      <w:rPr>
        <w:rFonts w:cs="Times New Roman"/>
      </w:rPr>
    </w:lvl>
    <w:lvl w:ilvl="8" w:tplc="0402001B">
      <w:start w:val="1"/>
      <w:numFmt w:val="lowerRoman"/>
      <w:lvlText w:val="%9."/>
      <w:lvlJc w:val="right"/>
      <w:pPr>
        <w:ind w:left="6829" w:hanging="180"/>
      </w:pPr>
      <w:rPr>
        <w:rFonts w:cs="Times New Roman"/>
      </w:rPr>
    </w:lvl>
  </w:abstractNum>
  <w:abstractNum w:abstractNumId="9" w15:restartNumberingAfterBreak="0">
    <w:nsid w:val="06DD6DAA"/>
    <w:multiLevelType w:val="hybridMultilevel"/>
    <w:tmpl w:val="B21E9CB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06F75921"/>
    <w:multiLevelType w:val="hybridMultilevel"/>
    <w:tmpl w:val="F68C00A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0824063D"/>
    <w:multiLevelType w:val="hybridMultilevel"/>
    <w:tmpl w:val="94B454FE"/>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2" w15:restartNumberingAfterBreak="0">
    <w:nsid w:val="0BD239B8"/>
    <w:multiLevelType w:val="hybridMultilevel"/>
    <w:tmpl w:val="63C014E8"/>
    <w:lvl w:ilvl="0" w:tplc="2B5CD1E8">
      <w:start w:val="1"/>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0C1A6158"/>
    <w:multiLevelType w:val="hybridMultilevel"/>
    <w:tmpl w:val="7C286E50"/>
    <w:lvl w:ilvl="0" w:tplc="E74E3FB0">
      <w:start w:val="1"/>
      <w:numFmt w:val="bullet"/>
      <w:lvlText w:val=""/>
      <w:lvlJc w:val="left"/>
      <w:pPr>
        <w:ind w:left="1287" w:hanging="360"/>
      </w:pPr>
      <w:rPr>
        <w:rFonts w:ascii="Symbol" w:hAnsi="Symbol" w:hint="default"/>
        <w:color w:val="auto"/>
        <w:u w:color="595C62" w:themeColor="accent6" w:themeShade="BF"/>
      </w:rPr>
    </w:lvl>
    <w:lvl w:ilvl="1" w:tplc="04020003">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4" w15:restartNumberingAfterBreak="0">
    <w:nsid w:val="0EAE6EC6"/>
    <w:multiLevelType w:val="hybridMultilevel"/>
    <w:tmpl w:val="002A919C"/>
    <w:lvl w:ilvl="0" w:tplc="1A580F46">
      <w:start w:val="3"/>
      <w:numFmt w:val="bullet"/>
      <w:lvlText w:val="-"/>
      <w:lvlJc w:val="left"/>
      <w:pPr>
        <w:ind w:left="1068" w:hanging="360"/>
      </w:pPr>
      <w:rPr>
        <w:rFonts w:ascii="Times New Roman" w:eastAsia="Times New Roman" w:hAnsi="Times New Roman" w:cs="Times New Roman"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15" w15:restartNumberingAfterBreak="0">
    <w:nsid w:val="10722471"/>
    <w:multiLevelType w:val="hybridMultilevel"/>
    <w:tmpl w:val="F642F9C4"/>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16" w15:restartNumberingAfterBreak="0">
    <w:nsid w:val="11BF00B7"/>
    <w:multiLevelType w:val="multilevel"/>
    <w:tmpl w:val="A9161A0C"/>
    <w:lvl w:ilvl="0">
      <w:start w:val="1"/>
      <w:numFmt w:val="upperRoman"/>
      <w:pStyle w:val="Heading1"/>
      <w:suff w:val="nothing"/>
      <w:lvlText w:val="Част %1."/>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2."/>
      <w:lvlJc w:val="right"/>
      <w:pPr>
        <w:ind w:left="454" w:hanging="166"/>
      </w:pPr>
      <w:rPr>
        <w:rFonts w:hint="default"/>
      </w:rPr>
    </w:lvl>
    <w:lvl w:ilvl="2">
      <w:start w:val="1"/>
      <w:numFmt w:val="decimal"/>
      <w:pStyle w:val="Heading3"/>
      <w:lvlText w:val="%2.%3."/>
      <w:lvlJc w:val="left"/>
      <w:pPr>
        <w:ind w:left="4537" w:firstLine="0"/>
      </w:pPr>
      <w:rPr>
        <w:rFonts w:hint="default"/>
        <w:i w:val="0"/>
        <w:color w:val="852010" w:themeColor="accent3" w:themeShade="BF"/>
      </w:rPr>
    </w:lvl>
    <w:lvl w:ilvl="3">
      <w:start w:val="1"/>
      <w:numFmt w:val="decimal"/>
      <w:pStyle w:val="Heading4"/>
      <w:lvlText w:val="%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2B37F89"/>
    <w:multiLevelType w:val="multilevel"/>
    <w:tmpl w:val="DF403E34"/>
    <w:lvl w:ilvl="0">
      <w:numFmt w:val="bullet"/>
      <w:lvlText w:val="-"/>
      <w:lvlJc w:val="left"/>
      <w:pPr>
        <w:tabs>
          <w:tab w:val="num" w:pos="720"/>
        </w:tabs>
        <w:ind w:left="720" w:hanging="360"/>
      </w:pPr>
      <w:rPr>
        <w:rFonts w:ascii="Verdana" w:eastAsia="Times New Roman" w:hAnsi="Verdana"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66C7529"/>
    <w:multiLevelType w:val="hybridMultilevel"/>
    <w:tmpl w:val="117AB6D2"/>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17B4775C"/>
    <w:multiLevelType w:val="hybridMultilevel"/>
    <w:tmpl w:val="B9D6E6C4"/>
    <w:lvl w:ilvl="0" w:tplc="04020001">
      <w:start w:val="1"/>
      <w:numFmt w:val="bullet"/>
      <w:lvlText w:val=""/>
      <w:lvlJc w:val="left"/>
      <w:pPr>
        <w:ind w:left="781" w:hanging="360"/>
      </w:pPr>
      <w:rPr>
        <w:rFonts w:ascii="Symbol" w:hAnsi="Symbol" w:hint="default"/>
      </w:rPr>
    </w:lvl>
    <w:lvl w:ilvl="1" w:tplc="6F8CA8BA">
      <w:start w:val="2"/>
      <w:numFmt w:val="bullet"/>
      <w:lvlText w:val="-"/>
      <w:lvlJc w:val="left"/>
      <w:pPr>
        <w:ind w:left="1501" w:hanging="360"/>
      </w:pPr>
      <w:rPr>
        <w:rFonts w:ascii="Times New Roman" w:eastAsia="Batang" w:hAnsi="Times New Roman" w:cs="Times New Roman" w:hint="default"/>
      </w:rPr>
    </w:lvl>
    <w:lvl w:ilvl="2" w:tplc="04020005">
      <w:start w:val="1"/>
      <w:numFmt w:val="bullet"/>
      <w:lvlText w:val=""/>
      <w:lvlJc w:val="left"/>
      <w:pPr>
        <w:ind w:left="2221" w:hanging="360"/>
      </w:pPr>
      <w:rPr>
        <w:rFonts w:ascii="Wingdings" w:hAnsi="Wingdings" w:hint="default"/>
      </w:rPr>
    </w:lvl>
    <w:lvl w:ilvl="3" w:tplc="04020001" w:tentative="1">
      <w:start w:val="1"/>
      <w:numFmt w:val="bullet"/>
      <w:lvlText w:val=""/>
      <w:lvlJc w:val="left"/>
      <w:pPr>
        <w:ind w:left="2941" w:hanging="360"/>
      </w:pPr>
      <w:rPr>
        <w:rFonts w:ascii="Symbol" w:hAnsi="Symbol" w:hint="default"/>
      </w:rPr>
    </w:lvl>
    <w:lvl w:ilvl="4" w:tplc="04020003" w:tentative="1">
      <w:start w:val="1"/>
      <w:numFmt w:val="bullet"/>
      <w:lvlText w:val="o"/>
      <w:lvlJc w:val="left"/>
      <w:pPr>
        <w:ind w:left="3661" w:hanging="360"/>
      </w:pPr>
      <w:rPr>
        <w:rFonts w:ascii="Courier New" w:hAnsi="Courier New" w:cs="Courier New" w:hint="default"/>
      </w:rPr>
    </w:lvl>
    <w:lvl w:ilvl="5" w:tplc="04020005" w:tentative="1">
      <w:start w:val="1"/>
      <w:numFmt w:val="bullet"/>
      <w:lvlText w:val=""/>
      <w:lvlJc w:val="left"/>
      <w:pPr>
        <w:ind w:left="4381" w:hanging="360"/>
      </w:pPr>
      <w:rPr>
        <w:rFonts w:ascii="Wingdings" w:hAnsi="Wingdings" w:hint="default"/>
      </w:rPr>
    </w:lvl>
    <w:lvl w:ilvl="6" w:tplc="04020001" w:tentative="1">
      <w:start w:val="1"/>
      <w:numFmt w:val="bullet"/>
      <w:lvlText w:val=""/>
      <w:lvlJc w:val="left"/>
      <w:pPr>
        <w:ind w:left="5101" w:hanging="360"/>
      </w:pPr>
      <w:rPr>
        <w:rFonts w:ascii="Symbol" w:hAnsi="Symbol" w:hint="default"/>
      </w:rPr>
    </w:lvl>
    <w:lvl w:ilvl="7" w:tplc="04020003" w:tentative="1">
      <w:start w:val="1"/>
      <w:numFmt w:val="bullet"/>
      <w:lvlText w:val="o"/>
      <w:lvlJc w:val="left"/>
      <w:pPr>
        <w:ind w:left="5821" w:hanging="360"/>
      </w:pPr>
      <w:rPr>
        <w:rFonts w:ascii="Courier New" w:hAnsi="Courier New" w:cs="Courier New" w:hint="default"/>
      </w:rPr>
    </w:lvl>
    <w:lvl w:ilvl="8" w:tplc="04020005" w:tentative="1">
      <w:start w:val="1"/>
      <w:numFmt w:val="bullet"/>
      <w:lvlText w:val=""/>
      <w:lvlJc w:val="left"/>
      <w:pPr>
        <w:ind w:left="6541" w:hanging="360"/>
      </w:pPr>
      <w:rPr>
        <w:rFonts w:ascii="Wingdings" w:hAnsi="Wingdings" w:hint="default"/>
      </w:rPr>
    </w:lvl>
  </w:abstractNum>
  <w:abstractNum w:abstractNumId="20" w15:restartNumberingAfterBreak="0">
    <w:nsid w:val="18C85BD5"/>
    <w:multiLevelType w:val="hybridMultilevel"/>
    <w:tmpl w:val="7E7263E4"/>
    <w:lvl w:ilvl="0" w:tplc="E74E3FB0">
      <w:start w:val="1"/>
      <w:numFmt w:val="bullet"/>
      <w:lvlText w:val=""/>
      <w:lvlJc w:val="left"/>
      <w:pPr>
        <w:ind w:left="1004" w:hanging="360"/>
      </w:pPr>
      <w:rPr>
        <w:rFonts w:ascii="Symbol" w:hAnsi="Symbol" w:hint="default"/>
        <w:color w:val="auto"/>
        <w:u w:color="595C62" w:themeColor="accent6" w:themeShade="BF"/>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1945342A"/>
    <w:multiLevelType w:val="hybridMultilevel"/>
    <w:tmpl w:val="FCA87C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1C9077BA"/>
    <w:multiLevelType w:val="hybridMultilevel"/>
    <w:tmpl w:val="CABC0880"/>
    <w:lvl w:ilvl="0" w:tplc="0402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1CC437F6"/>
    <w:multiLevelType w:val="hybridMultilevel"/>
    <w:tmpl w:val="1548B4EA"/>
    <w:lvl w:ilvl="0" w:tplc="0402000B">
      <w:start w:val="1"/>
      <w:numFmt w:val="bullet"/>
      <w:lvlText w:val=""/>
      <w:lvlJc w:val="left"/>
      <w:pPr>
        <w:ind w:left="1065" w:hanging="705"/>
      </w:pPr>
      <w:rPr>
        <w:rFonts w:ascii="Wingdings" w:hAnsi="Wingdings" w:hint="default"/>
      </w:rPr>
    </w:lvl>
    <w:lvl w:ilvl="1" w:tplc="0504E2F0">
      <w:numFmt w:val="bullet"/>
      <w:lvlText w:val=""/>
      <w:lvlJc w:val="left"/>
      <w:pPr>
        <w:ind w:left="1785" w:hanging="705"/>
      </w:pPr>
      <w:rPr>
        <w:rFonts w:ascii="Symbol" w:eastAsia="Times New Roman" w:hAnsi="Symbol" w:cs="Times New Roman"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1DF6238A"/>
    <w:multiLevelType w:val="hybridMultilevel"/>
    <w:tmpl w:val="1798A6A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1">
      <w:start w:val="1"/>
      <w:numFmt w:val="bullet"/>
      <w:lvlText w:val=""/>
      <w:lvlJc w:val="left"/>
      <w:pPr>
        <w:ind w:left="2160" w:hanging="360"/>
      </w:pPr>
      <w:rPr>
        <w:rFonts w:ascii="Symbol" w:hAnsi="Symbol"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22D16B92"/>
    <w:multiLevelType w:val="hybridMultilevel"/>
    <w:tmpl w:val="2696AB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25294FE1"/>
    <w:multiLevelType w:val="hybridMultilevel"/>
    <w:tmpl w:val="4E0EEEDE"/>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2764731C"/>
    <w:multiLevelType w:val="hybridMultilevel"/>
    <w:tmpl w:val="B40A579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2C3C4757"/>
    <w:multiLevelType w:val="hybridMultilevel"/>
    <w:tmpl w:val="D0B4006A"/>
    <w:lvl w:ilvl="0" w:tplc="F4EE1120">
      <w:start w:val="1"/>
      <w:numFmt w:val="bullet"/>
      <w:pStyle w:val="Heading5"/>
      <w:lvlText w:val=""/>
      <w:lvlJc w:val="left"/>
      <w:pPr>
        <w:ind w:left="720" w:hanging="360"/>
      </w:pPr>
      <w:rPr>
        <w:rFonts w:ascii="Symbol" w:hAnsi="Symbol" w:hint="default"/>
        <w:color w:val="auto"/>
        <w:u w:color="595C62" w:themeColor="accent6" w:themeShade="BF"/>
      </w:rPr>
    </w:lvl>
    <w:lvl w:ilvl="1" w:tplc="1AB617FC">
      <w:numFmt w:val="bullet"/>
      <w:lvlText w:val="•"/>
      <w:lvlJc w:val="left"/>
      <w:pPr>
        <w:ind w:left="1935" w:hanging="855"/>
      </w:pPr>
      <w:rPr>
        <w:rFonts w:ascii="Times New Roman" w:eastAsiaTheme="minorEastAsia"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CDA6104"/>
    <w:multiLevelType w:val="hybridMultilevel"/>
    <w:tmpl w:val="3A0E8E0E"/>
    <w:lvl w:ilvl="0" w:tplc="04020001">
      <w:start w:val="1"/>
      <w:numFmt w:val="bullet"/>
      <w:lvlText w:val=""/>
      <w:lvlJc w:val="left"/>
      <w:pPr>
        <w:ind w:left="1069" w:hanging="360"/>
      </w:pPr>
      <w:rPr>
        <w:rFonts w:ascii="Symbol" w:hAnsi="Symbol"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30" w15:restartNumberingAfterBreak="0">
    <w:nsid w:val="2F353F2A"/>
    <w:multiLevelType w:val="hybridMultilevel"/>
    <w:tmpl w:val="E1FABF0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1" w15:restartNumberingAfterBreak="0">
    <w:nsid w:val="30875F83"/>
    <w:multiLevelType w:val="hybridMultilevel"/>
    <w:tmpl w:val="CEE2687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3302117F"/>
    <w:multiLevelType w:val="hybridMultilevel"/>
    <w:tmpl w:val="E0FCDFCA"/>
    <w:lvl w:ilvl="0" w:tplc="4446C67E">
      <w:start w:val="1"/>
      <w:numFmt w:val="bullet"/>
      <w:lvlText w:val=""/>
      <w:lvlJc w:val="left"/>
      <w:pPr>
        <w:ind w:left="720" w:hanging="360"/>
      </w:pPr>
      <w:rPr>
        <w:rFonts w:ascii="Symbol" w:hAnsi="Symbol"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3347710E"/>
    <w:multiLevelType w:val="hybridMultilevel"/>
    <w:tmpl w:val="A16C209E"/>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4" w15:restartNumberingAfterBreak="0">
    <w:nsid w:val="341247AF"/>
    <w:multiLevelType w:val="hybridMultilevel"/>
    <w:tmpl w:val="A7DE9B1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35" w15:restartNumberingAfterBreak="0">
    <w:nsid w:val="346300FF"/>
    <w:multiLevelType w:val="hybridMultilevel"/>
    <w:tmpl w:val="AA449A12"/>
    <w:lvl w:ilvl="0" w:tplc="04020001">
      <w:start w:val="1"/>
      <w:numFmt w:val="bullet"/>
      <w:lvlText w:val=""/>
      <w:lvlJc w:val="left"/>
      <w:pPr>
        <w:ind w:left="1353"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6" w15:restartNumberingAfterBreak="0">
    <w:nsid w:val="34B96541"/>
    <w:multiLevelType w:val="hybridMultilevel"/>
    <w:tmpl w:val="76C4C0DA"/>
    <w:lvl w:ilvl="0" w:tplc="E74E3FB0">
      <w:start w:val="1"/>
      <w:numFmt w:val="bullet"/>
      <w:lvlText w:val=""/>
      <w:lvlJc w:val="left"/>
      <w:pPr>
        <w:ind w:left="720" w:hanging="360"/>
      </w:pPr>
      <w:rPr>
        <w:rFonts w:ascii="Symbol" w:hAnsi="Symbol" w:hint="default"/>
        <w:color w:val="auto"/>
        <w:u w:color="595C62"/>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3A8E23F9"/>
    <w:multiLevelType w:val="hybridMultilevel"/>
    <w:tmpl w:val="AB660154"/>
    <w:lvl w:ilvl="0" w:tplc="04020001">
      <w:start w:val="1"/>
      <w:numFmt w:val="bullet"/>
      <w:lvlText w:val=""/>
      <w:lvlJc w:val="left"/>
      <w:pPr>
        <w:ind w:left="1069" w:hanging="360"/>
      </w:pPr>
      <w:rPr>
        <w:rFonts w:ascii="Symbol" w:hAnsi="Symbol" w:hint="default"/>
        <w:color w:val="auto"/>
        <w:u w:color="595C62" w:themeColor="accent6" w:themeShade="BF"/>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38" w15:restartNumberingAfterBreak="0">
    <w:nsid w:val="4057015E"/>
    <w:multiLevelType w:val="hybridMultilevel"/>
    <w:tmpl w:val="35E872E0"/>
    <w:lvl w:ilvl="0" w:tplc="04020001">
      <w:start w:val="1"/>
      <w:numFmt w:val="bullet"/>
      <w:lvlText w:val=""/>
      <w:lvlJc w:val="left"/>
      <w:pPr>
        <w:ind w:left="862" w:hanging="360"/>
      </w:pPr>
      <w:rPr>
        <w:rFonts w:ascii="Symbol" w:hAnsi="Symbol" w:hint="default"/>
      </w:rPr>
    </w:lvl>
    <w:lvl w:ilvl="1" w:tplc="04020003" w:tentative="1">
      <w:start w:val="1"/>
      <w:numFmt w:val="bullet"/>
      <w:lvlText w:val="o"/>
      <w:lvlJc w:val="left"/>
      <w:pPr>
        <w:ind w:left="1582" w:hanging="360"/>
      </w:pPr>
      <w:rPr>
        <w:rFonts w:ascii="Courier New" w:hAnsi="Courier New" w:cs="Courier New" w:hint="default"/>
      </w:rPr>
    </w:lvl>
    <w:lvl w:ilvl="2" w:tplc="04020005" w:tentative="1">
      <w:start w:val="1"/>
      <w:numFmt w:val="bullet"/>
      <w:lvlText w:val=""/>
      <w:lvlJc w:val="left"/>
      <w:pPr>
        <w:ind w:left="2302" w:hanging="360"/>
      </w:pPr>
      <w:rPr>
        <w:rFonts w:ascii="Wingdings" w:hAnsi="Wingdings" w:hint="default"/>
      </w:rPr>
    </w:lvl>
    <w:lvl w:ilvl="3" w:tplc="04020001" w:tentative="1">
      <w:start w:val="1"/>
      <w:numFmt w:val="bullet"/>
      <w:lvlText w:val=""/>
      <w:lvlJc w:val="left"/>
      <w:pPr>
        <w:ind w:left="3022" w:hanging="360"/>
      </w:pPr>
      <w:rPr>
        <w:rFonts w:ascii="Symbol" w:hAnsi="Symbol" w:hint="default"/>
      </w:rPr>
    </w:lvl>
    <w:lvl w:ilvl="4" w:tplc="04020003" w:tentative="1">
      <w:start w:val="1"/>
      <w:numFmt w:val="bullet"/>
      <w:lvlText w:val="o"/>
      <w:lvlJc w:val="left"/>
      <w:pPr>
        <w:ind w:left="3742" w:hanging="360"/>
      </w:pPr>
      <w:rPr>
        <w:rFonts w:ascii="Courier New" w:hAnsi="Courier New" w:cs="Courier New" w:hint="default"/>
      </w:rPr>
    </w:lvl>
    <w:lvl w:ilvl="5" w:tplc="04020005" w:tentative="1">
      <w:start w:val="1"/>
      <w:numFmt w:val="bullet"/>
      <w:lvlText w:val=""/>
      <w:lvlJc w:val="left"/>
      <w:pPr>
        <w:ind w:left="4462" w:hanging="360"/>
      </w:pPr>
      <w:rPr>
        <w:rFonts w:ascii="Wingdings" w:hAnsi="Wingdings" w:hint="default"/>
      </w:rPr>
    </w:lvl>
    <w:lvl w:ilvl="6" w:tplc="04020001" w:tentative="1">
      <w:start w:val="1"/>
      <w:numFmt w:val="bullet"/>
      <w:lvlText w:val=""/>
      <w:lvlJc w:val="left"/>
      <w:pPr>
        <w:ind w:left="5182" w:hanging="360"/>
      </w:pPr>
      <w:rPr>
        <w:rFonts w:ascii="Symbol" w:hAnsi="Symbol" w:hint="default"/>
      </w:rPr>
    </w:lvl>
    <w:lvl w:ilvl="7" w:tplc="04020003" w:tentative="1">
      <w:start w:val="1"/>
      <w:numFmt w:val="bullet"/>
      <w:lvlText w:val="o"/>
      <w:lvlJc w:val="left"/>
      <w:pPr>
        <w:ind w:left="5902" w:hanging="360"/>
      </w:pPr>
      <w:rPr>
        <w:rFonts w:ascii="Courier New" w:hAnsi="Courier New" w:cs="Courier New" w:hint="default"/>
      </w:rPr>
    </w:lvl>
    <w:lvl w:ilvl="8" w:tplc="04020005" w:tentative="1">
      <w:start w:val="1"/>
      <w:numFmt w:val="bullet"/>
      <w:lvlText w:val=""/>
      <w:lvlJc w:val="left"/>
      <w:pPr>
        <w:ind w:left="6622" w:hanging="360"/>
      </w:pPr>
      <w:rPr>
        <w:rFonts w:ascii="Wingdings" w:hAnsi="Wingdings" w:hint="default"/>
      </w:rPr>
    </w:lvl>
  </w:abstractNum>
  <w:abstractNum w:abstractNumId="39" w15:restartNumberingAfterBreak="0">
    <w:nsid w:val="40A0695B"/>
    <w:multiLevelType w:val="hybridMultilevel"/>
    <w:tmpl w:val="4B2AFDBC"/>
    <w:lvl w:ilvl="0" w:tplc="04020001">
      <w:start w:val="1"/>
      <w:numFmt w:val="bullet"/>
      <w:lvlText w:val=""/>
      <w:lvlJc w:val="left"/>
      <w:pPr>
        <w:ind w:left="862" w:hanging="360"/>
      </w:pPr>
      <w:rPr>
        <w:rFonts w:ascii="Symbol" w:hAnsi="Symbol" w:hint="default"/>
      </w:rPr>
    </w:lvl>
    <w:lvl w:ilvl="1" w:tplc="04020003" w:tentative="1">
      <w:start w:val="1"/>
      <w:numFmt w:val="bullet"/>
      <w:lvlText w:val="o"/>
      <w:lvlJc w:val="left"/>
      <w:pPr>
        <w:ind w:left="1582" w:hanging="360"/>
      </w:pPr>
      <w:rPr>
        <w:rFonts w:ascii="Courier New" w:hAnsi="Courier New" w:cs="Courier New" w:hint="default"/>
      </w:rPr>
    </w:lvl>
    <w:lvl w:ilvl="2" w:tplc="04020005" w:tentative="1">
      <w:start w:val="1"/>
      <w:numFmt w:val="bullet"/>
      <w:lvlText w:val=""/>
      <w:lvlJc w:val="left"/>
      <w:pPr>
        <w:ind w:left="2302" w:hanging="360"/>
      </w:pPr>
      <w:rPr>
        <w:rFonts w:ascii="Wingdings" w:hAnsi="Wingdings" w:hint="default"/>
      </w:rPr>
    </w:lvl>
    <w:lvl w:ilvl="3" w:tplc="04020001" w:tentative="1">
      <w:start w:val="1"/>
      <w:numFmt w:val="bullet"/>
      <w:lvlText w:val=""/>
      <w:lvlJc w:val="left"/>
      <w:pPr>
        <w:ind w:left="3022" w:hanging="360"/>
      </w:pPr>
      <w:rPr>
        <w:rFonts w:ascii="Symbol" w:hAnsi="Symbol" w:hint="default"/>
      </w:rPr>
    </w:lvl>
    <w:lvl w:ilvl="4" w:tplc="04020003" w:tentative="1">
      <w:start w:val="1"/>
      <w:numFmt w:val="bullet"/>
      <w:lvlText w:val="o"/>
      <w:lvlJc w:val="left"/>
      <w:pPr>
        <w:ind w:left="3742" w:hanging="360"/>
      </w:pPr>
      <w:rPr>
        <w:rFonts w:ascii="Courier New" w:hAnsi="Courier New" w:cs="Courier New" w:hint="default"/>
      </w:rPr>
    </w:lvl>
    <w:lvl w:ilvl="5" w:tplc="04020005" w:tentative="1">
      <w:start w:val="1"/>
      <w:numFmt w:val="bullet"/>
      <w:lvlText w:val=""/>
      <w:lvlJc w:val="left"/>
      <w:pPr>
        <w:ind w:left="4462" w:hanging="360"/>
      </w:pPr>
      <w:rPr>
        <w:rFonts w:ascii="Wingdings" w:hAnsi="Wingdings" w:hint="default"/>
      </w:rPr>
    </w:lvl>
    <w:lvl w:ilvl="6" w:tplc="04020001" w:tentative="1">
      <w:start w:val="1"/>
      <w:numFmt w:val="bullet"/>
      <w:lvlText w:val=""/>
      <w:lvlJc w:val="left"/>
      <w:pPr>
        <w:ind w:left="5182" w:hanging="360"/>
      </w:pPr>
      <w:rPr>
        <w:rFonts w:ascii="Symbol" w:hAnsi="Symbol" w:hint="default"/>
      </w:rPr>
    </w:lvl>
    <w:lvl w:ilvl="7" w:tplc="04020003" w:tentative="1">
      <w:start w:val="1"/>
      <w:numFmt w:val="bullet"/>
      <w:lvlText w:val="o"/>
      <w:lvlJc w:val="left"/>
      <w:pPr>
        <w:ind w:left="5902" w:hanging="360"/>
      </w:pPr>
      <w:rPr>
        <w:rFonts w:ascii="Courier New" w:hAnsi="Courier New" w:cs="Courier New" w:hint="default"/>
      </w:rPr>
    </w:lvl>
    <w:lvl w:ilvl="8" w:tplc="04020005" w:tentative="1">
      <w:start w:val="1"/>
      <w:numFmt w:val="bullet"/>
      <w:lvlText w:val=""/>
      <w:lvlJc w:val="left"/>
      <w:pPr>
        <w:ind w:left="6622" w:hanging="360"/>
      </w:pPr>
      <w:rPr>
        <w:rFonts w:ascii="Wingdings" w:hAnsi="Wingdings" w:hint="default"/>
      </w:rPr>
    </w:lvl>
  </w:abstractNum>
  <w:abstractNum w:abstractNumId="40" w15:restartNumberingAfterBreak="0">
    <w:nsid w:val="40C4578F"/>
    <w:multiLevelType w:val="hybridMultilevel"/>
    <w:tmpl w:val="B01466EE"/>
    <w:lvl w:ilvl="0" w:tplc="04020001">
      <w:start w:val="1"/>
      <w:numFmt w:val="bullet"/>
      <w:lvlText w:val=""/>
      <w:lvlJc w:val="left"/>
      <w:pPr>
        <w:ind w:left="1258" w:hanging="360"/>
      </w:pPr>
      <w:rPr>
        <w:rFonts w:ascii="Symbol" w:hAnsi="Symbol" w:hint="default"/>
      </w:rPr>
    </w:lvl>
    <w:lvl w:ilvl="1" w:tplc="04020003" w:tentative="1">
      <w:start w:val="1"/>
      <w:numFmt w:val="bullet"/>
      <w:lvlText w:val="o"/>
      <w:lvlJc w:val="left"/>
      <w:pPr>
        <w:ind w:left="1978" w:hanging="360"/>
      </w:pPr>
      <w:rPr>
        <w:rFonts w:ascii="Courier New" w:hAnsi="Courier New" w:cs="Courier New" w:hint="default"/>
      </w:rPr>
    </w:lvl>
    <w:lvl w:ilvl="2" w:tplc="04020005" w:tentative="1">
      <w:start w:val="1"/>
      <w:numFmt w:val="bullet"/>
      <w:lvlText w:val=""/>
      <w:lvlJc w:val="left"/>
      <w:pPr>
        <w:ind w:left="2698" w:hanging="360"/>
      </w:pPr>
      <w:rPr>
        <w:rFonts w:ascii="Wingdings" w:hAnsi="Wingdings" w:hint="default"/>
      </w:rPr>
    </w:lvl>
    <w:lvl w:ilvl="3" w:tplc="04020001" w:tentative="1">
      <w:start w:val="1"/>
      <w:numFmt w:val="bullet"/>
      <w:lvlText w:val=""/>
      <w:lvlJc w:val="left"/>
      <w:pPr>
        <w:ind w:left="3418" w:hanging="360"/>
      </w:pPr>
      <w:rPr>
        <w:rFonts w:ascii="Symbol" w:hAnsi="Symbol" w:hint="default"/>
      </w:rPr>
    </w:lvl>
    <w:lvl w:ilvl="4" w:tplc="04020003" w:tentative="1">
      <w:start w:val="1"/>
      <w:numFmt w:val="bullet"/>
      <w:lvlText w:val="o"/>
      <w:lvlJc w:val="left"/>
      <w:pPr>
        <w:ind w:left="4138" w:hanging="360"/>
      </w:pPr>
      <w:rPr>
        <w:rFonts w:ascii="Courier New" w:hAnsi="Courier New" w:cs="Courier New" w:hint="default"/>
      </w:rPr>
    </w:lvl>
    <w:lvl w:ilvl="5" w:tplc="04020005" w:tentative="1">
      <w:start w:val="1"/>
      <w:numFmt w:val="bullet"/>
      <w:lvlText w:val=""/>
      <w:lvlJc w:val="left"/>
      <w:pPr>
        <w:ind w:left="4858" w:hanging="360"/>
      </w:pPr>
      <w:rPr>
        <w:rFonts w:ascii="Wingdings" w:hAnsi="Wingdings" w:hint="default"/>
      </w:rPr>
    </w:lvl>
    <w:lvl w:ilvl="6" w:tplc="04020001" w:tentative="1">
      <w:start w:val="1"/>
      <w:numFmt w:val="bullet"/>
      <w:lvlText w:val=""/>
      <w:lvlJc w:val="left"/>
      <w:pPr>
        <w:ind w:left="5578" w:hanging="360"/>
      </w:pPr>
      <w:rPr>
        <w:rFonts w:ascii="Symbol" w:hAnsi="Symbol" w:hint="default"/>
      </w:rPr>
    </w:lvl>
    <w:lvl w:ilvl="7" w:tplc="04020003" w:tentative="1">
      <w:start w:val="1"/>
      <w:numFmt w:val="bullet"/>
      <w:lvlText w:val="o"/>
      <w:lvlJc w:val="left"/>
      <w:pPr>
        <w:ind w:left="6298" w:hanging="360"/>
      </w:pPr>
      <w:rPr>
        <w:rFonts w:ascii="Courier New" w:hAnsi="Courier New" w:cs="Courier New" w:hint="default"/>
      </w:rPr>
    </w:lvl>
    <w:lvl w:ilvl="8" w:tplc="04020005" w:tentative="1">
      <w:start w:val="1"/>
      <w:numFmt w:val="bullet"/>
      <w:lvlText w:val=""/>
      <w:lvlJc w:val="left"/>
      <w:pPr>
        <w:ind w:left="7018" w:hanging="360"/>
      </w:pPr>
      <w:rPr>
        <w:rFonts w:ascii="Wingdings" w:hAnsi="Wingdings" w:hint="default"/>
      </w:rPr>
    </w:lvl>
  </w:abstractNum>
  <w:abstractNum w:abstractNumId="41" w15:restartNumberingAfterBreak="0">
    <w:nsid w:val="42074CB5"/>
    <w:multiLevelType w:val="hybridMultilevel"/>
    <w:tmpl w:val="DFF2F0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43F4288B"/>
    <w:multiLevelType w:val="hybridMultilevel"/>
    <w:tmpl w:val="24C4ED4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3" w15:restartNumberingAfterBreak="0">
    <w:nsid w:val="44047E62"/>
    <w:multiLevelType w:val="hybridMultilevel"/>
    <w:tmpl w:val="ADF89152"/>
    <w:lvl w:ilvl="0" w:tplc="04020001">
      <w:start w:val="1"/>
      <w:numFmt w:val="bullet"/>
      <w:lvlText w:val=""/>
      <w:lvlJc w:val="left"/>
      <w:pPr>
        <w:ind w:left="1287" w:hanging="360"/>
      </w:pPr>
      <w:rPr>
        <w:rFonts w:ascii="Symbol" w:hAnsi="Symbol" w:hint="default"/>
      </w:rPr>
    </w:lvl>
    <w:lvl w:ilvl="1" w:tplc="04020003">
      <w:start w:val="1"/>
      <w:numFmt w:val="bullet"/>
      <w:lvlText w:val="o"/>
      <w:lvlJc w:val="left"/>
      <w:pPr>
        <w:ind w:left="2007" w:hanging="360"/>
      </w:pPr>
      <w:rPr>
        <w:rFonts w:ascii="Courier New" w:hAnsi="Courier New" w:cs="Courier New" w:hint="default"/>
      </w:rPr>
    </w:lvl>
    <w:lvl w:ilvl="2" w:tplc="04020005">
      <w:start w:val="1"/>
      <w:numFmt w:val="bullet"/>
      <w:lvlText w:val=""/>
      <w:lvlJc w:val="left"/>
      <w:pPr>
        <w:ind w:left="2727" w:hanging="360"/>
      </w:pPr>
      <w:rPr>
        <w:rFonts w:ascii="Wingdings" w:hAnsi="Wingdings" w:hint="default"/>
      </w:rPr>
    </w:lvl>
    <w:lvl w:ilvl="3" w:tplc="04020001">
      <w:start w:val="1"/>
      <w:numFmt w:val="bullet"/>
      <w:lvlText w:val=""/>
      <w:lvlJc w:val="left"/>
      <w:pPr>
        <w:ind w:left="3447" w:hanging="360"/>
      </w:pPr>
      <w:rPr>
        <w:rFonts w:ascii="Symbol" w:hAnsi="Symbol" w:hint="default"/>
      </w:rPr>
    </w:lvl>
    <w:lvl w:ilvl="4" w:tplc="04020003">
      <w:start w:val="1"/>
      <w:numFmt w:val="bullet"/>
      <w:lvlText w:val="o"/>
      <w:lvlJc w:val="left"/>
      <w:pPr>
        <w:ind w:left="4167" w:hanging="360"/>
      </w:pPr>
      <w:rPr>
        <w:rFonts w:ascii="Courier New" w:hAnsi="Courier New" w:cs="Courier New" w:hint="default"/>
      </w:rPr>
    </w:lvl>
    <w:lvl w:ilvl="5" w:tplc="04020005">
      <w:start w:val="1"/>
      <w:numFmt w:val="bullet"/>
      <w:lvlText w:val=""/>
      <w:lvlJc w:val="left"/>
      <w:pPr>
        <w:ind w:left="4887" w:hanging="360"/>
      </w:pPr>
      <w:rPr>
        <w:rFonts w:ascii="Wingdings" w:hAnsi="Wingdings" w:hint="default"/>
      </w:rPr>
    </w:lvl>
    <w:lvl w:ilvl="6" w:tplc="04020001">
      <w:start w:val="1"/>
      <w:numFmt w:val="bullet"/>
      <w:lvlText w:val=""/>
      <w:lvlJc w:val="left"/>
      <w:pPr>
        <w:ind w:left="5607" w:hanging="360"/>
      </w:pPr>
      <w:rPr>
        <w:rFonts w:ascii="Symbol" w:hAnsi="Symbol" w:hint="default"/>
      </w:rPr>
    </w:lvl>
    <w:lvl w:ilvl="7" w:tplc="04020003">
      <w:start w:val="1"/>
      <w:numFmt w:val="bullet"/>
      <w:lvlText w:val="o"/>
      <w:lvlJc w:val="left"/>
      <w:pPr>
        <w:ind w:left="6327" w:hanging="360"/>
      </w:pPr>
      <w:rPr>
        <w:rFonts w:ascii="Courier New" w:hAnsi="Courier New" w:cs="Courier New" w:hint="default"/>
      </w:rPr>
    </w:lvl>
    <w:lvl w:ilvl="8" w:tplc="04020005">
      <w:start w:val="1"/>
      <w:numFmt w:val="bullet"/>
      <w:lvlText w:val=""/>
      <w:lvlJc w:val="left"/>
      <w:pPr>
        <w:ind w:left="7047" w:hanging="360"/>
      </w:pPr>
      <w:rPr>
        <w:rFonts w:ascii="Wingdings" w:hAnsi="Wingdings" w:hint="default"/>
      </w:rPr>
    </w:lvl>
  </w:abstractNum>
  <w:abstractNum w:abstractNumId="44" w15:restartNumberingAfterBreak="0">
    <w:nsid w:val="441D60D0"/>
    <w:multiLevelType w:val="hybridMultilevel"/>
    <w:tmpl w:val="C0D0A2A4"/>
    <w:lvl w:ilvl="0" w:tplc="04020001">
      <w:start w:val="1"/>
      <w:numFmt w:val="bullet"/>
      <w:lvlText w:val=""/>
      <w:lvlJc w:val="left"/>
      <w:pPr>
        <w:ind w:left="2880" w:hanging="360"/>
      </w:pPr>
      <w:rPr>
        <w:rFonts w:ascii="Symbol" w:hAnsi="Symbol" w:hint="default"/>
      </w:rPr>
    </w:lvl>
    <w:lvl w:ilvl="1" w:tplc="04020003" w:tentative="1">
      <w:start w:val="1"/>
      <w:numFmt w:val="bullet"/>
      <w:lvlText w:val="o"/>
      <w:lvlJc w:val="left"/>
      <w:pPr>
        <w:ind w:left="3600" w:hanging="360"/>
      </w:pPr>
      <w:rPr>
        <w:rFonts w:ascii="Courier New" w:hAnsi="Courier New" w:cs="Courier New" w:hint="default"/>
      </w:rPr>
    </w:lvl>
    <w:lvl w:ilvl="2" w:tplc="04020005" w:tentative="1">
      <w:start w:val="1"/>
      <w:numFmt w:val="bullet"/>
      <w:lvlText w:val=""/>
      <w:lvlJc w:val="left"/>
      <w:pPr>
        <w:ind w:left="4320" w:hanging="360"/>
      </w:pPr>
      <w:rPr>
        <w:rFonts w:ascii="Wingdings" w:hAnsi="Wingdings" w:hint="default"/>
      </w:rPr>
    </w:lvl>
    <w:lvl w:ilvl="3" w:tplc="04020001" w:tentative="1">
      <w:start w:val="1"/>
      <w:numFmt w:val="bullet"/>
      <w:lvlText w:val=""/>
      <w:lvlJc w:val="left"/>
      <w:pPr>
        <w:ind w:left="5040" w:hanging="360"/>
      </w:pPr>
      <w:rPr>
        <w:rFonts w:ascii="Symbol" w:hAnsi="Symbol" w:hint="default"/>
      </w:rPr>
    </w:lvl>
    <w:lvl w:ilvl="4" w:tplc="04020003" w:tentative="1">
      <w:start w:val="1"/>
      <w:numFmt w:val="bullet"/>
      <w:lvlText w:val="o"/>
      <w:lvlJc w:val="left"/>
      <w:pPr>
        <w:ind w:left="5760" w:hanging="360"/>
      </w:pPr>
      <w:rPr>
        <w:rFonts w:ascii="Courier New" w:hAnsi="Courier New" w:cs="Courier New" w:hint="default"/>
      </w:rPr>
    </w:lvl>
    <w:lvl w:ilvl="5" w:tplc="04020005" w:tentative="1">
      <w:start w:val="1"/>
      <w:numFmt w:val="bullet"/>
      <w:lvlText w:val=""/>
      <w:lvlJc w:val="left"/>
      <w:pPr>
        <w:ind w:left="6480" w:hanging="360"/>
      </w:pPr>
      <w:rPr>
        <w:rFonts w:ascii="Wingdings" w:hAnsi="Wingdings" w:hint="default"/>
      </w:rPr>
    </w:lvl>
    <w:lvl w:ilvl="6" w:tplc="04020001" w:tentative="1">
      <w:start w:val="1"/>
      <w:numFmt w:val="bullet"/>
      <w:lvlText w:val=""/>
      <w:lvlJc w:val="left"/>
      <w:pPr>
        <w:ind w:left="7200" w:hanging="360"/>
      </w:pPr>
      <w:rPr>
        <w:rFonts w:ascii="Symbol" w:hAnsi="Symbol" w:hint="default"/>
      </w:rPr>
    </w:lvl>
    <w:lvl w:ilvl="7" w:tplc="04020003" w:tentative="1">
      <w:start w:val="1"/>
      <w:numFmt w:val="bullet"/>
      <w:lvlText w:val="o"/>
      <w:lvlJc w:val="left"/>
      <w:pPr>
        <w:ind w:left="7920" w:hanging="360"/>
      </w:pPr>
      <w:rPr>
        <w:rFonts w:ascii="Courier New" w:hAnsi="Courier New" w:cs="Courier New" w:hint="default"/>
      </w:rPr>
    </w:lvl>
    <w:lvl w:ilvl="8" w:tplc="04020005" w:tentative="1">
      <w:start w:val="1"/>
      <w:numFmt w:val="bullet"/>
      <w:lvlText w:val=""/>
      <w:lvlJc w:val="left"/>
      <w:pPr>
        <w:ind w:left="8640" w:hanging="360"/>
      </w:pPr>
      <w:rPr>
        <w:rFonts w:ascii="Wingdings" w:hAnsi="Wingdings" w:hint="default"/>
      </w:rPr>
    </w:lvl>
  </w:abstractNum>
  <w:abstractNum w:abstractNumId="45" w15:restartNumberingAfterBreak="0">
    <w:nsid w:val="44716637"/>
    <w:multiLevelType w:val="hybridMultilevel"/>
    <w:tmpl w:val="17F43F3E"/>
    <w:lvl w:ilvl="0" w:tplc="0C46149C">
      <w:start w:val="1"/>
      <w:numFmt w:val="bullet"/>
      <w:lvlText w:val="-"/>
      <w:lvlJc w:val="left"/>
      <w:pPr>
        <w:ind w:left="720" w:hanging="360"/>
      </w:pPr>
      <w:rPr>
        <w:rFonts w:ascii="Times New Roman" w:eastAsiaTheme="majorEastAsia" w:hAnsi="Times New Roman" w:cs="Times New Roman"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47386510"/>
    <w:multiLevelType w:val="hybridMultilevel"/>
    <w:tmpl w:val="CFC8C66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491D2198"/>
    <w:multiLevelType w:val="hybridMultilevel"/>
    <w:tmpl w:val="D6F86FDA"/>
    <w:lvl w:ilvl="0" w:tplc="04020001">
      <w:start w:val="1"/>
      <w:numFmt w:val="bullet"/>
      <w:lvlText w:val=""/>
      <w:lvlJc w:val="left"/>
      <w:pPr>
        <w:ind w:left="1069" w:hanging="360"/>
      </w:pPr>
      <w:rPr>
        <w:rFonts w:ascii="Symbol" w:hAnsi="Symbol"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48" w15:restartNumberingAfterBreak="0">
    <w:nsid w:val="4BDA1D1A"/>
    <w:multiLevelType w:val="hybridMultilevel"/>
    <w:tmpl w:val="53229D14"/>
    <w:name w:val="WW8Num12332"/>
    <w:lvl w:ilvl="0" w:tplc="8F0E7B18">
      <w:start w:val="1"/>
      <w:numFmt w:val="decimal"/>
      <w:lvlText w:val="%1."/>
      <w:lvlJc w:val="left"/>
      <w:pPr>
        <w:tabs>
          <w:tab w:val="num" w:pos="2340"/>
        </w:tabs>
        <w:ind w:left="234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4C465905"/>
    <w:multiLevelType w:val="hybridMultilevel"/>
    <w:tmpl w:val="0374FA1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2C1794B"/>
    <w:multiLevelType w:val="hybridMultilevel"/>
    <w:tmpl w:val="EDA8F670"/>
    <w:lvl w:ilvl="0" w:tplc="0402000D">
      <w:start w:val="1"/>
      <w:numFmt w:val="bullet"/>
      <w:lvlText w:val=""/>
      <w:lvlJc w:val="left"/>
      <w:pPr>
        <w:ind w:left="1069" w:hanging="360"/>
      </w:pPr>
      <w:rPr>
        <w:rFonts w:ascii="Wingdings" w:hAnsi="Wingdings"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51" w15:restartNumberingAfterBreak="0">
    <w:nsid w:val="574A67BD"/>
    <w:multiLevelType w:val="multilevel"/>
    <w:tmpl w:val="6D4EEA4A"/>
    <w:lvl w:ilvl="0">
      <w:start w:val="1"/>
      <w:numFmt w:val="decimal"/>
      <w:lvlText w:val="%1."/>
      <w:lvlJc w:val="left"/>
      <w:pPr>
        <w:ind w:left="420" w:hanging="420"/>
      </w:pPr>
      <w:rPr>
        <w:rFonts w:hint="default"/>
      </w:rPr>
    </w:lvl>
    <w:lvl w:ilvl="1">
      <w:start w:val="5"/>
      <w:numFmt w:val="decimal"/>
      <w:lvlText w:val="%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pStyle w:val="Heading9"/>
      <w:lvlText w:val="%1.%2.%3.%4.%5.%6.%7.%8.%9."/>
      <w:lvlJc w:val="left"/>
      <w:pPr>
        <w:ind w:left="1800" w:hanging="1800"/>
      </w:pPr>
      <w:rPr>
        <w:rFonts w:hint="default"/>
      </w:rPr>
    </w:lvl>
  </w:abstractNum>
  <w:abstractNum w:abstractNumId="52" w15:restartNumberingAfterBreak="0">
    <w:nsid w:val="57E12254"/>
    <w:multiLevelType w:val="hybridMultilevel"/>
    <w:tmpl w:val="6D28270E"/>
    <w:lvl w:ilvl="0" w:tplc="0402000B">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3" w15:restartNumberingAfterBreak="0">
    <w:nsid w:val="5A77579D"/>
    <w:multiLevelType w:val="hybridMultilevel"/>
    <w:tmpl w:val="EC7862E2"/>
    <w:lvl w:ilvl="0" w:tplc="04020001">
      <w:start w:val="1"/>
      <w:numFmt w:val="bullet"/>
      <w:lvlText w:val=""/>
      <w:lvlJc w:val="left"/>
      <w:pPr>
        <w:ind w:left="781" w:hanging="360"/>
      </w:pPr>
      <w:rPr>
        <w:rFonts w:ascii="Symbol" w:hAnsi="Symbol" w:hint="default"/>
      </w:rPr>
    </w:lvl>
    <w:lvl w:ilvl="1" w:tplc="6F8CA8BA">
      <w:start w:val="2"/>
      <w:numFmt w:val="bullet"/>
      <w:lvlText w:val="-"/>
      <w:lvlJc w:val="left"/>
      <w:pPr>
        <w:ind w:left="1501" w:hanging="360"/>
      </w:pPr>
      <w:rPr>
        <w:rFonts w:ascii="Times New Roman" w:eastAsia="Batang" w:hAnsi="Times New Roman" w:cs="Times New Roman" w:hint="default"/>
      </w:rPr>
    </w:lvl>
    <w:lvl w:ilvl="2" w:tplc="04020005">
      <w:start w:val="1"/>
      <w:numFmt w:val="bullet"/>
      <w:lvlText w:val=""/>
      <w:lvlJc w:val="left"/>
      <w:pPr>
        <w:ind w:left="2221" w:hanging="360"/>
      </w:pPr>
      <w:rPr>
        <w:rFonts w:ascii="Wingdings" w:hAnsi="Wingdings" w:hint="default"/>
      </w:rPr>
    </w:lvl>
    <w:lvl w:ilvl="3" w:tplc="04020001" w:tentative="1">
      <w:start w:val="1"/>
      <w:numFmt w:val="bullet"/>
      <w:lvlText w:val=""/>
      <w:lvlJc w:val="left"/>
      <w:pPr>
        <w:ind w:left="2941" w:hanging="360"/>
      </w:pPr>
      <w:rPr>
        <w:rFonts w:ascii="Symbol" w:hAnsi="Symbol" w:hint="default"/>
      </w:rPr>
    </w:lvl>
    <w:lvl w:ilvl="4" w:tplc="04020003" w:tentative="1">
      <w:start w:val="1"/>
      <w:numFmt w:val="bullet"/>
      <w:lvlText w:val="o"/>
      <w:lvlJc w:val="left"/>
      <w:pPr>
        <w:ind w:left="3661" w:hanging="360"/>
      </w:pPr>
      <w:rPr>
        <w:rFonts w:ascii="Courier New" w:hAnsi="Courier New" w:cs="Courier New" w:hint="default"/>
      </w:rPr>
    </w:lvl>
    <w:lvl w:ilvl="5" w:tplc="04020005" w:tentative="1">
      <w:start w:val="1"/>
      <w:numFmt w:val="bullet"/>
      <w:lvlText w:val=""/>
      <w:lvlJc w:val="left"/>
      <w:pPr>
        <w:ind w:left="4381" w:hanging="360"/>
      </w:pPr>
      <w:rPr>
        <w:rFonts w:ascii="Wingdings" w:hAnsi="Wingdings" w:hint="default"/>
      </w:rPr>
    </w:lvl>
    <w:lvl w:ilvl="6" w:tplc="04020001" w:tentative="1">
      <w:start w:val="1"/>
      <w:numFmt w:val="bullet"/>
      <w:lvlText w:val=""/>
      <w:lvlJc w:val="left"/>
      <w:pPr>
        <w:ind w:left="5101" w:hanging="360"/>
      </w:pPr>
      <w:rPr>
        <w:rFonts w:ascii="Symbol" w:hAnsi="Symbol" w:hint="default"/>
      </w:rPr>
    </w:lvl>
    <w:lvl w:ilvl="7" w:tplc="04020003" w:tentative="1">
      <w:start w:val="1"/>
      <w:numFmt w:val="bullet"/>
      <w:lvlText w:val="o"/>
      <w:lvlJc w:val="left"/>
      <w:pPr>
        <w:ind w:left="5821" w:hanging="360"/>
      </w:pPr>
      <w:rPr>
        <w:rFonts w:ascii="Courier New" w:hAnsi="Courier New" w:cs="Courier New" w:hint="default"/>
      </w:rPr>
    </w:lvl>
    <w:lvl w:ilvl="8" w:tplc="04020005" w:tentative="1">
      <w:start w:val="1"/>
      <w:numFmt w:val="bullet"/>
      <w:lvlText w:val=""/>
      <w:lvlJc w:val="left"/>
      <w:pPr>
        <w:ind w:left="6541" w:hanging="360"/>
      </w:pPr>
      <w:rPr>
        <w:rFonts w:ascii="Wingdings" w:hAnsi="Wingdings" w:hint="default"/>
      </w:rPr>
    </w:lvl>
  </w:abstractNum>
  <w:abstractNum w:abstractNumId="54" w15:restartNumberingAfterBreak="0">
    <w:nsid w:val="5A7D27B1"/>
    <w:multiLevelType w:val="hybridMultilevel"/>
    <w:tmpl w:val="DC5A128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5" w15:restartNumberingAfterBreak="0">
    <w:nsid w:val="5E4C4475"/>
    <w:multiLevelType w:val="hybridMultilevel"/>
    <w:tmpl w:val="1CB01248"/>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5EA059B3"/>
    <w:multiLevelType w:val="hybridMultilevel"/>
    <w:tmpl w:val="F6828E84"/>
    <w:lvl w:ilvl="0" w:tplc="04020001">
      <w:start w:val="1"/>
      <w:numFmt w:val="bullet"/>
      <w:lvlText w:val=""/>
      <w:lvlJc w:val="left"/>
      <w:pPr>
        <w:ind w:left="781" w:hanging="360"/>
      </w:pPr>
      <w:rPr>
        <w:rFonts w:ascii="Symbol" w:hAnsi="Symbol" w:hint="default"/>
      </w:rPr>
    </w:lvl>
    <w:lvl w:ilvl="1" w:tplc="6F8CA8BA">
      <w:start w:val="2"/>
      <w:numFmt w:val="bullet"/>
      <w:lvlText w:val="-"/>
      <w:lvlJc w:val="left"/>
      <w:pPr>
        <w:ind w:left="1501" w:hanging="360"/>
      </w:pPr>
      <w:rPr>
        <w:rFonts w:ascii="Times New Roman" w:eastAsia="Batang" w:hAnsi="Times New Roman" w:cs="Times New Roman" w:hint="default"/>
      </w:rPr>
    </w:lvl>
    <w:lvl w:ilvl="2" w:tplc="04020005">
      <w:start w:val="1"/>
      <w:numFmt w:val="bullet"/>
      <w:lvlText w:val=""/>
      <w:lvlJc w:val="left"/>
      <w:pPr>
        <w:ind w:left="2221" w:hanging="360"/>
      </w:pPr>
      <w:rPr>
        <w:rFonts w:ascii="Wingdings" w:hAnsi="Wingdings" w:hint="default"/>
      </w:rPr>
    </w:lvl>
    <w:lvl w:ilvl="3" w:tplc="04020001" w:tentative="1">
      <w:start w:val="1"/>
      <w:numFmt w:val="bullet"/>
      <w:lvlText w:val=""/>
      <w:lvlJc w:val="left"/>
      <w:pPr>
        <w:ind w:left="2941" w:hanging="360"/>
      </w:pPr>
      <w:rPr>
        <w:rFonts w:ascii="Symbol" w:hAnsi="Symbol" w:hint="default"/>
      </w:rPr>
    </w:lvl>
    <w:lvl w:ilvl="4" w:tplc="04020003" w:tentative="1">
      <w:start w:val="1"/>
      <w:numFmt w:val="bullet"/>
      <w:lvlText w:val="o"/>
      <w:lvlJc w:val="left"/>
      <w:pPr>
        <w:ind w:left="3661" w:hanging="360"/>
      </w:pPr>
      <w:rPr>
        <w:rFonts w:ascii="Courier New" w:hAnsi="Courier New" w:cs="Courier New" w:hint="default"/>
      </w:rPr>
    </w:lvl>
    <w:lvl w:ilvl="5" w:tplc="04020005" w:tentative="1">
      <w:start w:val="1"/>
      <w:numFmt w:val="bullet"/>
      <w:lvlText w:val=""/>
      <w:lvlJc w:val="left"/>
      <w:pPr>
        <w:ind w:left="4381" w:hanging="360"/>
      </w:pPr>
      <w:rPr>
        <w:rFonts w:ascii="Wingdings" w:hAnsi="Wingdings" w:hint="default"/>
      </w:rPr>
    </w:lvl>
    <w:lvl w:ilvl="6" w:tplc="04020001" w:tentative="1">
      <w:start w:val="1"/>
      <w:numFmt w:val="bullet"/>
      <w:lvlText w:val=""/>
      <w:lvlJc w:val="left"/>
      <w:pPr>
        <w:ind w:left="5101" w:hanging="360"/>
      </w:pPr>
      <w:rPr>
        <w:rFonts w:ascii="Symbol" w:hAnsi="Symbol" w:hint="default"/>
      </w:rPr>
    </w:lvl>
    <w:lvl w:ilvl="7" w:tplc="04020003" w:tentative="1">
      <w:start w:val="1"/>
      <w:numFmt w:val="bullet"/>
      <w:lvlText w:val="o"/>
      <w:lvlJc w:val="left"/>
      <w:pPr>
        <w:ind w:left="5821" w:hanging="360"/>
      </w:pPr>
      <w:rPr>
        <w:rFonts w:ascii="Courier New" w:hAnsi="Courier New" w:cs="Courier New" w:hint="default"/>
      </w:rPr>
    </w:lvl>
    <w:lvl w:ilvl="8" w:tplc="04020005" w:tentative="1">
      <w:start w:val="1"/>
      <w:numFmt w:val="bullet"/>
      <w:lvlText w:val=""/>
      <w:lvlJc w:val="left"/>
      <w:pPr>
        <w:ind w:left="6541" w:hanging="360"/>
      </w:pPr>
      <w:rPr>
        <w:rFonts w:ascii="Wingdings" w:hAnsi="Wingdings" w:hint="default"/>
      </w:rPr>
    </w:lvl>
  </w:abstractNum>
  <w:abstractNum w:abstractNumId="57" w15:restartNumberingAfterBreak="0">
    <w:nsid w:val="5FEE0965"/>
    <w:multiLevelType w:val="hybridMultilevel"/>
    <w:tmpl w:val="21C02E2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603A5EE3"/>
    <w:multiLevelType w:val="hybridMultilevel"/>
    <w:tmpl w:val="DB284BD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4CB079A"/>
    <w:multiLevelType w:val="hybridMultilevel"/>
    <w:tmpl w:val="3708C06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4FE4248"/>
    <w:multiLevelType w:val="hybridMultilevel"/>
    <w:tmpl w:val="0F70987C"/>
    <w:lvl w:ilvl="0" w:tplc="0409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1" w15:restartNumberingAfterBreak="0">
    <w:nsid w:val="65135641"/>
    <w:multiLevelType w:val="hybridMultilevel"/>
    <w:tmpl w:val="A5E26440"/>
    <w:lvl w:ilvl="0" w:tplc="04020001">
      <w:start w:val="1"/>
      <w:numFmt w:val="bullet"/>
      <w:lvlText w:val=""/>
      <w:lvlJc w:val="left"/>
      <w:pPr>
        <w:ind w:left="862" w:hanging="360"/>
      </w:pPr>
      <w:rPr>
        <w:rFonts w:ascii="Symbol" w:hAnsi="Symbol" w:hint="default"/>
      </w:rPr>
    </w:lvl>
    <w:lvl w:ilvl="1" w:tplc="04020003" w:tentative="1">
      <w:start w:val="1"/>
      <w:numFmt w:val="bullet"/>
      <w:lvlText w:val="o"/>
      <w:lvlJc w:val="left"/>
      <w:pPr>
        <w:ind w:left="1582" w:hanging="360"/>
      </w:pPr>
      <w:rPr>
        <w:rFonts w:ascii="Courier New" w:hAnsi="Courier New" w:cs="Courier New" w:hint="default"/>
      </w:rPr>
    </w:lvl>
    <w:lvl w:ilvl="2" w:tplc="04020005" w:tentative="1">
      <w:start w:val="1"/>
      <w:numFmt w:val="bullet"/>
      <w:lvlText w:val=""/>
      <w:lvlJc w:val="left"/>
      <w:pPr>
        <w:ind w:left="2302" w:hanging="360"/>
      </w:pPr>
      <w:rPr>
        <w:rFonts w:ascii="Wingdings" w:hAnsi="Wingdings" w:hint="default"/>
      </w:rPr>
    </w:lvl>
    <w:lvl w:ilvl="3" w:tplc="04020001" w:tentative="1">
      <w:start w:val="1"/>
      <w:numFmt w:val="bullet"/>
      <w:lvlText w:val=""/>
      <w:lvlJc w:val="left"/>
      <w:pPr>
        <w:ind w:left="3022" w:hanging="360"/>
      </w:pPr>
      <w:rPr>
        <w:rFonts w:ascii="Symbol" w:hAnsi="Symbol" w:hint="default"/>
      </w:rPr>
    </w:lvl>
    <w:lvl w:ilvl="4" w:tplc="04020003" w:tentative="1">
      <w:start w:val="1"/>
      <w:numFmt w:val="bullet"/>
      <w:lvlText w:val="o"/>
      <w:lvlJc w:val="left"/>
      <w:pPr>
        <w:ind w:left="3742" w:hanging="360"/>
      </w:pPr>
      <w:rPr>
        <w:rFonts w:ascii="Courier New" w:hAnsi="Courier New" w:cs="Courier New" w:hint="default"/>
      </w:rPr>
    </w:lvl>
    <w:lvl w:ilvl="5" w:tplc="04020005" w:tentative="1">
      <w:start w:val="1"/>
      <w:numFmt w:val="bullet"/>
      <w:lvlText w:val=""/>
      <w:lvlJc w:val="left"/>
      <w:pPr>
        <w:ind w:left="4462" w:hanging="360"/>
      </w:pPr>
      <w:rPr>
        <w:rFonts w:ascii="Wingdings" w:hAnsi="Wingdings" w:hint="default"/>
      </w:rPr>
    </w:lvl>
    <w:lvl w:ilvl="6" w:tplc="04020001" w:tentative="1">
      <w:start w:val="1"/>
      <w:numFmt w:val="bullet"/>
      <w:lvlText w:val=""/>
      <w:lvlJc w:val="left"/>
      <w:pPr>
        <w:ind w:left="5182" w:hanging="360"/>
      </w:pPr>
      <w:rPr>
        <w:rFonts w:ascii="Symbol" w:hAnsi="Symbol" w:hint="default"/>
      </w:rPr>
    </w:lvl>
    <w:lvl w:ilvl="7" w:tplc="04020003" w:tentative="1">
      <w:start w:val="1"/>
      <w:numFmt w:val="bullet"/>
      <w:lvlText w:val="o"/>
      <w:lvlJc w:val="left"/>
      <w:pPr>
        <w:ind w:left="5902" w:hanging="360"/>
      </w:pPr>
      <w:rPr>
        <w:rFonts w:ascii="Courier New" w:hAnsi="Courier New" w:cs="Courier New" w:hint="default"/>
      </w:rPr>
    </w:lvl>
    <w:lvl w:ilvl="8" w:tplc="04020005" w:tentative="1">
      <w:start w:val="1"/>
      <w:numFmt w:val="bullet"/>
      <w:lvlText w:val=""/>
      <w:lvlJc w:val="left"/>
      <w:pPr>
        <w:ind w:left="6622" w:hanging="360"/>
      </w:pPr>
      <w:rPr>
        <w:rFonts w:ascii="Wingdings" w:hAnsi="Wingdings" w:hint="default"/>
      </w:rPr>
    </w:lvl>
  </w:abstractNum>
  <w:abstractNum w:abstractNumId="62" w15:restartNumberingAfterBreak="0">
    <w:nsid w:val="653C7203"/>
    <w:multiLevelType w:val="hybridMultilevel"/>
    <w:tmpl w:val="AF806300"/>
    <w:lvl w:ilvl="0" w:tplc="04020001">
      <w:start w:val="1"/>
      <w:numFmt w:val="bullet"/>
      <w:lvlText w:val=""/>
      <w:lvlJc w:val="left"/>
      <w:pPr>
        <w:tabs>
          <w:tab w:val="num" w:pos="786"/>
        </w:tabs>
        <w:ind w:left="786" w:hanging="360"/>
      </w:pPr>
      <w:rPr>
        <w:rFonts w:ascii="Symbol" w:hAnsi="Symbol" w:hint="default"/>
      </w:rPr>
    </w:lvl>
    <w:lvl w:ilvl="1" w:tplc="04020003" w:tentative="1">
      <w:start w:val="1"/>
      <w:numFmt w:val="bullet"/>
      <w:lvlText w:val="o"/>
      <w:lvlJc w:val="left"/>
      <w:pPr>
        <w:tabs>
          <w:tab w:val="num" w:pos="2148"/>
        </w:tabs>
        <w:ind w:left="2148" w:hanging="360"/>
      </w:pPr>
      <w:rPr>
        <w:rFonts w:ascii="Courier New" w:hAnsi="Courier New" w:cs="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cs="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cs="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63" w15:restartNumberingAfterBreak="0">
    <w:nsid w:val="667E2F66"/>
    <w:multiLevelType w:val="hybridMultilevel"/>
    <w:tmpl w:val="5B3EC992"/>
    <w:lvl w:ilvl="0" w:tplc="0A8C02B0">
      <w:start w:val="2"/>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69C62F0B"/>
    <w:multiLevelType w:val="hybridMultilevel"/>
    <w:tmpl w:val="10DAC3FC"/>
    <w:lvl w:ilvl="0" w:tplc="04020001">
      <w:start w:val="1"/>
      <w:numFmt w:val="bullet"/>
      <w:lvlText w:val=""/>
      <w:lvlJc w:val="left"/>
      <w:pPr>
        <w:ind w:left="781" w:hanging="360"/>
      </w:pPr>
      <w:rPr>
        <w:rFonts w:ascii="Symbol" w:hAnsi="Symbol" w:hint="default"/>
      </w:rPr>
    </w:lvl>
    <w:lvl w:ilvl="1" w:tplc="04020003">
      <w:start w:val="1"/>
      <w:numFmt w:val="bullet"/>
      <w:lvlText w:val="o"/>
      <w:lvlJc w:val="left"/>
      <w:pPr>
        <w:ind w:left="1501" w:hanging="360"/>
      </w:pPr>
      <w:rPr>
        <w:rFonts w:ascii="Courier New" w:hAnsi="Courier New" w:cs="Courier New" w:hint="default"/>
      </w:rPr>
    </w:lvl>
    <w:lvl w:ilvl="2" w:tplc="04020005">
      <w:start w:val="1"/>
      <w:numFmt w:val="bullet"/>
      <w:lvlText w:val=""/>
      <w:lvlJc w:val="left"/>
      <w:pPr>
        <w:ind w:left="2221" w:hanging="360"/>
      </w:pPr>
      <w:rPr>
        <w:rFonts w:ascii="Wingdings" w:hAnsi="Wingdings" w:hint="default"/>
      </w:rPr>
    </w:lvl>
    <w:lvl w:ilvl="3" w:tplc="04020001" w:tentative="1">
      <w:start w:val="1"/>
      <w:numFmt w:val="bullet"/>
      <w:lvlText w:val=""/>
      <w:lvlJc w:val="left"/>
      <w:pPr>
        <w:ind w:left="2941" w:hanging="360"/>
      </w:pPr>
      <w:rPr>
        <w:rFonts w:ascii="Symbol" w:hAnsi="Symbol" w:hint="default"/>
      </w:rPr>
    </w:lvl>
    <w:lvl w:ilvl="4" w:tplc="04020003" w:tentative="1">
      <w:start w:val="1"/>
      <w:numFmt w:val="bullet"/>
      <w:lvlText w:val="o"/>
      <w:lvlJc w:val="left"/>
      <w:pPr>
        <w:ind w:left="3661" w:hanging="360"/>
      </w:pPr>
      <w:rPr>
        <w:rFonts w:ascii="Courier New" w:hAnsi="Courier New" w:cs="Courier New" w:hint="default"/>
      </w:rPr>
    </w:lvl>
    <w:lvl w:ilvl="5" w:tplc="04020005" w:tentative="1">
      <w:start w:val="1"/>
      <w:numFmt w:val="bullet"/>
      <w:lvlText w:val=""/>
      <w:lvlJc w:val="left"/>
      <w:pPr>
        <w:ind w:left="4381" w:hanging="360"/>
      </w:pPr>
      <w:rPr>
        <w:rFonts w:ascii="Wingdings" w:hAnsi="Wingdings" w:hint="default"/>
      </w:rPr>
    </w:lvl>
    <w:lvl w:ilvl="6" w:tplc="04020001" w:tentative="1">
      <w:start w:val="1"/>
      <w:numFmt w:val="bullet"/>
      <w:lvlText w:val=""/>
      <w:lvlJc w:val="left"/>
      <w:pPr>
        <w:ind w:left="5101" w:hanging="360"/>
      </w:pPr>
      <w:rPr>
        <w:rFonts w:ascii="Symbol" w:hAnsi="Symbol" w:hint="default"/>
      </w:rPr>
    </w:lvl>
    <w:lvl w:ilvl="7" w:tplc="04020003" w:tentative="1">
      <w:start w:val="1"/>
      <w:numFmt w:val="bullet"/>
      <w:lvlText w:val="o"/>
      <w:lvlJc w:val="left"/>
      <w:pPr>
        <w:ind w:left="5821" w:hanging="360"/>
      </w:pPr>
      <w:rPr>
        <w:rFonts w:ascii="Courier New" w:hAnsi="Courier New" w:cs="Courier New" w:hint="default"/>
      </w:rPr>
    </w:lvl>
    <w:lvl w:ilvl="8" w:tplc="04020005" w:tentative="1">
      <w:start w:val="1"/>
      <w:numFmt w:val="bullet"/>
      <w:lvlText w:val=""/>
      <w:lvlJc w:val="left"/>
      <w:pPr>
        <w:ind w:left="6541" w:hanging="360"/>
      </w:pPr>
      <w:rPr>
        <w:rFonts w:ascii="Wingdings" w:hAnsi="Wingdings" w:hint="default"/>
      </w:rPr>
    </w:lvl>
  </w:abstractNum>
  <w:abstractNum w:abstractNumId="65" w15:restartNumberingAfterBreak="0">
    <w:nsid w:val="6A2D7E76"/>
    <w:multiLevelType w:val="hybridMultilevel"/>
    <w:tmpl w:val="9198F88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6" w15:restartNumberingAfterBreak="0">
    <w:nsid w:val="6B480029"/>
    <w:multiLevelType w:val="hybridMultilevel"/>
    <w:tmpl w:val="AFAE4C7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15:restartNumberingAfterBreak="0">
    <w:nsid w:val="6DBD4C02"/>
    <w:multiLevelType w:val="hybridMultilevel"/>
    <w:tmpl w:val="766ED0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23D636C"/>
    <w:multiLevelType w:val="hybridMultilevel"/>
    <w:tmpl w:val="DD0CA53C"/>
    <w:lvl w:ilvl="0" w:tplc="0402000B">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9" w15:restartNumberingAfterBreak="0">
    <w:nsid w:val="764C1446"/>
    <w:multiLevelType w:val="hybridMultilevel"/>
    <w:tmpl w:val="83E2E350"/>
    <w:lvl w:ilvl="0" w:tplc="4446C67E">
      <w:start w:val="1"/>
      <w:numFmt w:val="bullet"/>
      <w:lvlText w:val=""/>
      <w:lvlJc w:val="left"/>
      <w:pPr>
        <w:ind w:left="2007" w:hanging="360"/>
      </w:pPr>
      <w:rPr>
        <w:rFonts w:ascii="Symbol" w:hAnsi="Symbol" w:hint="default"/>
        <w:color w:val="auto"/>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70" w15:restartNumberingAfterBreak="0">
    <w:nsid w:val="76B24CCA"/>
    <w:multiLevelType w:val="hybridMultilevel"/>
    <w:tmpl w:val="623650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15:restartNumberingAfterBreak="0">
    <w:nsid w:val="79B558BA"/>
    <w:multiLevelType w:val="hybridMultilevel"/>
    <w:tmpl w:val="5206473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2" w15:restartNumberingAfterBreak="0">
    <w:nsid w:val="7A1427DB"/>
    <w:multiLevelType w:val="hybridMultilevel"/>
    <w:tmpl w:val="5B52DBA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3" w15:restartNumberingAfterBreak="0">
    <w:nsid w:val="7E402339"/>
    <w:multiLevelType w:val="hybridMultilevel"/>
    <w:tmpl w:val="9E30051A"/>
    <w:lvl w:ilvl="0" w:tplc="15C816CE">
      <w:start w:val="1"/>
      <w:numFmt w:val="decimal"/>
      <w:pStyle w:val="Heading6"/>
      <w:lvlText w:val="1.2.%1"/>
      <w:lvlJc w:val="left"/>
      <w:pPr>
        <w:ind w:left="785" w:hanging="360"/>
      </w:pPr>
      <w:rPr>
        <w:rFonts w:hint="default"/>
      </w:rPr>
    </w:lvl>
    <w:lvl w:ilvl="1" w:tplc="4DF2B7E4">
      <w:start w:val="1"/>
      <w:numFmt w:val="decimal"/>
      <w:lvlText w:val="%2."/>
      <w:lvlJc w:val="left"/>
      <w:pPr>
        <w:ind w:left="1440" w:hanging="360"/>
      </w:pPr>
      <w:rPr>
        <w:rFonts w:hint="default"/>
      </w:rPr>
    </w:lvl>
    <w:lvl w:ilvl="2" w:tplc="3A94B572">
      <w:numFmt w:val="bullet"/>
      <w:lvlText w:val="•"/>
      <w:lvlJc w:val="left"/>
      <w:pPr>
        <w:ind w:left="2685" w:hanging="705"/>
      </w:pPr>
      <w:rPr>
        <w:rFonts w:ascii="Times New Roman" w:eastAsia="Batang" w:hAnsi="Times New Roman" w:cs="Times New Roman" w:hint="default"/>
      </w:r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4" w15:restartNumberingAfterBreak="0">
    <w:nsid w:val="7FB4602E"/>
    <w:multiLevelType w:val="hybridMultilevel"/>
    <w:tmpl w:val="08526D4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51"/>
  </w:num>
  <w:num w:numId="2">
    <w:abstractNumId w:val="15"/>
  </w:num>
  <w:num w:numId="3">
    <w:abstractNumId w:val="16"/>
  </w:num>
  <w:num w:numId="4">
    <w:abstractNumId w:val="5"/>
  </w:num>
  <w:num w:numId="5">
    <w:abstractNumId w:val="28"/>
  </w:num>
  <w:num w:numId="6">
    <w:abstractNumId w:val="20"/>
  </w:num>
  <w:num w:numId="7">
    <w:abstractNumId w:val="73"/>
  </w:num>
  <w:num w:numId="8">
    <w:abstractNumId w:val="69"/>
  </w:num>
  <w:num w:numId="9">
    <w:abstractNumId w:val="40"/>
  </w:num>
  <w:num w:numId="10">
    <w:abstractNumId w:val="37"/>
  </w:num>
  <w:num w:numId="11">
    <w:abstractNumId w:val="10"/>
  </w:num>
  <w:num w:numId="12">
    <w:abstractNumId w:val="59"/>
  </w:num>
  <w:num w:numId="13">
    <w:abstractNumId w:val="47"/>
  </w:num>
  <w:num w:numId="14">
    <w:abstractNumId w:val="43"/>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5"/>
  </w:num>
  <w:num w:numId="17">
    <w:abstractNumId w:val="36"/>
  </w:num>
  <w:num w:numId="18">
    <w:abstractNumId w:val="41"/>
  </w:num>
  <w:num w:numId="19">
    <w:abstractNumId w:val="74"/>
  </w:num>
  <w:num w:numId="20">
    <w:abstractNumId w:val="18"/>
  </w:num>
  <w:num w:numId="21">
    <w:abstractNumId w:val="55"/>
  </w:num>
  <w:num w:numId="22">
    <w:abstractNumId w:val="9"/>
  </w:num>
  <w:num w:numId="23">
    <w:abstractNumId w:val="68"/>
  </w:num>
  <w:num w:numId="24">
    <w:abstractNumId w:val="52"/>
  </w:num>
  <w:num w:numId="25">
    <w:abstractNumId w:val="32"/>
  </w:num>
  <w:num w:numId="26">
    <w:abstractNumId w:val="23"/>
  </w:num>
  <w:num w:numId="27">
    <w:abstractNumId w:val="62"/>
  </w:num>
  <w:num w:numId="28">
    <w:abstractNumId w:val="42"/>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5"/>
  </w:num>
  <w:num w:numId="3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5"/>
  </w:num>
  <w:num w:numId="34">
    <w:abstractNumId w:val="12"/>
  </w:num>
  <w:num w:numId="35">
    <w:abstractNumId w:val="49"/>
  </w:num>
  <w:num w:numId="36">
    <w:abstractNumId w:val="44"/>
  </w:num>
  <w:num w:numId="37">
    <w:abstractNumId w:val="50"/>
  </w:num>
  <w:num w:numId="38">
    <w:abstractNumId w:val="71"/>
  </w:num>
  <w:num w:numId="39">
    <w:abstractNumId w:val="57"/>
  </w:num>
  <w:num w:numId="40">
    <w:abstractNumId w:val="13"/>
  </w:num>
  <w:num w:numId="41">
    <w:abstractNumId w:val="72"/>
  </w:num>
  <w:num w:numId="42">
    <w:abstractNumId w:val="31"/>
  </w:num>
  <w:num w:numId="43">
    <w:abstractNumId w:val="21"/>
  </w:num>
  <w:num w:numId="44">
    <w:abstractNumId w:val="7"/>
  </w:num>
  <w:num w:numId="45">
    <w:abstractNumId w:val="38"/>
  </w:num>
  <w:num w:numId="46">
    <w:abstractNumId w:val="27"/>
  </w:num>
  <w:num w:numId="47">
    <w:abstractNumId w:val="29"/>
  </w:num>
  <w:num w:numId="48">
    <w:abstractNumId w:val="0"/>
  </w:num>
  <w:num w:numId="49">
    <w:abstractNumId w:val="54"/>
  </w:num>
  <w:num w:numId="50">
    <w:abstractNumId w:val="39"/>
  </w:num>
  <w:num w:numId="51">
    <w:abstractNumId w:val="61"/>
  </w:num>
  <w:num w:numId="52">
    <w:abstractNumId w:val="17"/>
  </w:num>
  <w:num w:numId="53">
    <w:abstractNumId w:val="34"/>
  </w:num>
  <w:num w:numId="54">
    <w:abstractNumId w:val="63"/>
  </w:num>
  <w:num w:numId="55">
    <w:abstractNumId w:val="58"/>
  </w:num>
  <w:num w:numId="56">
    <w:abstractNumId w:val="60"/>
  </w:num>
  <w:num w:numId="57">
    <w:abstractNumId w:val="70"/>
  </w:num>
  <w:num w:numId="58">
    <w:abstractNumId w:val="6"/>
  </w:num>
  <w:num w:numId="59">
    <w:abstractNumId w:val="67"/>
  </w:num>
  <w:num w:numId="60">
    <w:abstractNumId w:val="46"/>
  </w:num>
  <w:num w:numId="61">
    <w:abstractNumId w:val="64"/>
  </w:num>
  <w:num w:numId="62">
    <w:abstractNumId w:val="53"/>
  </w:num>
  <w:num w:numId="63">
    <w:abstractNumId w:val="19"/>
  </w:num>
  <w:num w:numId="64">
    <w:abstractNumId w:val="56"/>
  </w:num>
  <w:num w:numId="65">
    <w:abstractNumId w:val="30"/>
  </w:num>
  <w:num w:numId="66">
    <w:abstractNumId w:val="35"/>
  </w:num>
  <w:num w:numId="67">
    <w:abstractNumId w:val="14"/>
  </w:num>
  <w:num w:numId="68">
    <w:abstractNumId w:val="22"/>
  </w:num>
  <w:num w:numId="69">
    <w:abstractNumId w:val="8"/>
  </w:num>
  <w:num w:numId="70">
    <w:abstractNumId w:val="26"/>
  </w:num>
  <w:num w:numId="71">
    <w:abstractNumId w:val="16"/>
  </w:num>
  <w:num w:numId="72">
    <w:abstractNumId w:val="66"/>
  </w:num>
  <w:num w:numId="73">
    <w:abstractNumId w:val="24"/>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9"/>
  <w:hyphenationZone w:val="425"/>
  <w:defaultTableStyle w:val="MediumShading1-Accent2"/>
  <w:evenAndOddHeaders/>
  <w:characterSpacingControl w:val="doNotCompress"/>
  <w:hdrShapeDefaults>
    <o:shapedefaults v:ext="edit" spidmax="2049">
      <o:colormru v:ext="edit" colors="#dfd0ab,#f8cfc8"/>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41B9"/>
    <w:rsid w:val="0000041D"/>
    <w:rsid w:val="00000434"/>
    <w:rsid w:val="0000086C"/>
    <w:rsid w:val="00000BBF"/>
    <w:rsid w:val="0000173C"/>
    <w:rsid w:val="00001BD7"/>
    <w:rsid w:val="00001C9F"/>
    <w:rsid w:val="0000257D"/>
    <w:rsid w:val="00002CCA"/>
    <w:rsid w:val="000031B8"/>
    <w:rsid w:val="00003BCB"/>
    <w:rsid w:val="00004296"/>
    <w:rsid w:val="00004395"/>
    <w:rsid w:val="0000486F"/>
    <w:rsid w:val="00004B31"/>
    <w:rsid w:val="00004C7F"/>
    <w:rsid w:val="00004D61"/>
    <w:rsid w:val="00004F65"/>
    <w:rsid w:val="00005045"/>
    <w:rsid w:val="0000544B"/>
    <w:rsid w:val="000058F2"/>
    <w:rsid w:val="00005B6D"/>
    <w:rsid w:val="00006816"/>
    <w:rsid w:val="00006F10"/>
    <w:rsid w:val="0000736B"/>
    <w:rsid w:val="000074F7"/>
    <w:rsid w:val="000076EB"/>
    <w:rsid w:val="000078A7"/>
    <w:rsid w:val="000079AC"/>
    <w:rsid w:val="0001019D"/>
    <w:rsid w:val="00010648"/>
    <w:rsid w:val="000107EE"/>
    <w:rsid w:val="00011B51"/>
    <w:rsid w:val="00011FFD"/>
    <w:rsid w:val="000124E7"/>
    <w:rsid w:val="00012611"/>
    <w:rsid w:val="00012B18"/>
    <w:rsid w:val="00012B64"/>
    <w:rsid w:val="00013658"/>
    <w:rsid w:val="0001365B"/>
    <w:rsid w:val="00013FAF"/>
    <w:rsid w:val="000140D0"/>
    <w:rsid w:val="000141DB"/>
    <w:rsid w:val="000149D2"/>
    <w:rsid w:val="00014A50"/>
    <w:rsid w:val="00014AEF"/>
    <w:rsid w:val="000152A1"/>
    <w:rsid w:val="00015575"/>
    <w:rsid w:val="00015656"/>
    <w:rsid w:val="000158D9"/>
    <w:rsid w:val="000159E2"/>
    <w:rsid w:val="00015B5D"/>
    <w:rsid w:val="00015C56"/>
    <w:rsid w:val="00016203"/>
    <w:rsid w:val="000162DC"/>
    <w:rsid w:val="00016BFE"/>
    <w:rsid w:val="00016C3A"/>
    <w:rsid w:val="00016DFF"/>
    <w:rsid w:val="00017308"/>
    <w:rsid w:val="00017BE7"/>
    <w:rsid w:val="00017DC5"/>
    <w:rsid w:val="00017EAD"/>
    <w:rsid w:val="000201AF"/>
    <w:rsid w:val="0002023C"/>
    <w:rsid w:val="0002045D"/>
    <w:rsid w:val="00020824"/>
    <w:rsid w:val="00020871"/>
    <w:rsid w:val="00020C7C"/>
    <w:rsid w:val="00020CC3"/>
    <w:rsid w:val="00021BE6"/>
    <w:rsid w:val="00021E64"/>
    <w:rsid w:val="000220FC"/>
    <w:rsid w:val="00022E89"/>
    <w:rsid w:val="00023074"/>
    <w:rsid w:val="00023118"/>
    <w:rsid w:val="00023565"/>
    <w:rsid w:val="000238B6"/>
    <w:rsid w:val="00023A7F"/>
    <w:rsid w:val="0002415A"/>
    <w:rsid w:val="00024A9C"/>
    <w:rsid w:val="00024D45"/>
    <w:rsid w:val="00024EEA"/>
    <w:rsid w:val="00024FF4"/>
    <w:rsid w:val="000252EA"/>
    <w:rsid w:val="000252FD"/>
    <w:rsid w:val="00025B4E"/>
    <w:rsid w:val="00025D7F"/>
    <w:rsid w:val="00026235"/>
    <w:rsid w:val="000263B3"/>
    <w:rsid w:val="0002650E"/>
    <w:rsid w:val="000266E6"/>
    <w:rsid w:val="00026AF6"/>
    <w:rsid w:val="00026AFD"/>
    <w:rsid w:val="000273E1"/>
    <w:rsid w:val="000277ED"/>
    <w:rsid w:val="00027821"/>
    <w:rsid w:val="00027934"/>
    <w:rsid w:val="00027945"/>
    <w:rsid w:val="000300BC"/>
    <w:rsid w:val="00030493"/>
    <w:rsid w:val="000305AD"/>
    <w:rsid w:val="000305EB"/>
    <w:rsid w:val="00030A24"/>
    <w:rsid w:val="00030CF0"/>
    <w:rsid w:val="00030E59"/>
    <w:rsid w:val="00030F0C"/>
    <w:rsid w:val="0003110F"/>
    <w:rsid w:val="0003134D"/>
    <w:rsid w:val="000315A2"/>
    <w:rsid w:val="00031D37"/>
    <w:rsid w:val="00031ED4"/>
    <w:rsid w:val="00031EE6"/>
    <w:rsid w:val="00032338"/>
    <w:rsid w:val="0003270A"/>
    <w:rsid w:val="00032FBD"/>
    <w:rsid w:val="00033154"/>
    <w:rsid w:val="000333E6"/>
    <w:rsid w:val="0003341D"/>
    <w:rsid w:val="00033EFC"/>
    <w:rsid w:val="00034482"/>
    <w:rsid w:val="00034C85"/>
    <w:rsid w:val="00034EA8"/>
    <w:rsid w:val="0003572A"/>
    <w:rsid w:val="00035A59"/>
    <w:rsid w:val="00035A68"/>
    <w:rsid w:val="00035D0C"/>
    <w:rsid w:val="00036330"/>
    <w:rsid w:val="000365B7"/>
    <w:rsid w:val="00036CEB"/>
    <w:rsid w:val="00036E88"/>
    <w:rsid w:val="00036F0E"/>
    <w:rsid w:val="00037198"/>
    <w:rsid w:val="00037A49"/>
    <w:rsid w:val="00040015"/>
    <w:rsid w:val="0004027E"/>
    <w:rsid w:val="00040595"/>
    <w:rsid w:val="00040DDF"/>
    <w:rsid w:val="00040E04"/>
    <w:rsid w:val="00041415"/>
    <w:rsid w:val="000414C7"/>
    <w:rsid w:val="00041907"/>
    <w:rsid w:val="00041A93"/>
    <w:rsid w:val="00041C6A"/>
    <w:rsid w:val="00041F91"/>
    <w:rsid w:val="0004214C"/>
    <w:rsid w:val="00042488"/>
    <w:rsid w:val="00042897"/>
    <w:rsid w:val="0004293E"/>
    <w:rsid w:val="00042C41"/>
    <w:rsid w:val="00042D09"/>
    <w:rsid w:val="00043013"/>
    <w:rsid w:val="00043499"/>
    <w:rsid w:val="000434F4"/>
    <w:rsid w:val="00043550"/>
    <w:rsid w:val="00043717"/>
    <w:rsid w:val="00043A01"/>
    <w:rsid w:val="00043BFC"/>
    <w:rsid w:val="00044404"/>
    <w:rsid w:val="000444D5"/>
    <w:rsid w:val="0004499E"/>
    <w:rsid w:val="00044C06"/>
    <w:rsid w:val="00044D07"/>
    <w:rsid w:val="00044D8D"/>
    <w:rsid w:val="00045031"/>
    <w:rsid w:val="00045042"/>
    <w:rsid w:val="000450FE"/>
    <w:rsid w:val="000460E0"/>
    <w:rsid w:val="00046268"/>
    <w:rsid w:val="00046403"/>
    <w:rsid w:val="000465B5"/>
    <w:rsid w:val="00046707"/>
    <w:rsid w:val="00046799"/>
    <w:rsid w:val="00046C93"/>
    <w:rsid w:val="00046E4F"/>
    <w:rsid w:val="0004707E"/>
    <w:rsid w:val="0004797A"/>
    <w:rsid w:val="00047BDF"/>
    <w:rsid w:val="00050680"/>
    <w:rsid w:val="00050977"/>
    <w:rsid w:val="000509C6"/>
    <w:rsid w:val="00050B9D"/>
    <w:rsid w:val="00050CEB"/>
    <w:rsid w:val="00051051"/>
    <w:rsid w:val="0005149A"/>
    <w:rsid w:val="00051764"/>
    <w:rsid w:val="00051B1B"/>
    <w:rsid w:val="00051C84"/>
    <w:rsid w:val="00051DD7"/>
    <w:rsid w:val="000521B1"/>
    <w:rsid w:val="00052267"/>
    <w:rsid w:val="000522D9"/>
    <w:rsid w:val="00052658"/>
    <w:rsid w:val="000527D1"/>
    <w:rsid w:val="00052A67"/>
    <w:rsid w:val="00052C7B"/>
    <w:rsid w:val="00052D3D"/>
    <w:rsid w:val="0005316D"/>
    <w:rsid w:val="00053482"/>
    <w:rsid w:val="0005352F"/>
    <w:rsid w:val="00053C64"/>
    <w:rsid w:val="00053D86"/>
    <w:rsid w:val="00053DE2"/>
    <w:rsid w:val="000543C3"/>
    <w:rsid w:val="0005447B"/>
    <w:rsid w:val="0005459B"/>
    <w:rsid w:val="000545EB"/>
    <w:rsid w:val="000552FA"/>
    <w:rsid w:val="00055C9B"/>
    <w:rsid w:val="000567C6"/>
    <w:rsid w:val="00056ED9"/>
    <w:rsid w:val="00057468"/>
    <w:rsid w:val="000575C6"/>
    <w:rsid w:val="000577C4"/>
    <w:rsid w:val="0006023D"/>
    <w:rsid w:val="0006042A"/>
    <w:rsid w:val="00060A60"/>
    <w:rsid w:val="0006172A"/>
    <w:rsid w:val="0006215C"/>
    <w:rsid w:val="000625BF"/>
    <w:rsid w:val="00062751"/>
    <w:rsid w:val="00062F1F"/>
    <w:rsid w:val="00063070"/>
    <w:rsid w:val="000636D5"/>
    <w:rsid w:val="000636E7"/>
    <w:rsid w:val="000640F0"/>
    <w:rsid w:val="000641CF"/>
    <w:rsid w:val="0006432B"/>
    <w:rsid w:val="0006443F"/>
    <w:rsid w:val="00064557"/>
    <w:rsid w:val="0006499D"/>
    <w:rsid w:val="00064A27"/>
    <w:rsid w:val="00064BF8"/>
    <w:rsid w:val="00064C18"/>
    <w:rsid w:val="00064C61"/>
    <w:rsid w:val="0006559D"/>
    <w:rsid w:val="00065A8F"/>
    <w:rsid w:val="00065AE4"/>
    <w:rsid w:val="00065CDA"/>
    <w:rsid w:val="00065D2A"/>
    <w:rsid w:val="00065E6E"/>
    <w:rsid w:val="00066018"/>
    <w:rsid w:val="000665BB"/>
    <w:rsid w:val="000665D9"/>
    <w:rsid w:val="000667CC"/>
    <w:rsid w:val="00066AD2"/>
    <w:rsid w:val="00067145"/>
    <w:rsid w:val="00067895"/>
    <w:rsid w:val="00067B46"/>
    <w:rsid w:val="00067D54"/>
    <w:rsid w:val="00067FF9"/>
    <w:rsid w:val="00070767"/>
    <w:rsid w:val="00070E04"/>
    <w:rsid w:val="00071079"/>
    <w:rsid w:val="0007127E"/>
    <w:rsid w:val="00071446"/>
    <w:rsid w:val="000718A4"/>
    <w:rsid w:val="000718DF"/>
    <w:rsid w:val="00071A4B"/>
    <w:rsid w:val="00071C6D"/>
    <w:rsid w:val="00071DCD"/>
    <w:rsid w:val="00071E21"/>
    <w:rsid w:val="00071E32"/>
    <w:rsid w:val="00071F05"/>
    <w:rsid w:val="00072190"/>
    <w:rsid w:val="000725BF"/>
    <w:rsid w:val="000733BC"/>
    <w:rsid w:val="000733CF"/>
    <w:rsid w:val="00073598"/>
    <w:rsid w:val="00073D34"/>
    <w:rsid w:val="000742BA"/>
    <w:rsid w:val="00074533"/>
    <w:rsid w:val="000745D0"/>
    <w:rsid w:val="000747DE"/>
    <w:rsid w:val="00074A69"/>
    <w:rsid w:val="00074DD4"/>
    <w:rsid w:val="0007569E"/>
    <w:rsid w:val="000758BB"/>
    <w:rsid w:val="00075B26"/>
    <w:rsid w:val="000763F5"/>
    <w:rsid w:val="000768D0"/>
    <w:rsid w:val="00076F84"/>
    <w:rsid w:val="00077041"/>
    <w:rsid w:val="000772CC"/>
    <w:rsid w:val="0007731D"/>
    <w:rsid w:val="00077AE8"/>
    <w:rsid w:val="00077DB4"/>
    <w:rsid w:val="00077E6A"/>
    <w:rsid w:val="00080231"/>
    <w:rsid w:val="00080234"/>
    <w:rsid w:val="000807AA"/>
    <w:rsid w:val="00080C5C"/>
    <w:rsid w:val="000810AF"/>
    <w:rsid w:val="000812B9"/>
    <w:rsid w:val="00081611"/>
    <w:rsid w:val="00081FAE"/>
    <w:rsid w:val="00082189"/>
    <w:rsid w:val="000823E1"/>
    <w:rsid w:val="00082F97"/>
    <w:rsid w:val="00083361"/>
    <w:rsid w:val="00083599"/>
    <w:rsid w:val="0008367C"/>
    <w:rsid w:val="00083A4D"/>
    <w:rsid w:val="000847E9"/>
    <w:rsid w:val="00084D35"/>
    <w:rsid w:val="00084EAB"/>
    <w:rsid w:val="00085125"/>
    <w:rsid w:val="00085221"/>
    <w:rsid w:val="000856FC"/>
    <w:rsid w:val="00085792"/>
    <w:rsid w:val="00085BF5"/>
    <w:rsid w:val="00085D76"/>
    <w:rsid w:val="000860CA"/>
    <w:rsid w:val="000862A4"/>
    <w:rsid w:val="000865AC"/>
    <w:rsid w:val="00086865"/>
    <w:rsid w:val="00086A06"/>
    <w:rsid w:val="00086A08"/>
    <w:rsid w:val="00086BC3"/>
    <w:rsid w:val="00086EE1"/>
    <w:rsid w:val="000877C7"/>
    <w:rsid w:val="000879E8"/>
    <w:rsid w:val="00087DDF"/>
    <w:rsid w:val="00087EFB"/>
    <w:rsid w:val="000900DC"/>
    <w:rsid w:val="000904CE"/>
    <w:rsid w:val="00090BF7"/>
    <w:rsid w:val="00090FB3"/>
    <w:rsid w:val="000910EB"/>
    <w:rsid w:val="000911F1"/>
    <w:rsid w:val="000918B0"/>
    <w:rsid w:val="00091F2F"/>
    <w:rsid w:val="000923F6"/>
    <w:rsid w:val="0009246B"/>
    <w:rsid w:val="0009270B"/>
    <w:rsid w:val="00092908"/>
    <w:rsid w:val="0009294B"/>
    <w:rsid w:val="00092CBE"/>
    <w:rsid w:val="00092E82"/>
    <w:rsid w:val="00093AAC"/>
    <w:rsid w:val="00094571"/>
    <w:rsid w:val="0009459C"/>
    <w:rsid w:val="00094B0C"/>
    <w:rsid w:val="00094C0B"/>
    <w:rsid w:val="00094C6F"/>
    <w:rsid w:val="0009513D"/>
    <w:rsid w:val="0009577F"/>
    <w:rsid w:val="000958D8"/>
    <w:rsid w:val="000958FA"/>
    <w:rsid w:val="00096506"/>
    <w:rsid w:val="0009672B"/>
    <w:rsid w:val="00096DD8"/>
    <w:rsid w:val="00097345"/>
    <w:rsid w:val="00097752"/>
    <w:rsid w:val="000978C1"/>
    <w:rsid w:val="00097B54"/>
    <w:rsid w:val="00097B5A"/>
    <w:rsid w:val="00097F3F"/>
    <w:rsid w:val="00097F58"/>
    <w:rsid w:val="000A0166"/>
    <w:rsid w:val="000A050F"/>
    <w:rsid w:val="000A0661"/>
    <w:rsid w:val="000A07CF"/>
    <w:rsid w:val="000A0E3C"/>
    <w:rsid w:val="000A165D"/>
    <w:rsid w:val="000A17A5"/>
    <w:rsid w:val="000A19EF"/>
    <w:rsid w:val="000A1A81"/>
    <w:rsid w:val="000A1AEE"/>
    <w:rsid w:val="000A25B3"/>
    <w:rsid w:val="000A25FD"/>
    <w:rsid w:val="000A2790"/>
    <w:rsid w:val="000A28BE"/>
    <w:rsid w:val="000A294F"/>
    <w:rsid w:val="000A2A6C"/>
    <w:rsid w:val="000A2ACE"/>
    <w:rsid w:val="000A2EA8"/>
    <w:rsid w:val="000A2ECD"/>
    <w:rsid w:val="000A2F6A"/>
    <w:rsid w:val="000A2FFA"/>
    <w:rsid w:val="000A3240"/>
    <w:rsid w:val="000A3575"/>
    <w:rsid w:val="000A37BC"/>
    <w:rsid w:val="000A42FD"/>
    <w:rsid w:val="000A4713"/>
    <w:rsid w:val="000A5161"/>
    <w:rsid w:val="000A5351"/>
    <w:rsid w:val="000A5AF5"/>
    <w:rsid w:val="000A5E72"/>
    <w:rsid w:val="000A6922"/>
    <w:rsid w:val="000A6C19"/>
    <w:rsid w:val="000A6C98"/>
    <w:rsid w:val="000A6CD2"/>
    <w:rsid w:val="000A6E9A"/>
    <w:rsid w:val="000A702D"/>
    <w:rsid w:val="000A7796"/>
    <w:rsid w:val="000A7899"/>
    <w:rsid w:val="000A7A67"/>
    <w:rsid w:val="000A7BAE"/>
    <w:rsid w:val="000A7FCD"/>
    <w:rsid w:val="000B0004"/>
    <w:rsid w:val="000B05A5"/>
    <w:rsid w:val="000B05E1"/>
    <w:rsid w:val="000B07B5"/>
    <w:rsid w:val="000B1113"/>
    <w:rsid w:val="000B14D5"/>
    <w:rsid w:val="000B1528"/>
    <w:rsid w:val="000B1EE5"/>
    <w:rsid w:val="000B2032"/>
    <w:rsid w:val="000B21F4"/>
    <w:rsid w:val="000B24BC"/>
    <w:rsid w:val="000B290C"/>
    <w:rsid w:val="000B293E"/>
    <w:rsid w:val="000B2CDD"/>
    <w:rsid w:val="000B32B5"/>
    <w:rsid w:val="000B32BA"/>
    <w:rsid w:val="000B3348"/>
    <w:rsid w:val="000B3AB2"/>
    <w:rsid w:val="000B3BF8"/>
    <w:rsid w:val="000B3F21"/>
    <w:rsid w:val="000B417E"/>
    <w:rsid w:val="000B42E0"/>
    <w:rsid w:val="000B450A"/>
    <w:rsid w:val="000B45DB"/>
    <w:rsid w:val="000B48AE"/>
    <w:rsid w:val="000B4A35"/>
    <w:rsid w:val="000B4EB3"/>
    <w:rsid w:val="000B53D5"/>
    <w:rsid w:val="000B554E"/>
    <w:rsid w:val="000B59F0"/>
    <w:rsid w:val="000B5C93"/>
    <w:rsid w:val="000B5E49"/>
    <w:rsid w:val="000B6572"/>
    <w:rsid w:val="000B65FA"/>
    <w:rsid w:val="000B6A1B"/>
    <w:rsid w:val="000B6EC5"/>
    <w:rsid w:val="000B6F6F"/>
    <w:rsid w:val="000B7107"/>
    <w:rsid w:val="000B72C2"/>
    <w:rsid w:val="000B72EB"/>
    <w:rsid w:val="000B77C7"/>
    <w:rsid w:val="000B7CD1"/>
    <w:rsid w:val="000C015F"/>
    <w:rsid w:val="000C043D"/>
    <w:rsid w:val="000C0C99"/>
    <w:rsid w:val="000C0EB3"/>
    <w:rsid w:val="000C15DE"/>
    <w:rsid w:val="000C1C21"/>
    <w:rsid w:val="000C1FF2"/>
    <w:rsid w:val="000C23B3"/>
    <w:rsid w:val="000C25B8"/>
    <w:rsid w:val="000C25E3"/>
    <w:rsid w:val="000C2EEF"/>
    <w:rsid w:val="000C2F24"/>
    <w:rsid w:val="000C30D9"/>
    <w:rsid w:val="000C32FC"/>
    <w:rsid w:val="000C3303"/>
    <w:rsid w:val="000C337E"/>
    <w:rsid w:val="000C4029"/>
    <w:rsid w:val="000C4E18"/>
    <w:rsid w:val="000C5191"/>
    <w:rsid w:val="000C5246"/>
    <w:rsid w:val="000C561A"/>
    <w:rsid w:val="000C5B72"/>
    <w:rsid w:val="000C5CDB"/>
    <w:rsid w:val="000C5DFE"/>
    <w:rsid w:val="000C613F"/>
    <w:rsid w:val="000C68D4"/>
    <w:rsid w:val="000C6C2B"/>
    <w:rsid w:val="000C6CED"/>
    <w:rsid w:val="000C6D03"/>
    <w:rsid w:val="000C6D9B"/>
    <w:rsid w:val="000C72F6"/>
    <w:rsid w:val="000C7460"/>
    <w:rsid w:val="000C76EA"/>
    <w:rsid w:val="000C786A"/>
    <w:rsid w:val="000C7A02"/>
    <w:rsid w:val="000D0089"/>
    <w:rsid w:val="000D0E9B"/>
    <w:rsid w:val="000D1701"/>
    <w:rsid w:val="000D18D4"/>
    <w:rsid w:val="000D1AE7"/>
    <w:rsid w:val="000D1E8D"/>
    <w:rsid w:val="000D20F3"/>
    <w:rsid w:val="000D28BC"/>
    <w:rsid w:val="000D314E"/>
    <w:rsid w:val="000D3464"/>
    <w:rsid w:val="000D3E2E"/>
    <w:rsid w:val="000D44CE"/>
    <w:rsid w:val="000D4777"/>
    <w:rsid w:val="000D4892"/>
    <w:rsid w:val="000D4B1F"/>
    <w:rsid w:val="000D4E68"/>
    <w:rsid w:val="000D570A"/>
    <w:rsid w:val="000D5AA1"/>
    <w:rsid w:val="000D649B"/>
    <w:rsid w:val="000D67D7"/>
    <w:rsid w:val="000D73B8"/>
    <w:rsid w:val="000D772D"/>
    <w:rsid w:val="000D7D4C"/>
    <w:rsid w:val="000E055C"/>
    <w:rsid w:val="000E0971"/>
    <w:rsid w:val="000E1534"/>
    <w:rsid w:val="000E17F4"/>
    <w:rsid w:val="000E19FB"/>
    <w:rsid w:val="000E1A28"/>
    <w:rsid w:val="000E1DA1"/>
    <w:rsid w:val="000E203C"/>
    <w:rsid w:val="000E2461"/>
    <w:rsid w:val="000E2962"/>
    <w:rsid w:val="000E2FFB"/>
    <w:rsid w:val="000E3FE9"/>
    <w:rsid w:val="000E40CE"/>
    <w:rsid w:val="000E4F89"/>
    <w:rsid w:val="000E522E"/>
    <w:rsid w:val="000E59F6"/>
    <w:rsid w:val="000E5BBD"/>
    <w:rsid w:val="000E66F8"/>
    <w:rsid w:val="000E69FF"/>
    <w:rsid w:val="000E715A"/>
    <w:rsid w:val="000E73B9"/>
    <w:rsid w:val="000E76AC"/>
    <w:rsid w:val="000E78EE"/>
    <w:rsid w:val="000E7954"/>
    <w:rsid w:val="000E7F22"/>
    <w:rsid w:val="000E7FCA"/>
    <w:rsid w:val="000F0751"/>
    <w:rsid w:val="000F08FA"/>
    <w:rsid w:val="000F0C81"/>
    <w:rsid w:val="000F0F5A"/>
    <w:rsid w:val="000F1524"/>
    <w:rsid w:val="000F15EC"/>
    <w:rsid w:val="000F24B7"/>
    <w:rsid w:val="000F2A05"/>
    <w:rsid w:val="000F2F85"/>
    <w:rsid w:val="000F3571"/>
    <w:rsid w:val="000F36A0"/>
    <w:rsid w:val="000F3985"/>
    <w:rsid w:val="000F3A58"/>
    <w:rsid w:val="000F3D83"/>
    <w:rsid w:val="000F4936"/>
    <w:rsid w:val="000F4CBD"/>
    <w:rsid w:val="000F4ECB"/>
    <w:rsid w:val="000F4FA5"/>
    <w:rsid w:val="000F509C"/>
    <w:rsid w:val="000F5D1E"/>
    <w:rsid w:val="000F7381"/>
    <w:rsid w:val="000F76DE"/>
    <w:rsid w:val="000F7812"/>
    <w:rsid w:val="000F7FB4"/>
    <w:rsid w:val="0010059E"/>
    <w:rsid w:val="00100CE6"/>
    <w:rsid w:val="00100ECE"/>
    <w:rsid w:val="0010120E"/>
    <w:rsid w:val="001013E4"/>
    <w:rsid w:val="0010209C"/>
    <w:rsid w:val="0010214E"/>
    <w:rsid w:val="001026BE"/>
    <w:rsid w:val="0010274F"/>
    <w:rsid w:val="00102A35"/>
    <w:rsid w:val="00102DB0"/>
    <w:rsid w:val="0010324F"/>
    <w:rsid w:val="0010342F"/>
    <w:rsid w:val="00103608"/>
    <w:rsid w:val="001045DB"/>
    <w:rsid w:val="001059C9"/>
    <w:rsid w:val="00105E9C"/>
    <w:rsid w:val="00106543"/>
    <w:rsid w:val="00106715"/>
    <w:rsid w:val="001070B7"/>
    <w:rsid w:val="00107524"/>
    <w:rsid w:val="0010771E"/>
    <w:rsid w:val="001077C2"/>
    <w:rsid w:val="001077C3"/>
    <w:rsid w:val="00107AA7"/>
    <w:rsid w:val="00107C01"/>
    <w:rsid w:val="001107B5"/>
    <w:rsid w:val="00110C4A"/>
    <w:rsid w:val="00111014"/>
    <w:rsid w:val="001112AB"/>
    <w:rsid w:val="00111853"/>
    <w:rsid w:val="00111904"/>
    <w:rsid w:val="00111A55"/>
    <w:rsid w:val="00111C22"/>
    <w:rsid w:val="00111E4D"/>
    <w:rsid w:val="0011251F"/>
    <w:rsid w:val="001125E6"/>
    <w:rsid w:val="0011277B"/>
    <w:rsid w:val="0011278D"/>
    <w:rsid w:val="00112C2A"/>
    <w:rsid w:val="0011300B"/>
    <w:rsid w:val="0011301C"/>
    <w:rsid w:val="00113177"/>
    <w:rsid w:val="001131B6"/>
    <w:rsid w:val="00113945"/>
    <w:rsid w:val="00113BDE"/>
    <w:rsid w:val="0011406D"/>
    <w:rsid w:val="001141BD"/>
    <w:rsid w:val="0011428A"/>
    <w:rsid w:val="001143F9"/>
    <w:rsid w:val="001144D8"/>
    <w:rsid w:val="001147F6"/>
    <w:rsid w:val="00114A1B"/>
    <w:rsid w:val="00114BAC"/>
    <w:rsid w:val="00114F86"/>
    <w:rsid w:val="0011586C"/>
    <w:rsid w:val="00116353"/>
    <w:rsid w:val="00116931"/>
    <w:rsid w:val="00116F95"/>
    <w:rsid w:val="001176F9"/>
    <w:rsid w:val="00117C6C"/>
    <w:rsid w:val="0012000B"/>
    <w:rsid w:val="0012054A"/>
    <w:rsid w:val="00120A0E"/>
    <w:rsid w:val="00120CF2"/>
    <w:rsid w:val="00120D90"/>
    <w:rsid w:val="001211C1"/>
    <w:rsid w:val="001219A9"/>
    <w:rsid w:val="001219E0"/>
    <w:rsid w:val="00121A5F"/>
    <w:rsid w:val="00121E25"/>
    <w:rsid w:val="0012229C"/>
    <w:rsid w:val="001228E3"/>
    <w:rsid w:val="00122B01"/>
    <w:rsid w:val="00122B5E"/>
    <w:rsid w:val="001236BD"/>
    <w:rsid w:val="001243C8"/>
    <w:rsid w:val="00124F47"/>
    <w:rsid w:val="001251C4"/>
    <w:rsid w:val="001251CE"/>
    <w:rsid w:val="00125E3A"/>
    <w:rsid w:val="00125FC2"/>
    <w:rsid w:val="001263FE"/>
    <w:rsid w:val="0012706E"/>
    <w:rsid w:val="001270A3"/>
    <w:rsid w:val="0012730E"/>
    <w:rsid w:val="001276FA"/>
    <w:rsid w:val="001308E9"/>
    <w:rsid w:val="00131A05"/>
    <w:rsid w:val="00131A5F"/>
    <w:rsid w:val="0013205F"/>
    <w:rsid w:val="00132306"/>
    <w:rsid w:val="0013279D"/>
    <w:rsid w:val="00132843"/>
    <w:rsid w:val="00132B3B"/>
    <w:rsid w:val="001332FF"/>
    <w:rsid w:val="0013398F"/>
    <w:rsid w:val="00133BC2"/>
    <w:rsid w:val="00134184"/>
    <w:rsid w:val="001342A1"/>
    <w:rsid w:val="0013465D"/>
    <w:rsid w:val="001346E4"/>
    <w:rsid w:val="00134D79"/>
    <w:rsid w:val="00134F51"/>
    <w:rsid w:val="001354FF"/>
    <w:rsid w:val="001358B9"/>
    <w:rsid w:val="00135C6C"/>
    <w:rsid w:val="00136176"/>
    <w:rsid w:val="00136297"/>
    <w:rsid w:val="001362AC"/>
    <w:rsid w:val="0013661C"/>
    <w:rsid w:val="00136760"/>
    <w:rsid w:val="001367FD"/>
    <w:rsid w:val="00136A1B"/>
    <w:rsid w:val="00136BE4"/>
    <w:rsid w:val="001370B5"/>
    <w:rsid w:val="001377B3"/>
    <w:rsid w:val="00137A14"/>
    <w:rsid w:val="0014064D"/>
    <w:rsid w:val="001408F1"/>
    <w:rsid w:val="00140B1B"/>
    <w:rsid w:val="001413B4"/>
    <w:rsid w:val="001416AF"/>
    <w:rsid w:val="00141D49"/>
    <w:rsid w:val="00141E7E"/>
    <w:rsid w:val="00141F72"/>
    <w:rsid w:val="00142083"/>
    <w:rsid w:val="001421A1"/>
    <w:rsid w:val="001421CF"/>
    <w:rsid w:val="0014247E"/>
    <w:rsid w:val="00142ECC"/>
    <w:rsid w:val="0014349B"/>
    <w:rsid w:val="001434D6"/>
    <w:rsid w:val="0014351D"/>
    <w:rsid w:val="00143DB0"/>
    <w:rsid w:val="00143EE8"/>
    <w:rsid w:val="00144153"/>
    <w:rsid w:val="00144538"/>
    <w:rsid w:val="001452F8"/>
    <w:rsid w:val="001456DC"/>
    <w:rsid w:val="001464EB"/>
    <w:rsid w:val="00146633"/>
    <w:rsid w:val="00146935"/>
    <w:rsid w:val="00147027"/>
    <w:rsid w:val="0014791E"/>
    <w:rsid w:val="00150868"/>
    <w:rsid w:val="00150A33"/>
    <w:rsid w:val="00150C8E"/>
    <w:rsid w:val="001515D5"/>
    <w:rsid w:val="00151BBB"/>
    <w:rsid w:val="001524C5"/>
    <w:rsid w:val="00152EBE"/>
    <w:rsid w:val="0015350D"/>
    <w:rsid w:val="00154149"/>
    <w:rsid w:val="00154386"/>
    <w:rsid w:val="0015442C"/>
    <w:rsid w:val="00154455"/>
    <w:rsid w:val="00154649"/>
    <w:rsid w:val="001548EC"/>
    <w:rsid w:val="0015497B"/>
    <w:rsid w:val="00154CD5"/>
    <w:rsid w:val="00154F6B"/>
    <w:rsid w:val="00155526"/>
    <w:rsid w:val="00155555"/>
    <w:rsid w:val="0015574F"/>
    <w:rsid w:val="00155E77"/>
    <w:rsid w:val="0015692F"/>
    <w:rsid w:val="0015731D"/>
    <w:rsid w:val="0015755D"/>
    <w:rsid w:val="00157583"/>
    <w:rsid w:val="001578D5"/>
    <w:rsid w:val="00157B3A"/>
    <w:rsid w:val="00160314"/>
    <w:rsid w:val="001606B3"/>
    <w:rsid w:val="00160B8C"/>
    <w:rsid w:val="00160F84"/>
    <w:rsid w:val="00160FAF"/>
    <w:rsid w:val="001614E6"/>
    <w:rsid w:val="0016276E"/>
    <w:rsid w:val="00162818"/>
    <w:rsid w:val="001628AA"/>
    <w:rsid w:val="00162AF9"/>
    <w:rsid w:val="00162B2B"/>
    <w:rsid w:val="00162DAB"/>
    <w:rsid w:val="00162ED1"/>
    <w:rsid w:val="001638E7"/>
    <w:rsid w:val="00163A4B"/>
    <w:rsid w:val="00164169"/>
    <w:rsid w:val="00165082"/>
    <w:rsid w:val="0016510D"/>
    <w:rsid w:val="0016529A"/>
    <w:rsid w:val="001661FD"/>
    <w:rsid w:val="0016633F"/>
    <w:rsid w:val="001663E8"/>
    <w:rsid w:val="0016688A"/>
    <w:rsid w:val="00166C70"/>
    <w:rsid w:val="00166CDE"/>
    <w:rsid w:val="00166FEB"/>
    <w:rsid w:val="00167013"/>
    <w:rsid w:val="00167089"/>
    <w:rsid w:val="00167302"/>
    <w:rsid w:val="00167383"/>
    <w:rsid w:val="0016765D"/>
    <w:rsid w:val="001678DB"/>
    <w:rsid w:val="00167BBB"/>
    <w:rsid w:val="00167C1B"/>
    <w:rsid w:val="00167D1F"/>
    <w:rsid w:val="00170102"/>
    <w:rsid w:val="0017017B"/>
    <w:rsid w:val="00170A47"/>
    <w:rsid w:val="001718D4"/>
    <w:rsid w:val="00171FA9"/>
    <w:rsid w:val="0017235B"/>
    <w:rsid w:val="0017249F"/>
    <w:rsid w:val="00172507"/>
    <w:rsid w:val="00173159"/>
    <w:rsid w:val="001732B1"/>
    <w:rsid w:val="001733EF"/>
    <w:rsid w:val="0017393E"/>
    <w:rsid w:val="00173AA3"/>
    <w:rsid w:val="00173AE5"/>
    <w:rsid w:val="00174444"/>
    <w:rsid w:val="00174531"/>
    <w:rsid w:val="00175F1F"/>
    <w:rsid w:val="00175F95"/>
    <w:rsid w:val="0017634D"/>
    <w:rsid w:val="001763C3"/>
    <w:rsid w:val="00176560"/>
    <w:rsid w:val="0017669E"/>
    <w:rsid w:val="00176C75"/>
    <w:rsid w:val="00176E39"/>
    <w:rsid w:val="00176F1A"/>
    <w:rsid w:val="00177017"/>
    <w:rsid w:val="001774D6"/>
    <w:rsid w:val="00177AA3"/>
    <w:rsid w:val="00177DD8"/>
    <w:rsid w:val="00177F74"/>
    <w:rsid w:val="001803A8"/>
    <w:rsid w:val="0018055D"/>
    <w:rsid w:val="00180E1F"/>
    <w:rsid w:val="001810D3"/>
    <w:rsid w:val="001812CB"/>
    <w:rsid w:val="0018141A"/>
    <w:rsid w:val="001817AB"/>
    <w:rsid w:val="0018193D"/>
    <w:rsid w:val="00181DC5"/>
    <w:rsid w:val="00181F46"/>
    <w:rsid w:val="001825E4"/>
    <w:rsid w:val="00182B12"/>
    <w:rsid w:val="001832BC"/>
    <w:rsid w:val="0018333B"/>
    <w:rsid w:val="001837EB"/>
    <w:rsid w:val="00183924"/>
    <w:rsid w:val="0018395A"/>
    <w:rsid w:val="00183E02"/>
    <w:rsid w:val="001840E2"/>
    <w:rsid w:val="00184B88"/>
    <w:rsid w:val="00184BDA"/>
    <w:rsid w:val="00184C71"/>
    <w:rsid w:val="001850C1"/>
    <w:rsid w:val="0018677C"/>
    <w:rsid w:val="0018697A"/>
    <w:rsid w:val="00186E41"/>
    <w:rsid w:val="001875C4"/>
    <w:rsid w:val="001878D3"/>
    <w:rsid w:val="00190138"/>
    <w:rsid w:val="00190761"/>
    <w:rsid w:val="00190E21"/>
    <w:rsid w:val="00190E5C"/>
    <w:rsid w:val="00191284"/>
    <w:rsid w:val="00191957"/>
    <w:rsid w:val="00191AF3"/>
    <w:rsid w:val="0019248C"/>
    <w:rsid w:val="00192CE4"/>
    <w:rsid w:val="00193452"/>
    <w:rsid w:val="00193493"/>
    <w:rsid w:val="001934CC"/>
    <w:rsid w:val="00193504"/>
    <w:rsid w:val="00193A19"/>
    <w:rsid w:val="00193F1F"/>
    <w:rsid w:val="00194532"/>
    <w:rsid w:val="001952C1"/>
    <w:rsid w:val="001954FF"/>
    <w:rsid w:val="001958CF"/>
    <w:rsid w:val="00195D12"/>
    <w:rsid w:val="00195DC0"/>
    <w:rsid w:val="001964C4"/>
    <w:rsid w:val="00196603"/>
    <w:rsid w:val="00196789"/>
    <w:rsid w:val="00196D1B"/>
    <w:rsid w:val="00197134"/>
    <w:rsid w:val="001977D8"/>
    <w:rsid w:val="00197ABE"/>
    <w:rsid w:val="00197FA2"/>
    <w:rsid w:val="001A0280"/>
    <w:rsid w:val="001A0295"/>
    <w:rsid w:val="001A13B3"/>
    <w:rsid w:val="001A1616"/>
    <w:rsid w:val="001A1A11"/>
    <w:rsid w:val="001A1B29"/>
    <w:rsid w:val="001A1F42"/>
    <w:rsid w:val="001A245F"/>
    <w:rsid w:val="001A262F"/>
    <w:rsid w:val="001A343F"/>
    <w:rsid w:val="001A3527"/>
    <w:rsid w:val="001A365E"/>
    <w:rsid w:val="001A37A5"/>
    <w:rsid w:val="001A3E3F"/>
    <w:rsid w:val="001A4320"/>
    <w:rsid w:val="001A439C"/>
    <w:rsid w:val="001A46A5"/>
    <w:rsid w:val="001A46AC"/>
    <w:rsid w:val="001A4FBC"/>
    <w:rsid w:val="001A5213"/>
    <w:rsid w:val="001A5A70"/>
    <w:rsid w:val="001A5C40"/>
    <w:rsid w:val="001A5D83"/>
    <w:rsid w:val="001A5E7D"/>
    <w:rsid w:val="001A6100"/>
    <w:rsid w:val="001A63A1"/>
    <w:rsid w:val="001A67A5"/>
    <w:rsid w:val="001A74F2"/>
    <w:rsid w:val="001A77FE"/>
    <w:rsid w:val="001B0035"/>
    <w:rsid w:val="001B0661"/>
    <w:rsid w:val="001B07A6"/>
    <w:rsid w:val="001B0A1A"/>
    <w:rsid w:val="001B0B28"/>
    <w:rsid w:val="001B1227"/>
    <w:rsid w:val="001B1541"/>
    <w:rsid w:val="001B1ADF"/>
    <w:rsid w:val="001B1E77"/>
    <w:rsid w:val="001B27D4"/>
    <w:rsid w:val="001B27DE"/>
    <w:rsid w:val="001B2A5A"/>
    <w:rsid w:val="001B3400"/>
    <w:rsid w:val="001B3615"/>
    <w:rsid w:val="001B36BB"/>
    <w:rsid w:val="001B36E8"/>
    <w:rsid w:val="001B3854"/>
    <w:rsid w:val="001B407B"/>
    <w:rsid w:val="001B40E3"/>
    <w:rsid w:val="001B41F8"/>
    <w:rsid w:val="001B4495"/>
    <w:rsid w:val="001B4925"/>
    <w:rsid w:val="001B50BA"/>
    <w:rsid w:val="001B517E"/>
    <w:rsid w:val="001B5744"/>
    <w:rsid w:val="001B5950"/>
    <w:rsid w:val="001B5D61"/>
    <w:rsid w:val="001B64BA"/>
    <w:rsid w:val="001B68DD"/>
    <w:rsid w:val="001B694F"/>
    <w:rsid w:val="001B6AF1"/>
    <w:rsid w:val="001B6F9B"/>
    <w:rsid w:val="001B767B"/>
    <w:rsid w:val="001C0067"/>
    <w:rsid w:val="001C02F3"/>
    <w:rsid w:val="001C050C"/>
    <w:rsid w:val="001C07A3"/>
    <w:rsid w:val="001C0F8C"/>
    <w:rsid w:val="001C166A"/>
    <w:rsid w:val="001C16F7"/>
    <w:rsid w:val="001C172D"/>
    <w:rsid w:val="001C1860"/>
    <w:rsid w:val="001C18F6"/>
    <w:rsid w:val="001C1DA2"/>
    <w:rsid w:val="001C219A"/>
    <w:rsid w:val="001C23E0"/>
    <w:rsid w:val="001C271D"/>
    <w:rsid w:val="001C2895"/>
    <w:rsid w:val="001C3382"/>
    <w:rsid w:val="001C3384"/>
    <w:rsid w:val="001C3397"/>
    <w:rsid w:val="001C33A7"/>
    <w:rsid w:val="001C3621"/>
    <w:rsid w:val="001C3944"/>
    <w:rsid w:val="001C4154"/>
    <w:rsid w:val="001C4296"/>
    <w:rsid w:val="001C431C"/>
    <w:rsid w:val="001C438B"/>
    <w:rsid w:val="001C451C"/>
    <w:rsid w:val="001C4F6E"/>
    <w:rsid w:val="001C531B"/>
    <w:rsid w:val="001C53C4"/>
    <w:rsid w:val="001C5468"/>
    <w:rsid w:val="001C5907"/>
    <w:rsid w:val="001C61A5"/>
    <w:rsid w:val="001C6B75"/>
    <w:rsid w:val="001C6D90"/>
    <w:rsid w:val="001C6EC8"/>
    <w:rsid w:val="001C6ECC"/>
    <w:rsid w:val="001C7535"/>
    <w:rsid w:val="001D01DB"/>
    <w:rsid w:val="001D0425"/>
    <w:rsid w:val="001D121B"/>
    <w:rsid w:val="001D122C"/>
    <w:rsid w:val="001D12F1"/>
    <w:rsid w:val="001D14B4"/>
    <w:rsid w:val="001D1BF3"/>
    <w:rsid w:val="001D1C87"/>
    <w:rsid w:val="001D20C6"/>
    <w:rsid w:val="001D23CD"/>
    <w:rsid w:val="001D2618"/>
    <w:rsid w:val="001D2679"/>
    <w:rsid w:val="001D285D"/>
    <w:rsid w:val="001D2922"/>
    <w:rsid w:val="001D360E"/>
    <w:rsid w:val="001D3A47"/>
    <w:rsid w:val="001D3AC9"/>
    <w:rsid w:val="001D3E1E"/>
    <w:rsid w:val="001D3F1E"/>
    <w:rsid w:val="001D41D0"/>
    <w:rsid w:val="001D47CA"/>
    <w:rsid w:val="001D4934"/>
    <w:rsid w:val="001D495E"/>
    <w:rsid w:val="001D49CF"/>
    <w:rsid w:val="001D4D1D"/>
    <w:rsid w:val="001D525B"/>
    <w:rsid w:val="001D56BC"/>
    <w:rsid w:val="001D5C85"/>
    <w:rsid w:val="001D5C88"/>
    <w:rsid w:val="001D5D22"/>
    <w:rsid w:val="001D5F6E"/>
    <w:rsid w:val="001D60CC"/>
    <w:rsid w:val="001D619B"/>
    <w:rsid w:val="001D6F57"/>
    <w:rsid w:val="001D717A"/>
    <w:rsid w:val="001D7373"/>
    <w:rsid w:val="001D79C5"/>
    <w:rsid w:val="001E0068"/>
    <w:rsid w:val="001E0899"/>
    <w:rsid w:val="001E0A6A"/>
    <w:rsid w:val="001E0B45"/>
    <w:rsid w:val="001E0CD5"/>
    <w:rsid w:val="001E0DF0"/>
    <w:rsid w:val="001E0FB1"/>
    <w:rsid w:val="001E1965"/>
    <w:rsid w:val="001E1ACA"/>
    <w:rsid w:val="001E1E4C"/>
    <w:rsid w:val="001E20A5"/>
    <w:rsid w:val="001E217E"/>
    <w:rsid w:val="001E2456"/>
    <w:rsid w:val="001E281B"/>
    <w:rsid w:val="001E2E40"/>
    <w:rsid w:val="001E2F44"/>
    <w:rsid w:val="001E3125"/>
    <w:rsid w:val="001E32E7"/>
    <w:rsid w:val="001E3349"/>
    <w:rsid w:val="001E394A"/>
    <w:rsid w:val="001E3B50"/>
    <w:rsid w:val="001E3FA1"/>
    <w:rsid w:val="001E4034"/>
    <w:rsid w:val="001E4050"/>
    <w:rsid w:val="001E4074"/>
    <w:rsid w:val="001E40B8"/>
    <w:rsid w:val="001E45B1"/>
    <w:rsid w:val="001E49DF"/>
    <w:rsid w:val="001E5732"/>
    <w:rsid w:val="001E5A83"/>
    <w:rsid w:val="001E5C59"/>
    <w:rsid w:val="001E628B"/>
    <w:rsid w:val="001E64A9"/>
    <w:rsid w:val="001E66EA"/>
    <w:rsid w:val="001E6FA6"/>
    <w:rsid w:val="001E7314"/>
    <w:rsid w:val="001E7A14"/>
    <w:rsid w:val="001F047F"/>
    <w:rsid w:val="001F0555"/>
    <w:rsid w:val="001F0916"/>
    <w:rsid w:val="001F1588"/>
    <w:rsid w:val="001F17FC"/>
    <w:rsid w:val="001F1B1C"/>
    <w:rsid w:val="001F1C0D"/>
    <w:rsid w:val="001F1C52"/>
    <w:rsid w:val="001F1D0B"/>
    <w:rsid w:val="001F1D40"/>
    <w:rsid w:val="001F202C"/>
    <w:rsid w:val="001F2302"/>
    <w:rsid w:val="001F239C"/>
    <w:rsid w:val="001F2513"/>
    <w:rsid w:val="001F279C"/>
    <w:rsid w:val="001F30F1"/>
    <w:rsid w:val="001F3300"/>
    <w:rsid w:val="001F4035"/>
    <w:rsid w:val="001F42EA"/>
    <w:rsid w:val="001F434B"/>
    <w:rsid w:val="001F48A2"/>
    <w:rsid w:val="001F51F7"/>
    <w:rsid w:val="001F5232"/>
    <w:rsid w:val="001F5408"/>
    <w:rsid w:val="001F54ED"/>
    <w:rsid w:val="001F55C9"/>
    <w:rsid w:val="001F574E"/>
    <w:rsid w:val="001F599F"/>
    <w:rsid w:val="001F5BD9"/>
    <w:rsid w:val="001F619F"/>
    <w:rsid w:val="001F64F0"/>
    <w:rsid w:val="001F675F"/>
    <w:rsid w:val="001F6918"/>
    <w:rsid w:val="001F6E26"/>
    <w:rsid w:val="001F6F7A"/>
    <w:rsid w:val="001F7204"/>
    <w:rsid w:val="001F7833"/>
    <w:rsid w:val="002001CE"/>
    <w:rsid w:val="00200B95"/>
    <w:rsid w:val="00200D43"/>
    <w:rsid w:val="00200E38"/>
    <w:rsid w:val="00201434"/>
    <w:rsid w:val="002015C1"/>
    <w:rsid w:val="00201B78"/>
    <w:rsid w:val="00201E54"/>
    <w:rsid w:val="00202070"/>
    <w:rsid w:val="002024AF"/>
    <w:rsid w:val="00202515"/>
    <w:rsid w:val="00202A4B"/>
    <w:rsid w:val="00202D48"/>
    <w:rsid w:val="00203767"/>
    <w:rsid w:val="002038AB"/>
    <w:rsid w:val="00203E9D"/>
    <w:rsid w:val="00203F2F"/>
    <w:rsid w:val="00203FA3"/>
    <w:rsid w:val="00204556"/>
    <w:rsid w:val="0020471B"/>
    <w:rsid w:val="00204A5D"/>
    <w:rsid w:val="00204B62"/>
    <w:rsid w:val="00204C82"/>
    <w:rsid w:val="0020562F"/>
    <w:rsid w:val="00205809"/>
    <w:rsid w:val="00205955"/>
    <w:rsid w:val="00205C42"/>
    <w:rsid w:val="00206508"/>
    <w:rsid w:val="00206984"/>
    <w:rsid w:val="00206B66"/>
    <w:rsid w:val="00206BDB"/>
    <w:rsid w:val="00207518"/>
    <w:rsid w:val="002076E5"/>
    <w:rsid w:val="00207B56"/>
    <w:rsid w:val="00207D67"/>
    <w:rsid w:val="00210563"/>
    <w:rsid w:val="00210735"/>
    <w:rsid w:val="00210978"/>
    <w:rsid w:val="00210994"/>
    <w:rsid w:val="002118FC"/>
    <w:rsid w:val="00211900"/>
    <w:rsid w:val="00211C0A"/>
    <w:rsid w:val="00211CE4"/>
    <w:rsid w:val="00211D2F"/>
    <w:rsid w:val="00211DE5"/>
    <w:rsid w:val="00212B1B"/>
    <w:rsid w:val="00212BD4"/>
    <w:rsid w:val="002131A1"/>
    <w:rsid w:val="00213454"/>
    <w:rsid w:val="002136DC"/>
    <w:rsid w:val="002137A3"/>
    <w:rsid w:val="00213F08"/>
    <w:rsid w:val="002146D4"/>
    <w:rsid w:val="00214C95"/>
    <w:rsid w:val="00214DA3"/>
    <w:rsid w:val="00214DBD"/>
    <w:rsid w:val="0021530B"/>
    <w:rsid w:val="00215503"/>
    <w:rsid w:val="0021667D"/>
    <w:rsid w:val="00216756"/>
    <w:rsid w:val="00216B3D"/>
    <w:rsid w:val="00216BFE"/>
    <w:rsid w:val="00216D28"/>
    <w:rsid w:val="00217048"/>
    <w:rsid w:val="00217C72"/>
    <w:rsid w:val="00217FBC"/>
    <w:rsid w:val="002204A0"/>
    <w:rsid w:val="00220B50"/>
    <w:rsid w:val="00220B83"/>
    <w:rsid w:val="0022126B"/>
    <w:rsid w:val="0022134C"/>
    <w:rsid w:val="00221351"/>
    <w:rsid w:val="00221843"/>
    <w:rsid w:val="00221921"/>
    <w:rsid w:val="00222661"/>
    <w:rsid w:val="002226EC"/>
    <w:rsid w:val="0022273B"/>
    <w:rsid w:val="0022281D"/>
    <w:rsid w:val="0022293F"/>
    <w:rsid w:val="00222A43"/>
    <w:rsid w:val="00222AD4"/>
    <w:rsid w:val="00223AD8"/>
    <w:rsid w:val="00223DBE"/>
    <w:rsid w:val="00223F89"/>
    <w:rsid w:val="002242E0"/>
    <w:rsid w:val="002243A6"/>
    <w:rsid w:val="00224473"/>
    <w:rsid w:val="00224611"/>
    <w:rsid w:val="00224908"/>
    <w:rsid w:val="00224B0B"/>
    <w:rsid w:val="0022500C"/>
    <w:rsid w:val="00225904"/>
    <w:rsid w:val="00225A9F"/>
    <w:rsid w:val="00225EA8"/>
    <w:rsid w:val="0022601E"/>
    <w:rsid w:val="00226211"/>
    <w:rsid w:val="00226B3B"/>
    <w:rsid w:val="00226E00"/>
    <w:rsid w:val="00227C28"/>
    <w:rsid w:val="00230199"/>
    <w:rsid w:val="00230340"/>
    <w:rsid w:val="002308B7"/>
    <w:rsid w:val="0023098F"/>
    <w:rsid w:val="00230B86"/>
    <w:rsid w:val="00230F0D"/>
    <w:rsid w:val="0023154F"/>
    <w:rsid w:val="002316DF"/>
    <w:rsid w:val="002321A8"/>
    <w:rsid w:val="002323AB"/>
    <w:rsid w:val="002324D8"/>
    <w:rsid w:val="00232A24"/>
    <w:rsid w:val="00232AC7"/>
    <w:rsid w:val="00232FCB"/>
    <w:rsid w:val="00232FE9"/>
    <w:rsid w:val="002332E5"/>
    <w:rsid w:val="00233689"/>
    <w:rsid w:val="0023384C"/>
    <w:rsid w:val="00233883"/>
    <w:rsid w:val="002338B3"/>
    <w:rsid w:val="00233A25"/>
    <w:rsid w:val="00233F94"/>
    <w:rsid w:val="002342D3"/>
    <w:rsid w:val="002346B9"/>
    <w:rsid w:val="002348EF"/>
    <w:rsid w:val="002354EE"/>
    <w:rsid w:val="00235733"/>
    <w:rsid w:val="00235900"/>
    <w:rsid w:val="00235ADC"/>
    <w:rsid w:val="00235D51"/>
    <w:rsid w:val="0023670C"/>
    <w:rsid w:val="0023676C"/>
    <w:rsid w:val="00236BDA"/>
    <w:rsid w:val="00236DE4"/>
    <w:rsid w:val="00236DF1"/>
    <w:rsid w:val="00236E81"/>
    <w:rsid w:val="002372EA"/>
    <w:rsid w:val="00237849"/>
    <w:rsid w:val="00237E85"/>
    <w:rsid w:val="00237F3A"/>
    <w:rsid w:val="0024054B"/>
    <w:rsid w:val="002407AA"/>
    <w:rsid w:val="0024091B"/>
    <w:rsid w:val="00240ABD"/>
    <w:rsid w:val="00240F30"/>
    <w:rsid w:val="002410CC"/>
    <w:rsid w:val="00241105"/>
    <w:rsid w:val="00241D98"/>
    <w:rsid w:val="00242119"/>
    <w:rsid w:val="002425D0"/>
    <w:rsid w:val="0024327F"/>
    <w:rsid w:val="0024360E"/>
    <w:rsid w:val="002438DD"/>
    <w:rsid w:val="00243B2C"/>
    <w:rsid w:val="00243BF6"/>
    <w:rsid w:val="00243CC2"/>
    <w:rsid w:val="0024482F"/>
    <w:rsid w:val="002450D9"/>
    <w:rsid w:val="0024514A"/>
    <w:rsid w:val="0024538E"/>
    <w:rsid w:val="0024547C"/>
    <w:rsid w:val="002457A2"/>
    <w:rsid w:val="0024611D"/>
    <w:rsid w:val="002463FB"/>
    <w:rsid w:val="002465C0"/>
    <w:rsid w:val="00246708"/>
    <w:rsid w:val="00246892"/>
    <w:rsid w:val="00247129"/>
    <w:rsid w:val="00247183"/>
    <w:rsid w:val="00247952"/>
    <w:rsid w:val="00250534"/>
    <w:rsid w:val="0025063C"/>
    <w:rsid w:val="00250F6B"/>
    <w:rsid w:val="00251079"/>
    <w:rsid w:val="00251113"/>
    <w:rsid w:val="002514F0"/>
    <w:rsid w:val="0025181A"/>
    <w:rsid w:val="00251CE3"/>
    <w:rsid w:val="00252801"/>
    <w:rsid w:val="002528E3"/>
    <w:rsid w:val="00252971"/>
    <w:rsid w:val="00252AB8"/>
    <w:rsid w:val="00252BA7"/>
    <w:rsid w:val="00252E31"/>
    <w:rsid w:val="002533B6"/>
    <w:rsid w:val="00253522"/>
    <w:rsid w:val="00253841"/>
    <w:rsid w:val="00253940"/>
    <w:rsid w:val="00253A58"/>
    <w:rsid w:val="00253F94"/>
    <w:rsid w:val="00254C97"/>
    <w:rsid w:val="0025562E"/>
    <w:rsid w:val="00255A71"/>
    <w:rsid w:val="00255A91"/>
    <w:rsid w:val="00255EE5"/>
    <w:rsid w:val="00256072"/>
    <w:rsid w:val="002562ED"/>
    <w:rsid w:val="002566B6"/>
    <w:rsid w:val="002566BB"/>
    <w:rsid w:val="002566FC"/>
    <w:rsid w:val="00256ABA"/>
    <w:rsid w:val="00256DAF"/>
    <w:rsid w:val="00256EFF"/>
    <w:rsid w:val="00257020"/>
    <w:rsid w:val="002571EB"/>
    <w:rsid w:val="002575D1"/>
    <w:rsid w:val="00257C2D"/>
    <w:rsid w:val="00257E6D"/>
    <w:rsid w:val="002607FB"/>
    <w:rsid w:val="00260DA5"/>
    <w:rsid w:val="00260E17"/>
    <w:rsid w:val="00261CDA"/>
    <w:rsid w:val="00261D54"/>
    <w:rsid w:val="0026219D"/>
    <w:rsid w:val="00262669"/>
    <w:rsid w:val="00262B56"/>
    <w:rsid w:val="00262C51"/>
    <w:rsid w:val="00263635"/>
    <w:rsid w:val="0026374D"/>
    <w:rsid w:val="002638E9"/>
    <w:rsid w:val="00263A75"/>
    <w:rsid w:val="00263B46"/>
    <w:rsid w:val="00263FE5"/>
    <w:rsid w:val="00264ABB"/>
    <w:rsid w:val="00264B79"/>
    <w:rsid w:val="00265211"/>
    <w:rsid w:val="0026533E"/>
    <w:rsid w:val="00265B73"/>
    <w:rsid w:val="00265C38"/>
    <w:rsid w:val="00265C9C"/>
    <w:rsid w:val="00265DCA"/>
    <w:rsid w:val="00265E7D"/>
    <w:rsid w:val="00266D14"/>
    <w:rsid w:val="00266DBC"/>
    <w:rsid w:val="002672E0"/>
    <w:rsid w:val="002673A6"/>
    <w:rsid w:val="002673B5"/>
    <w:rsid w:val="00267B50"/>
    <w:rsid w:val="00270196"/>
    <w:rsid w:val="0027030C"/>
    <w:rsid w:val="00270581"/>
    <w:rsid w:val="00270AAD"/>
    <w:rsid w:val="00270D7F"/>
    <w:rsid w:val="00270E5E"/>
    <w:rsid w:val="00270E60"/>
    <w:rsid w:val="00270F01"/>
    <w:rsid w:val="002711E0"/>
    <w:rsid w:val="0027151C"/>
    <w:rsid w:val="00271530"/>
    <w:rsid w:val="00271643"/>
    <w:rsid w:val="00271BEC"/>
    <w:rsid w:val="00271C9A"/>
    <w:rsid w:val="00271D9B"/>
    <w:rsid w:val="00272654"/>
    <w:rsid w:val="00272AE0"/>
    <w:rsid w:val="00272ED2"/>
    <w:rsid w:val="00272FBD"/>
    <w:rsid w:val="0027337E"/>
    <w:rsid w:val="00273DBE"/>
    <w:rsid w:val="002741F1"/>
    <w:rsid w:val="00274262"/>
    <w:rsid w:val="00274572"/>
    <w:rsid w:val="00274E04"/>
    <w:rsid w:val="0027579C"/>
    <w:rsid w:val="0027583B"/>
    <w:rsid w:val="00275887"/>
    <w:rsid w:val="00275AB6"/>
    <w:rsid w:val="00275B35"/>
    <w:rsid w:val="0027608A"/>
    <w:rsid w:val="00276558"/>
    <w:rsid w:val="0027667D"/>
    <w:rsid w:val="00276C07"/>
    <w:rsid w:val="00276DB7"/>
    <w:rsid w:val="00276E10"/>
    <w:rsid w:val="002772AF"/>
    <w:rsid w:val="002773C9"/>
    <w:rsid w:val="002773D8"/>
    <w:rsid w:val="0027743A"/>
    <w:rsid w:val="00280421"/>
    <w:rsid w:val="002806CD"/>
    <w:rsid w:val="0028072A"/>
    <w:rsid w:val="00280B15"/>
    <w:rsid w:val="00280E92"/>
    <w:rsid w:val="00281550"/>
    <w:rsid w:val="0028176C"/>
    <w:rsid w:val="002824B8"/>
    <w:rsid w:val="002825B9"/>
    <w:rsid w:val="002834F0"/>
    <w:rsid w:val="002835EC"/>
    <w:rsid w:val="00283A3F"/>
    <w:rsid w:val="00283D0E"/>
    <w:rsid w:val="00283E5C"/>
    <w:rsid w:val="0028428C"/>
    <w:rsid w:val="002852EE"/>
    <w:rsid w:val="00285336"/>
    <w:rsid w:val="00285836"/>
    <w:rsid w:val="00285897"/>
    <w:rsid w:val="00285DA7"/>
    <w:rsid w:val="00286074"/>
    <w:rsid w:val="00286A2C"/>
    <w:rsid w:val="00286F5C"/>
    <w:rsid w:val="002878B8"/>
    <w:rsid w:val="00287901"/>
    <w:rsid w:val="00287936"/>
    <w:rsid w:val="00287B5E"/>
    <w:rsid w:val="00287B9A"/>
    <w:rsid w:val="00287BB7"/>
    <w:rsid w:val="00287BE9"/>
    <w:rsid w:val="0029003E"/>
    <w:rsid w:val="00290123"/>
    <w:rsid w:val="002909B0"/>
    <w:rsid w:val="00290B16"/>
    <w:rsid w:val="00290DA2"/>
    <w:rsid w:val="00290EC5"/>
    <w:rsid w:val="00290F8D"/>
    <w:rsid w:val="00291564"/>
    <w:rsid w:val="00291D2D"/>
    <w:rsid w:val="00292041"/>
    <w:rsid w:val="002920E5"/>
    <w:rsid w:val="0029227D"/>
    <w:rsid w:val="00292F18"/>
    <w:rsid w:val="0029336A"/>
    <w:rsid w:val="00293BC5"/>
    <w:rsid w:val="0029401C"/>
    <w:rsid w:val="00294720"/>
    <w:rsid w:val="00294E3E"/>
    <w:rsid w:val="0029536A"/>
    <w:rsid w:val="002953C6"/>
    <w:rsid w:val="0029578B"/>
    <w:rsid w:val="002959CD"/>
    <w:rsid w:val="00295B9E"/>
    <w:rsid w:val="00295CDF"/>
    <w:rsid w:val="002960B4"/>
    <w:rsid w:val="0029656D"/>
    <w:rsid w:val="00296752"/>
    <w:rsid w:val="00296834"/>
    <w:rsid w:val="00296916"/>
    <w:rsid w:val="00296AE8"/>
    <w:rsid w:val="00296D3F"/>
    <w:rsid w:val="00296D50"/>
    <w:rsid w:val="00296E1E"/>
    <w:rsid w:val="00297250"/>
    <w:rsid w:val="00297360"/>
    <w:rsid w:val="0029788B"/>
    <w:rsid w:val="00297BED"/>
    <w:rsid w:val="00297E9C"/>
    <w:rsid w:val="002A058F"/>
    <w:rsid w:val="002A063D"/>
    <w:rsid w:val="002A07D8"/>
    <w:rsid w:val="002A0B97"/>
    <w:rsid w:val="002A115B"/>
    <w:rsid w:val="002A1160"/>
    <w:rsid w:val="002A186E"/>
    <w:rsid w:val="002A1B1F"/>
    <w:rsid w:val="002A1BC0"/>
    <w:rsid w:val="002A1C31"/>
    <w:rsid w:val="002A23A8"/>
    <w:rsid w:val="002A2D64"/>
    <w:rsid w:val="002A2FC9"/>
    <w:rsid w:val="002A315B"/>
    <w:rsid w:val="002A3225"/>
    <w:rsid w:val="002A343B"/>
    <w:rsid w:val="002A3540"/>
    <w:rsid w:val="002A35EA"/>
    <w:rsid w:val="002A37C0"/>
    <w:rsid w:val="002A3A1D"/>
    <w:rsid w:val="002A3B0B"/>
    <w:rsid w:val="002A3FD9"/>
    <w:rsid w:val="002A402D"/>
    <w:rsid w:val="002A4437"/>
    <w:rsid w:val="002A48DC"/>
    <w:rsid w:val="002A5D19"/>
    <w:rsid w:val="002A6001"/>
    <w:rsid w:val="002A686C"/>
    <w:rsid w:val="002A6C99"/>
    <w:rsid w:val="002A6D16"/>
    <w:rsid w:val="002A6D47"/>
    <w:rsid w:val="002A6FB1"/>
    <w:rsid w:val="002A71E7"/>
    <w:rsid w:val="002A772B"/>
    <w:rsid w:val="002A7C29"/>
    <w:rsid w:val="002A7D3B"/>
    <w:rsid w:val="002A7F61"/>
    <w:rsid w:val="002B048F"/>
    <w:rsid w:val="002B0758"/>
    <w:rsid w:val="002B0E60"/>
    <w:rsid w:val="002B149E"/>
    <w:rsid w:val="002B1824"/>
    <w:rsid w:val="002B1A92"/>
    <w:rsid w:val="002B1EB8"/>
    <w:rsid w:val="002B1F57"/>
    <w:rsid w:val="002B26F5"/>
    <w:rsid w:val="002B29B7"/>
    <w:rsid w:val="002B2ADB"/>
    <w:rsid w:val="002B34C5"/>
    <w:rsid w:val="002B34EE"/>
    <w:rsid w:val="002B366B"/>
    <w:rsid w:val="002B471F"/>
    <w:rsid w:val="002B497E"/>
    <w:rsid w:val="002B4990"/>
    <w:rsid w:val="002B501F"/>
    <w:rsid w:val="002B5178"/>
    <w:rsid w:val="002B560B"/>
    <w:rsid w:val="002B5660"/>
    <w:rsid w:val="002B5889"/>
    <w:rsid w:val="002B59C4"/>
    <w:rsid w:val="002B5E7F"/>
    <w:rsid w:val="002B6564"/>
    <w:rsid w:val="002B6721"/>
    <w:rsid w:val="002B68C1"/>
    <w:rsid w:val="002B6CBD"/>
    <w:rsid w:val="002B6DC4"/>
    <w:rsid w:val="002C0272"/>
    <w:rsid w:val="002C07C9"/>
    <w:rsid w:val="002C0A7C"/>
    <w:rsid w:val="002C0D0D"/>
    <w:rsid w:val="002C1141"/>
    <w:rsid w:val="002C126A"/>
    <w:rsid w:val="002C13FB"/>
    <w:rsid w:val="002C1A02"/>
    <w:rsid w:val="002C1E77"/>
    <w:rsid w:val="002C2010"/>
    <w:rsid w:val="002C29ED"/>
    <w:rsid w:val="002C2A51"/>
    <w:rsid w:val="002C2BBE"/>
    <w:rsid w:val="002C2C4F"/>
    <w:rsid w:val="002C2CCC"/>
    <w:rsid w:val="002C2E36"/>
    <w:rsid w:val="002C361F"/>
    <w:rsid w:val="002C3809"/>
    <w:rsid w:val="002C3A4A"/>
    <w:rsid w:val="002C4017"/>
    <w:rsid w:val="002C4110"/>
    <w:rsid w:val="002C4510"/>
    <w:rsid w:val="002C4650"/>
    <w:rsid w:val="002C54E0"/>
    <w:rsid w:val="002C595A"/>
    <w:rsid w:val="002C5A1B"/>
    <w:rsid w:val="002C5F7D"/>
    <w:rsid w:val="002C689B"/>
    <w:rsid w:val="002C72DF"/>
    <w:rsid w:val="002C7487"/>
    <w:rsid w:val="002C7543"/>
    <w:rsid w:val="002C758F"/>
    <w:rsid w:val="002C77DD"/>
    <w:rsid w:val="002C7981"/>
    <w:rsid w:val="002C7DEC"/>
    <w:rsid w:val="002D0179"/>
    <w:rsid w:val="002D040C"/>
    <w:rsid w:val="002D044F"/>
    <w:rsid w:val="002D1506"/>
    <w:rsid w:val="002D168A"/>
    <w:rsid w:val="002D17C6"/>
    <w:rsid w:val="002D1A87"/>
    <w:rsid w:val="002D1BF3"/>
    <w:rsid w:val="002D1D73"/>
    <w:rsid w:val="002D20BD"/>
    <w:rsid w:val="002D244D"/>
    <w:rsid w:val="002D29FD"/>
    <w:rsid w:val="002D2EE9"/>
    <w:rsid w:val="002D2F09"/>
    <w:rsid w:val="002D35CA"/>
    <w:rsid w:val="002D3AC8"/>
    <w:rsid w:val="002D3CF7"/>
    <w:rsid w:val="002D3DEB"/>
    <w:rsid w:val="002D3E25"/>
    <w:rsid w:val="002D3ED6"/>
    <w:rsid w:val="002D54AD"/>
    <w:rsid w:val="002D55B7"/>
    <w:rsid w:val="002D57BC"/>
    <w:rsid w:val="002D610E"/>
    <w:rsid w:val="002D673D"/>
    <w:rsid w:val="002D6C66"/>
    <w:rsid w:val="002D7124"/>
    <w:rsid w:val="002D7CD1"/>
    <w:rsid w:val="002E0283"/>
    <w:rsid w:val="002E043E"/>
    <w:rsid w:val="002E0672"/>
    <w:rsid w:val="002E1052"/>
    <w:rsid w:val="002E152E"/>
    <w:rsid w:val="002E1D8B"/>
    <w:rsid w:val="002E2810"/>
    <w:rsid w:val="002E2B7F"/>
    <w:rsid w:val="002E2CC6"/>
    <w:rsid w:val="002E2DED"/>
    <w:rsid w:val="002E2F24"/>
    <w:rsid w:val="002E357C"/>
    <w:rsid w:val="002E3B36"/>
    <w:rsid w:val="002E3E71"/>
    <w:rsid w:val="002E47B7"/>
    <w:rsid w:val="002E4D01"/>
    <w:rsid w:val="002E53BF"/>
    <w:rsid w:val="002E5A95"/>
    <w:rsid w:val="002E5D3C"/>
    <w:rsid w:val="002E641A"/>
    <w:rsid w:val="002E678D"/>
    <w:rsid w:val="002E68C2"/>
    <w:rsid w:val="002E6ECE"/>
    <w:rsid w:val="002E6FBF"/>
    <w:rsid w:val="002E71A7"/>
    <w:rsid w:val="002E7442"/>
    <w:rsid w:val="002E770E"/>
    <w:rsid w:val="002E7CEE"/>
    <w:rsid w:val="002F0997"/>
    <w:rsid w:val="002F0D74"/>
    <w:rsid w:val="002F0E20"/>
    <w:rsid w:val="002F1D11"/>
    <w:rsid w:val="002F1E48"/>
    <w:rsid w:val="002F1EEE"/>
    <w:rsid w:val="002F3000"/>
    <w:rsid w:val="002F3508"/>
    <w:rsid w:val="002F3AD5"/>
    <w:rsid w:val="002F3BBC"/>
    <w:rsid w:val="002F3C95"/>
    <w:rsid w:val="002F422B"/>
    <w:rsid w:val="002F4440"/>
    <w:rsid w:val="002F4755"/>
    <w:rsid w:val="002F4E71"/>
    <w:rsid w:val="002F53E1"/>
    <w:rsid w:val="002F5441"/>
    <w:rsid w:val="002F5A72"/>
    <w:rsid w:val="002F5FDE"/>
    <w:rsid w:val="002F6AA9"/>
    <w:rsid w:val="002F6B06"/>
    <w:rsid w:val="002F6DD1"/>
    <w:rsid w:val="002F6FDE"/>
    <w:rsid w:val="002F7164"/>
    <w:rsid w:val="002F7171"/>
    <w:rsid w:val="002F7C5A"/>
    <w:rsid w:val="002F7E63"/>
    <w:rsid w:val="00300550"/>
    <w:rsid w:val="0030073D"/>
    <w:rsid w:val="00300C6F"/>
    <w:rsid w:val="00300CBD"/>
    <w:rsid w:val="00301939"/>
    <w:rsid w:val="00301D4D"/>
    <w:rsid w:val="00301F0D"/>
    <w:rsid w:val="00301FB1"/>
    <w:rsid w:val="00302675"/>
    <w:rsid w:val="00302B7F"/>
    <w:rsid w:val="00303187"/>
    <w:rsid w:val="00303453"/>
    <w:rsid w:val="00303D29"/>
    <w:rsid w:val="00303EF3"/>
    <w:rsid w:val="0030479F"/>
    <w:rsid w:val="00304F51"/>
    <w:rsid w:val="003051F0"/>
    <w:rsid w:val="00305205"/>
    <w:rsid w:val="003052E6"/>
    <w:rsid w:val="0030589C"/>
    <w:rsid w:val="00305905"/>
    <w:rsid w:val="003061D9"/>
    <w:rsid w:val="003061E5"/>
    <w:rsid w:val="0030648A"/>
    <w:rsid w:val="003064E7"/>
    <w:rsid w:val="0030656B"/>
    <w:rsid w:val="003067D0"/>
    <w:rsid w:val="00306A29"/>
    <w:rsid w:val="00306B7B"/>
    <w:rsid w:val="00306DCE"/>
    <w:rsid w:val="003071B1"/>
    <w:rsid w:val="0030775C"/>
    <w:rsid w:val="0030799F"/>
    <w:rsid w:val="00307B52"/>
    <w:rsid w:val="00307C1D"/>
    <w:rsid w:val="0031013B"/>
    <w:rsid w:val="003104B2"/>
    <w:rsid w:val="003105A8"/>
    <w:rsid w:val="00310779"/>
    <w:rsid w:val="0031147D"/>
    <w:rsid w:val="00311547"/>
    <w:rsid w:val="003115C0"/>
    <w:rsid w:val="00311627"/>
    <w:rsid w:val="00311727"/>
    <w:rsid w:val="00312063"/>
    <w:rsid w:val="00312289"/>
    <w:rsid w:val="003124A7"/>
    <w:rsid w:val="003124FB"/>
    <w:rsid w:val="00312A85"/>
    <w:rsid w:val="00312C5B"/>
    <w:rsid w:val="003131A5"/>
    <w:rsid w:val="00313586"/>
    <w:rsid w:val="00313E8F"/>
    <w:rsid w:val="00313EC4"/>
    <w:rsid w:val="00314315"/>
    <w:rsid w:val="0031459E"/>
    <w:rsid w:val="00314B5A"/>
    <w:rsid w:val="00314BBA"/>
    <w:rsid w:val="00314DCF"/>
    <w:rsid w:val="00314DDC"/>
    <w:rsid w:val="0031538C"/>
    <w:rsid w:val="003154BF"/>
    <w:rsid w:val="0031553D"/>
    <w:rsid w:val="003155C9"/>
    <w:rsid w:val="003156C5"/>
    <w:rsid w:val="00315816"/>
    <w:rsid w:val="00315829"/>
    <w:rsid w:val="00315B2F"/>
    <w:rsid w:val="00315B5F"/>
    <w:rsid w:val="00315DA7"/>
    <w:rsid w:val="00315F5E"/>
    <w:rsid w:val="003162BF"/>
    <w:rsid w:val="00316489"/>
    <w:rsid w:val="003166F9"/>
    <w:rsid w:val="00316755"/>
    <w:rsid w:val="00316B1C"/>
    <w:rsid w:val="00316C36"/>
    <w:rsid w:val="00316CB6"/>
    <w:rsid w:val="00317033"/>
    <w:rsid w:val="00317722"/>
    <w:rsid w:val="00317737"/>
    <w:rsid w:val="00317A2C"/>
    <w:rsid w:val="00317A73"/>
    <w:rsid w:val="00317E49"/>
    <w:rsid w:val="00320425"/>
    <w:rsid w:val="0032049B"/>
    <w:rsid w:val="0032074B"/>
    <w:rsid w:val="00320ECA"/>
    <w:rsid w:val="003210D0"/>
    <w:rsid w:val="003216E9"/>
    <w:rsid w:val="00321BD6"/>
    <w:rsid w:val="003223BE"/>
    <w:rsid w:val="00322A45"/>
    <w:rsid w:val="00322D9C"/>
    <w:rsid w:val="003230E6"/>
    <w:rsid w:val="00323872"/>
    <w:rsid w:val="00324502"/>
    <w:rsid w:val="00324CD3"/>
    <w:rsid w:val="00324D7D"/>
    <w:rsid w:val="00324F59"/>
    <w:rsid w:val="00324FAB"/>
    <w:rsid w:val="00325276"/>
    <w:rsid w:val="0032543A"/>
    <w:rsid w:val="00325549"/>
    <w:rsid w:val="00325879"/>
    <w:rsid w:val="003263C3"/>
    <w:rsid w:val="003263C4"/>
    <w:rsid w:val="0032659D"/>
    <w:rsid w:val="00326C48"/>
    <w:rsid w:val="003274FC"/>
    <w:rsid w:val="0033025A"/>
    <w:rsid w:val="00330382"/>
    <w:rsid w:val="00330A00"/>
    <w:rsid w:val="00330AAD"/>
    <w:rsid w:val="003310A6"/>
    <w:rsid w:val="00331216"/>
    <w:rsid w:val="00331FD9"/>
    <w:rsid w:val="003321FE"/>
    <w:rsid w:val="003322FC"/>
    <w:rsid w:val="003326B3"/>
    <w:rsid w:val="003329DD"/>
    <w:rsid w:val="00332E58"/>
    <w:rsid w:val="0033314F"/>
    <w:rsid w:val="00333423"/>
    <w:rsid w:val="003336ED"/>
    <w:rsid w:val="0033441C"/>
    <w:rsid w:val="00334549"/>
    <w:rsid w:val="00334F93"/>
    <w:rsid w:val="003350EA"/>
    <w:rsid w:val="003354FE"/>
    <w:rsid w:val="003356D7"/>
    <w:rsid w:val="0033600A"/>
    <w:rsid w:val="00336498"/>
    <w:rsid w:val="003364FC"/>
    <w:rsid w:val="0033663C"/>
    <w:rsid w:val="00336A52"/>
    <w:rsid w:val="00336C6F"/>
    <w:rsid w:val="0033704E"/>
    <w:rsid w:val="00337BB4"/>
    <w:rsid w:val="00337FCD"/>
    <w:rsid w:val="003402AD"/>
    <w:rsid w:val="003403BF"/>
    <w:rsid w:val="00340830"/>
    <w:rsid w:val="00340B4F"/>
    <w:rsid w:val="00340C6D"/>
    <w:rsid w:val="003410A5"/>
    <w:rsid w:val="0034123C"/>
    <w:rsid w:val="0034184C"/>
    <w:rsid w:val="0034195B"/>
    <w:rsid w:val="00341B07"/>
    <w:rsid w:val="00341E58"/>
    <w:rsid w:val="0034208C"/>
    <w:rsid w:val="00342DC0"/>
    <w:rsid w:val="00342F99"/>
    <w:rsid w:val="00343028"/>
    <w:rsid w:val="0034315D"/>
    <w:rsid w:val="00343387"/>
    <w:rsid w:val="0034338D"/>
    <w:rsid w:val="0034341A"/>
    <w:rsid w:val="003434B3"/>
    <w:rsid w:val="003435A3"/>
    <w:rsid w:val="003435FB"/>
    <w:rsid w:val="003436B4"/>
    <w:rsid w:val="00343785"/>
    <w:rsid w:val="00343AFF"/>
    <w:rsid w:val="00343CF0"/>
    <w:rsid w:val="0034462A"/>
    <w:rsid w:val="003447C0"/>
    <w:rsid w:val="00344B7E"/>
    <w:rsid w:val="003450ED"/>
    <w:rsid w:val="00345514"/>
    <w:rsid w:val="00345F89"/>
    <w:rsid w:val="0034668F"/>
    <w:rsid w:val="00346985"/>
    <w:rsid w:val="00346D00"/>
    <w:rsid w:val="00346EBD"/>
    <w:rsid w:val="0034728F"/>
    <w:rsid w:val="00347827"/>
    <w:rsid w:val="003479CE"/>
    <w:rsid w:val="00350191"/>
    <w:rsid w:val="003503CB"/>
    <w:rsid w:val="00350ED6"/>
    <w:rsid w:val="003511F3"/>
    <w:rsid w:val="003519EA"/>
    <w:rsid w:val="00351BAC"/>
    <w:rsid w:val="0035221E"/>
    <w:rsid w:val="00352292"/>
    <w:rsid w:val="0035257B"/>
    <w:rsid w:val="00352898"/>
    <w:rsid w:val="00352D67"/>
    <w:rsid w:val="00352D9C"/>
    <w:rsid w:val="003532A6"/>
    <w:rsid w:val="003533A3"/>
    <w:rsid w:val="00353722"/>
    <w:rsid w:val="0035424B"/>
    <w:rsid w:val="003547A9"/>
    <w:rsid w:val="0035484A"/>
    <w:rsid w:val="0035488E"/>
    <w:rsid w:val="00354FA0"/>
    <w:rsid w:val="00355682"/>
    <w:rsid w:val="00355771"/>
    <w:rsid w:val="00355928"/>
    <w:rsid w:val="00356112"/>
    <w:rsid w:val="00356988"/>
    <w:rsid w:val="00356CCD"/>
    <w:rsid w:val="00357103"/>
    <w:rsid w:val="00357241"/>
    <w:rsid w:val="00357382"/>
    <w:rsid w:val="00357994"/>
    <w:rsid w:val="00357B02"/>
    <w:rsid w:val="00357F53"/>
    <w:rsid w:val="00360004"/>
    <w:rsid w:val="003600D0"/>
    <w:rsid w:val="0036079B"/>
    <w:rsid w:val="00360AA3"/>
    <w:rsid w:val="00360E74"/>
    <w:rsid w:val="003613B0"/>
    <w:rsid w:val="003617B0"/>
    <w:rsid w:val="003618FB"/>
    <w:rsid w:val="00361AB1"/>
    <w:rsid w:val="00361BE0"/>
    <w:rsid w:val="00361C0B"/>
    <w:rsid w:val="00361C87"/>
    <w:rsid w:val="003620D0"/>
    <w:rsid w:val="00362312"/>
    <w:rsid w:val="0036265C"/>
    <w:rsid w:val="00362BAF"/>
    <w:rsid w:val="00362DF0"/>
    <w:rsid w:val="00362ECA"/>
    <w:rsid w:val="00363595"/>
    <w:rsid w:val="00363E03"/>
    <w:rsid w:val="00363E3E"/>
    <w:rsid w:val="00363EDB"/>
    <w:rsid w:val="0036465C"/>
    <w:rsid w:val="003651AE"/>
    <w:rsid w:val="00365459"/>
    <w:rsid w:val="00365ACC"/>
    <w:rsid w:val="00365B9E"/>
    <w:rsid w:val="00365CAD"/>
    <w:rsid w:val="003663B2"/>
    <w:rsid w:val="003666A0"/>
    <w:rsid w:val="00366A52"/>
    <w:rsid w:val="00366BCB"/>
    <w:rsid w:val="00366DF2"/>
    <w:rsid w:val="00366E51"/>
    <w:rsid w:val="0036717F"/>
    <w:rsid w:val="00367570"/>
    <w:rsid w:val="00367A1A"/>
    <w:rsid w:val="00367D2F"/>
    <w:rsid w:val="0037017D"/>
    <w:rsid w:val="00370580"/>
    <w:rsid w:val="00370EBC"/>
    <w:rsid w:val="003726AF"/>
    <w:rsid w:val="00372827"/>
    <w:rsid w:val="00372DD7"/>
    <w:rsid w:val="0037312A"/>
    <w:rsid w:val="003738E9"/>
    <w:rsid w:val="00373DF8"/>
    <w:rsid w:val="00374056"/>
    <w:rsid w:val="0037441B"/>
    <w:rsid w:val="00374E98"/>
    <w:rsid w:val="003750F7"/>
    <w:rsid w:val="003759F2"/>
    <w:rsid w:val="0037600F"/>
    <w:rsid w:val="00376AFC"/>
    <w:rsid w:val="00376F74"/>
    <w:rsid w:val="00377098"/>
    <w:rsid w:val="003770B9"/>
    <w:rsid w:val="0037734C"/>
    <w:rsid w:val="0037739F"/>
    <w:rsid w:val="00377509"/>
    <w:rsid w:val="00377BFE"/>
    <w:rsid w:val="00377D42"/>
    <w:rsid w:val="00377FF6"/>
    <w:rsid w:val="00380139"/>
    <w:rsid w:val="00380280"/>
    <w:rsid w:val="00380348"/>
    <w:rsid w:val="003806B8"/>
    <w:rsid w:val="0038095A"/>
    <w:rsid w:val="00380A81"/>
    <w:rsid w:val="00381944"/>
    <w:rsid w:val="00381ADB"/>
    <w:rsid w:val="00381AEC"/>
    <w:rsid w:val="00381C98"/>
    <w:rsid w:val="00381CB1"/>
    <w:rsid w:val="003826BE"/>
    <w:rsid w:val="00382873"/>
    <w:rsid w:val="00383026"/>
    <w:rsid w:val="003830A5"/>
    <w:rsid w:val="00383171"/>
    <w:rsid w:val="00383B3F"/>
    <w:rsid w:val="003846AF"/>
    <w:rsid w:val="003848AA"/>
    <w:rsid w:val="0038589B"/>
    <w:rsid w:val="00385DC1"/>
    <w:rsid w:val="00385F03"/>
    <w:rsid w:val="00386693"/>
    <w:rsid w:val="0038674E"/>
    <w:rsid w:val="003869AB"/>
    <w:rsid w:val="00386B3C"/>
    <w:rsid w:val="00386ED6"/>
    <w:rsid w:val="003871BA"/>
    <w:rsid w:val="0038725A"/>
    <w:rsid w:val="00387502"/>
    <w:rsid w:val="00387A4E"/>
    <w:rsid w:val="00387D39"/>
    <w:rsid w:val="00390090"/>
    <w:rsid w:val="0039031A"/>
    <w:rsid w:val="0039069B"/>
    <w:rsid w:val="0039085B"/>
    <w:rsid w:val="00390F55"/>
    <w:rsid w:val="00391247"/>
    <w:rsid w:val="003912C4"/>
    <w:rsid w:val="003913C7"/>
    <w:rsid w:val="00391C6D"/>
    <w:rsid w:val="00391CF1"/>
    <w:rsid w:val="003921B2"/>
    <w:rsid w:val="00392DF4"/>
    <w:rsid w:val="003934A7"/>
    <w:rsid w:val="00393532"/>
    <w:rsid w:val="00393568"/>
    <w:rsid w:val="003937FE"/>
    <w:rsid w:val="00393C90"/>
    <w:rsid w:val="00393D2D"/>
    <w:rsid w:val="00393DDB"/>
    <w:rsid w:val="00393F6E"/>
    <w:rsid w:val="00394BC6"/>
    <w:rsid w:val="00395013"/>
    <w:rsid w:val="00395180"/>
    <w:rsid w:val="00395499"/>
    <w:rsid w:val="003957D4"/>
    <w:rsid w:val="00395AA6"/>
    <w:rsid w:val="0039686B"/>
    <w:rsid w:val="0039691F"/>
    <w:rsid w:val="00396AB3"/>
    <w:rsid w:val="00396EB7"/>
    <w:rsid w:val="00397252"/>
    <w:rsid w:val="0039734F"/>
    <w:rsid w:val="00397A3E"/>
    <w:rsid w:val="00397AEB"/>
    <w:rsid w:val="00397DDC"/>
    <w:rsid w:val="003A00DD"/>
    <w:rsid w:val="003A05EF"/>
    <w:rsid w:val="003A0A4E"/>
    <w:rsid w:val="003A1244"/>
    <w:rsid w:val="003A15D5"/>
    <w:rsid w:val="003A15F6"/>
    <w:rsid w:val="003A1880"/>
    <w:rsid w:val="003A1B4E"/>
    <w:rsid w:val="003A1BC9"/>
    <w:rsid w:val="003A1BE2"/>
    <w:rsid w:val="003A1C4D"/>
    <w:rsid w:val="003A1FF3"/>
    <w:rsid w:val="003A247D"/>
    <w:rsid w:val="003A25ED"/>
    <w:rsid w:val="003A33A7"/>
    <w:rsid w:val="003A3661"/>
    <w:rsid w:val="003A36BC"/>
    <w:rsid w:val="003A3C8F"/>
    <w:rsid w:val="003A3E42"/>
    <w:rsid w:val="003A3EE7"/>
    <w:rsid w:val="003A494B"/>
    <w:rsid w:val="003A4E42"/>
    <w:rsid w:val="003A4E72"/>
    <w:rsid w:val="003A4EC5"/>
    <w:rsid w:val="003A50D1"/>
    <w:rsid w:val="003A5685"/>
    <w:rsid w:val="003A575F"/>
    <w:rsid w:val="003A589F"/>
    <w:rsid w:val="003A58ED"/>
    <w:rsid w:val="003A5C4D"/>
    <w:rsid w:val="003A617C"/>
    <w:rsid w:val="003A6847"/>
    <w:rsid w:val="003A6A87"/>
    <w:rsid w:val="003A74BF"/>
    <w:rsid w:val="003A767E"/>
    <w:rsid w:val="003A7F3B"/>
    <w:rsid w:val="003B0167"/>
    <w:rsid w:val="003B01A7"/>
    <w:rsid w:val="003B04F9"/>
    <w:rsid w:val="003B0834"/>
    <w:rsid w:val="003B0A8D"/>
    <w:rsid w:val="003B14AD"/>
    <w:rsid w:val="003B1604"/>
    <w:rsid w:val="003B19D0"/>
    <w:rsid w:val="003B1AC1"/>
    <w:rsid w:val="003B1E72"/>
    <w:rsid w:val="003B24BC"/>
    <w:rsid w:val="003B255B"/>
    <w:rsid w:val="003B25B0"/>
    <w:rsid w:val="003B2702"/>
    <w:rsid w:val="003B2820"/>
    <w:rsid w:val="003B2BA5"/>
    <w:rsid w:val="003B3B26"/>
    <w:rsid w:val="003B4834"/>
    <w:rsid w:val="003B5460"/>
    <w:rsid w:val="003B5865"/>
    <w:rsid w:val="003B5B98"/>
    <w:rsid w:val="003B5FFD"/>
    <w:rsid w:val="003B60DD"/>
    <w:rsid w:val="003B6251"/>
    <w:rsid w:val="003B644A"/>
    <w:rsid w:val="003B652F"/>
    <w:rsid w:val="003B6862"/>
    <w:rsid w:val="003B749E"/>
    <w:rsid w:val="003B75C5"/>
    <w:rsid w:val="003B785F"/>
    <w:rsid w:val="003C0431"/>
    <w:rsid w:val="003C07EA"/>
    <w:rsid w:val="003C0B57"/>
    <w:rsid w:val="003C0F0C"/>
    <w:rsid w:val="003C0FE1"/>
    <w:rsid w:val="003C113C"/>
    <w:rsid w:val="003C135D"/>
    <w:rsid w:val="003C150F"/>
    <w:rsid w:val="003C1625"/>
    <w:rsid w:val="003C2738"/>
    <w:rsid w:val="003C27E4"/>
    <w:rsid w:val="003C382B"/>
    <w:rsid w:val="003C3C8A"/>
    <w:rsid w:val="003C4199"/>
    <w:rsid w:val="003C42D8"/>
    <w:rsid w:val="003C4422"/>
    <w:rsid w:val="003C4E1D"/>
    <w:rsid w:val="003C5444"/>
    <w:rsid w:val="003C5BD0"/>
    <w:rsid w:val="003C5EBE"/>
    <w:rsid w:val="003C5F2C"/>
    <w:rsid w:val="003C5F3B"/>
    <w:rsid w:val="003C609C"/>
    <w:rsid w:val="003C63A9"/>
    <w:rsid w:val="003C697F"/>
    <w:rsid w:val="003C6A3E"/>
    <w:rsid w:val="003C6D9A"/>
    <w:rsid w:val="003C7747"/>
    <w:rsid w:val="003C7841"/>
    <w:rsid w:val="003C7A0A"/>
    <w:rsid w:val="003C7C7B"/>
    <w:rsid w:val="003D027A"/>
    <w:rsid w:val="003D0879"/>
    <w:rsid w:val="003D0F57"/>
    <w:rsid w:val="003D10E2"/>
    <w:rsid w:val="003D14C7"/>
    <w:rsid w:val="003D175E"/>
    <w:rsid w:val="003D1B10"/>
    <w:rsid w:val="003D2034"/>
    <w:rsid w:val="003D2251"/>
    <w:rsid w:val="003D233A"/>
    <w:rsid w:val="003D2377"/>
    <w:rsid w:val="003D24BE"/>
    <w:rsid w:val="003D2888"/>
    <w:rsid w:val="003D29D6"/>
    <w:rsid w:val="003D31B5"/>
    <w:rsid w:val="003D338D"/>
    <w:rsid w:val="003D343D"/>
    <w:rsid w:val="003D45C9"/>
    <w:rsid w:val="003D47E4"/>
    <w:rsid w:val="003D4E76"/>
    <w:rsid w:val="003D51F5"/>
    <w:rsid w:val="003D59AF"/>
    <w:rsid w:val="003D5AB9"/>
    <w:rsid w:val="003D69EC"/>
    <w:rsid w:val="003D6CCC"/>
    <w:rsid w:val="003D7286"/>
    <w:rsid w:val="003E01AD"/>
    <w:rsid w:val="003E0AA8"/>
    <w:rsid w:val="003E0F26"/>
    <w:rsid w:val="003E10F4"/>
    <w:rsid w:val="003E1413"/>
    <w:rsid w:val="003E1527"/>
    <w:rsid w:val="003E160E"/>
    <w:rsid w:val="003E1D4E"/>
    <w:rsid w:val="003E1E2D"/>
    <w:rsid w:val="003E2226"/>
    <w:rsid w:val="003E25D4"/>
    <w:rsid w:val="003E2A21"/>
    <w:rsid w:val="003E2D98"/>
    <w:rsid w:val="003E35ED"/>
    <w:rsid w:val="003E3E25"/>
    <w:rsid w:val="003E3F68"/>
    <w:rsid w:val="003E3FC6"/>
    <w:rsid w:val="003E4911"/>
    <w:rsid w:val="003E4B04"/>
    <w:rsid w:val="003E4B9D"/>
    <w:rsid w:val="003E5009"/>
    <w:rsid w:val="003E5542"/>
    <w:rsid w:val="003E562A"/>
    <w:rsid w:val="003E5696"/>
    <w:rsid w:val="003E5C3A"/>
    <w:rsid w:val="003E5EAD"/>
    <w:rsid w:val="003E5EAE"/>
    <w:rsid w:val="003E629E"/>
    <w:rsid w:val="003E6307"/>
    <w:rsid w:val="003E6760"/>
    <w:rsid w:val="003E68B5"/>
    <w:rsid w:val="003E6C58"/>
    <w:rsid w:val="003E6F32"/>
    <w:rsid w:val="003E6F93"/>
    <w:rsid w:val="003E7500"/>
    <w:rsid w:val="003E7506"/>
    <w:rsid w:val="003E7944"/>
    <w:rsid w:val="003E7DF4"/>
    <w:rsid w:val="003E7E90"/>
    <w:rsid w:val="003E7FDB"/>
    <w:rsid w:val="003F09EC"/>
    <w:rsid w:val="003F11C8"/>
    <w:rsid w:val="003F1924"/>
    <w:rsid w:val="003F1E74"/>
    <w:rsid w:val="003F1EBF"/>
    <w:rsid w:val="003F286E"/>
    <w:rsid w:val="003F2917"/>
    <w:rsid w:val="003F2BD7"/>
    <w:rsid w:val="003F2D33"/>
    <w:rsid w:val="003F305D"/>
    <w:rsid w:val="003F30E8"/>
    <w:rsid w:val="003F35F6"/>
    <w:rsid w:val="003F3BF7"/>
    <w:rsid w:val="003F44C6"/>
    <w:rsid w:val="003F453E"/>
    <w:rsid w:val="003F4D16"/>
    <w:rsid w:val="003F4EB1"/>
    <w:rsid w:val="003F50C7"/>
    <w:rsid w:val="003F523F"/>
    <w:rsid w:val="003F5405"/>
    <w:rsid w:val="003F56E1"/>
    <w:rsid w:val="003F599B"/>
    <w:rsid w:val="003F5DF1"/>
    <w:rsid w:val="003F7414"/>
    <w:rsid w:val="003F7B70"/>
    <w:rsid w:val="003F7FE6"/>
    <w:rsid w:val="004006CC"/>
    <w:rsid w:val="00400895"/>
    <w:rsid w:val="004008D8"/>
    <w:rsid w:val="00400FFB"/>
    <w:rsid w:val="00401065"/>
    <w:rsid w:val="00401176"/>
    <w:rsid w:val="004011B3"/>
    <w:rsid w:val="00401704"/>
    <w:rsid w:val="0040190E"/>
    <w:rsid w:val="00401B37"/>
    <w:rsid w:val="00401CCB"/>
    <w:rsid w:val="00402244"/>
    <w:rsid w:val="004023B1"/>
    <w:rsid w:val="004023BD"/>
    <w:rsid w:val="004023F8"/>
    <w:rsid w:val="0040256A"/>
    <w:rsid w:val="00402730"/>
    <w:rsid w:val="00402FE2"/>
    <w:rsid w:val="004030F1"/>
    <w:rsid w:val="00403770"/>
    <w:rsid w:val="00403CBF"/>
    <w:rsid w:val="00404932"/>
    <w:rsid w:val="00404ABE"/>
    <w:rsid w:val="0040505E"/>
    <w:rsid w:val="0040554B"/>
    <w:rsid w:val="004057D2"/>
    <w:rsid w:val="004059E4"/>
    <w:rsid w:val="00405CBC"/>
    <w:rsid w:val="004064BE"/>
    <w:rsid w:val="00406A5B"/>
    <w:rsid w:val="00406A6C"/>
    <w:rsid w:val="00406C2A"/>
    <w:rsid w:val="004070A4"/>
    <w:rsid w:val="004071B1"/>
    <w:rsid w:val="0040745C"/>
    <w:rsid w:val="0040785B"/>
    <w:rsid w:val="00407892"/>
    <w:rsid w:val="00407D17"/>
    <w:rsid w:val="00407DA7"/>
    <w:rsid w:val="004100C6"/>
    <w:rsid w:val="00410D90"/>
    <w:rsid w:val="00410F24"/>
    <w:rsid w:val="00410F43"/>
    <w:rsid w:val="004112AF"/>
    <w:rsid w:val="00411328"/>
    <w:rsid w:val="00411410"/>
    <w:rsid w:val="004115A2"/>
    <w:rsid w:val="00411F86"/>
    <w:rsid w:val="0041230D"/>
    <w:rsid w:val="00412A71"/>
    <w:rsid w:val="00412AB9"/>
    <w:rsid w:val="00413368"/>
    <w:rsid w:val="004139AA"/>
    <w:rsid w:val="00413BF9"/>
    <w:rsid w:val="00413D75"/>
    <w:rsid w:val="00414742"/>
    <w:rsid w:val="00414851"/>
    <w:rsid w:val="00415334"/>
    <w:rsid w:val="004153A1"/>
    <w:rsid w:val="004155D3"/>
    <w:rsid w:val="00415F54"/>
    <w:rsid w:val="00416513"/>
    <w:rsid w:val="004165F1"/>
    <w:rsid w:val="004168CF"/>
    <w:rsid w:val="0041724F"/>
    <w:rsid w:val="004177FD"/>
    <w:rsid w:val="004179A0"/>
    <w:rsid w:val="004200B2"/>
    <w:rsid w:val="00420CB6"/>
    <w:rsid w:val="0042167A"/>
    <w:rsid w:val="0042170D"/>
    <w:rsid w:val="00421B73"/>
    <w:rsid w:val="004220A3"/>
    <w:rsid w:val="00422233"/>
    <w:rsid w:val="004226CB"/>
    <w:rsid w:val="004228AF"/>
    <w:rsid w:val="00422AEF"/>
    <w:rsid w:val="00422CD1"/>
    <w:rsid w:val="00422DE1"/>
    <w:rsid w:val="0042307D"/>
    <w:rsid w:val="00423115"/>
    <w:rsid w:val="004233BC"/>
    <w:rsid w:val="0042365E"/>
    <w:rsid w:val="00423C1E"/>
    <w:rsid w:val="00423F52"/>
    <w:rsid w:val="00424768"/>
    <w:rsid w:val="00424795"/>
    <w:rsid w:val="004247C9"/>
    <w:rsid w:val="004252B3"/>
    <w:rsid w:val="00425339"/>
    <w:rsid w:val="0042555E"/>
    <w:rsid w:val="0042557F"/>
    <w:rsid w:val="00425C71"/>
    <w:rsid w:val="00425DB0"/>
    <w:rsid w:val="00425EA7"/>
    <w:rsid w:val="00425F07"/>
    <w:rsid w:val="004263EC"/>
    <w:rsid w:val="004271A1"/>
    <w:rsid w:val="00427A82"/>
    <w:rsid w:val="00427CA6"/>
    <w:rsid w:val="00430BC9"/>
    <w:rsid w:val="00430E30"/>
    <w:rsid w:val="00430FDC"/>
    <w:rsid w:val="00431240"/>
    <w:rsid w:val="004313F6"/>
    <w:rsid w:val="004315E4"/>
    <w:rsid w:val="0043162F"/>
    <w:rsid w:val="00431668"/>
    <w:rsid w:val="00431918"/>
    <w:rsid w:val="00431BF1"/>
    <w:rsid w:val="00431DBD"/>
    <w:rsid w:val="004326E5"/>
    <w:rsid w:val="0043294F"/>
    <w:rsid w:val="00432D12"/>
    <w:rsid w:val="00432ECE"/>
    <w:rsid w:val="004330A8"/>
    <w:rsid w:val="00433269"/>
    <w:rsid w:val="0043328A"/>
    <w:rsid w:val="004333A3"/>
    <w:rsid w:val="00433724"/>
    <w:rsid w:val="0043377E"/>
    <w:rsid w:val="00433D2A"/>
    <w:rsid w:val="00433D74"/>
    <w:rsid w:val="00433F5B"/>
    <w:rsid w:val="00434275"/>
    <w:rsid w:val="004342FE"/>
    <w:rsid w:val="0043453E"/>
    <w:rsid w:val="004349A9"/>
    <w:rsid w:val="004349B9"/>
    <w:rsid w:val="00434AA9"/>
    <w:rsid w:val="00435222"/>
    <w:rsid w:val="0043574D"/>
    <w:rsid w:val="004357A2"/>
    <w:rsid w:val="004358A1"/>
    <w:rsid w:val="00435EF6"/>
    <w:rsid w:val="00436326"/>
    <w:rsid w:val="00436930"/>
    <w:rsid w:val="00437309"/>
    <w:rsid w:val="0043739D"/>
    <w:rsid w:val="00440028"/>
    <w:rsid w:val="00440749"/>
    <w:rsid w:val="00440969"/>
    <w:rsid w:val="00440FCA"/>
    <w:rsid w:val="00441132"/>
    <w:rsid w:val="004418CB"/>
    <w:rsid w:val="00441DDB"/>
    <w:rsid w:val="00441E44"/>
    <w:rsid w:val="0044329F"/>
    <w:rsid w:val="00443519"/>
    <w:rsid w:val="00443805"/>
    <w:rsid w:val="00443A13"/>
    <w:rsid w:val="0044402E"/>
    <w:rsid w:val="004444E2"/>
    <w:rsid w:val="00444654"/>
    <w:rsid w:val="00444AF6"/>
    <w:rsid w:val="00444F49"/>
    <w:rsid w:val="00445288"/>
    <w:rsid w:val="0044531D"/>
    <w:rsid w:val="00445A9D"/>
    <w:rsid w:val="00445B38"/>
    <w:rsid w:val="00445D93"/>
    <w:rsid w:val="00446083"/>
    <w:rsid w:val="004464E6"/>
    <w:rsid w:val="00446633"/>
    <w:rsid w:val="004466D3"/>
    <w:rsid w:val="00446BEF"/>
    <w:rsid w:val="00446CB1"/>
    <w:rsid w:val="0044753C"/>
    <w:rsid w:val="00447797"/>
    <w:rsid w:val="00447819"/>
    <w:rsid w:val="00450237"/>
    <w:rsid w:val="004502B6"/>
    <w:rsid w:val="00450397"/>
    <w:rsid w:val="004503CE"/>
    <w:rsid w:val="00450D5B"/>
    <w:rsid w:val="0045126E"/>
    <w:rsid w:val="004512C3"/>
    <w:rsid w:val="004512EF"/>
    <w:rsid w:val="0045158D"/>
    <w:rsid w:val="00451D88"/>
    <w:rsid w:val="004520D4"/>
    <w:rsid w:val="004520EC"/>
    <w:rsid w:val="00452143"/>
    <w:rsid w:val="00452A80"/>
    <w:rsid w:val="00452D8B"/>
    <w:rsid w:val="00452FB6"/>
    <w:rsid w:val="00453272"/>
    <w:rsid w:val="00453391"/>
    <w:rsid w:val="00453472"/>
    <w:rsid w:val="00453966"/>
    <w:rsid w:val="00453C6C"/>
    <w:rsid w:val="00453CE9"/>
    <w:rsid w:val="00453FA9"/>
    <w:rsid w:val="00454122"/>
    <w:rsid w:val="00454137"/>
    <w:rsid w:val="00454210"/>
    <w:rsid w:val="0045448E"/>
    <w:rsid w:val="004547B5"/>
    <w:rsid w:val="00454AD4"/>
    <w:rsid w:val="004551F6"/>
    <w:rsid w:val="0045541B"/>
    <w:rsid w:val="004556D1"/>
    <w:rsid w:val="00455A1C"/>
    <w:rsid w:val="00455AD4"/>
    <w:rsid w:val="0045604D"/>
    <w:rsid w:val="004560A9"/>
    <w:rsid w:val="00456107"/>
    <w:rsid w:val="004561B6"/>
    <w:rsid w:val="00456788"/>
    <w:rsid w:val="00456793"/>
    <w:rsid w:val="00456AD4"/>
    <w:rsid w:val="00456D39"/>
    <w:rsid w:val="00456FCA"/>
    <w:rsid w:val="00457173"/>
    <w:rsid w:val="004573F9"/>
    <w:rsid w:val="0045745C"/>
    <w:rsid w:val="00460196"/>
    <w:rsid w:val="0046025C"/>
    <w:rsid w:val="0046071F"/>
    <w:rsid w:val="004608E7"/>
    <w:rsid w:val="00460EE7"/>
    <w:rsid w:val="004615AF"/>
    <w:rsid w:val="004620DB"/>
    <w:rsid w:val="004621C9"/>
    <w:rsid w:val="00462252"/>
    <w:rsid w:val="00462504"/>
    <w:rsid w:val="00462702"/>
    <w:rsid w:val="004627C6"/>
    <w:rsid w:val="00462BAC"/>
    <w:rsid w:val="00462C5F"/>
    <w:rsid w:val="00463652"/>
    <w:rsid w:val="004639BC"/>
    <w:rsid w:val="00463CCB"/>
    <w:rsid w:val="00463D32"/>
    <w:rsid w:val="00463E9A"/>
    <w:rsid w:val="004644A5"/>
    <w:rsid w:val="0046478D"/>
    <w:rsid w:val="004648E3"/>
    <w:rsid w:val="00464931"/>
    <w:rsid w:val="0046496C"/>
    <w:rsid w:val="00464E7E"/>
    <w:rsid w:val="0046525C"/>
    <w:rsid w:val="00465485"/>
    <w:rsid w:val="00465918"/>
    <w:rsid w:val="004669E9"/>
    <w:rsid w:val="00466C88"/>
    <w:rsid w:val="00466CC1"/>
    <w:rsid w:val="00467685"/>
    <w:rsid w:val="0046770C"/>
    <w:rsid w:val="0046776D"/>
    <w:rsid w:val="00470CF3"/>
    <w:rsid w:val="0047118B"/>
    <w:rsid w:val="004717F5"/>
    <w:rsid w:val="004718F4"/>
    <w:rsid w:val="00471F50"/>
    <w:rsid w:val="00472169"/>
    <w:rsid w:val="00472318"/>
    <w:rsid w:val="0047268D"/>
    <w:rsid w:val="004732D8"/>
    <w:rsid w:val="004741DC"/>
    <w:rsid w:val="0047454E"/>
    <w:rsid w:val="0047462F"/>
    <w:rsid w:val="004746FF"/>
    <w:rsid w:val="0047497C"/>
    <w:rsid w:val="00475284"/>
    <w:rsid w:val="004756A6"/>
    <w:rsid w:val="00475BCE"/>
    <w:rsid w:val="00475BDD"/>
    <w:rsid w:val="004760FA"/>
    <w:rsid w:val="00476161"/>
    <w:rsid w:val="0047623E"/>
    <w:rsid w:val="004763AE"/>
    <w:rsid w:val="00476445"/>
    <w:rsid w:val="0047674D"/>
    <w:rsid w:val="00476D70"/>
    <w:rsid w:val="004776A0"/>
    <w:rsid w:val="00477756"/>
    <w:rsid w:val="004779C7"/>
    <w:rsid w:val="00477D34"/>
    <w:rsid w:val="00480200"/>
    <w:rsid w:val="00480A2A"/>
    <w:rsid w:val="00480A4A"/>
    <w:rsid w:val="00480EB7"/>
    <w:rsid w:val="004810C6"/>
    <w:rsid w:val="00481237"/>
    <w:rsid w:val="004815DB"/>
    <w:rsid w:val="00481F46"/>
    <w:rsid w:val="00482592"/>
    <w:rsid w:val="00482775"/>
    <w:rsid w:val="00482B63"/>
    <w:rsid w:val="004830DB"/>
    <w:rsid w:val="00483690"/>
    <w:rsid w:val="00483745"/>
    <w:rsid w:val="00483747"/>
    <w:rsid w:val="0048390E"/>
    <w:rsid w:val="00483A03"/>
    <w:rsid w:val="004844FB"/>
    <w:rsid w:val="00484698"/>
    <w:rsid w:val="004846A4"/>
    <w:rsid w:val="004848FC"/>
    <w:rsid w:val="00484A8A"/>
    <w:rsid w:val="00485619"/>
    <w:rsid w:val="00485B70"/>
    <w:rsid w:val="00486139"/>
    <w:rsid w:val="004866E9"/>
    <w:rsid w:val="004867AD"/>
    <w:rsid w:val="00486A1D"/>
    <w:rsid w:val="00486C7A"/>
    <w:rsid w:val="00486E08"/>
    <w:rsid w:val="00486E64"/>
    <w:rsid w:val="00487262"/>
    <w:rsid w:val="0048792D"/>
    <w:rsid w:val="00487961"/>
    <w:rsid w:val="00487A44"/>
    <w:rsid w:val="00487B37"/>
    <w:rsid w:val="00487F0A"/>
    <w:rsid w:val="00490789"/>
    <w:rsid w:val="00490C17"/>
    <w:rsid w:val="00490C51"/>
    <w:rsid w:val="00490DF7"/>
    <w:rsid w:val="00490E97"/>
    <w:rsid w:val="004910C0"/>
    <w:rsid w:val="00491123"/>
    <w:rsid w:val="004912A3"/>
    <w:rsid w:val="0049143B"/>
    <w:rsid w:val="00491A5D"/>
    <w:rsid w:val="00491BF8"/>
    <w:rsid w:val="00491FD9"/>
    <w:rsid w:val="00492022"/>
    <w:rsid w:val="0049222F"/>
    <w:rsid w:val="004929F5"/>
    <w:rsid w:val="0049347B"/>
    <w:rsid w:val="004935AA"/>
    <w:rsid w:val="00493E4C"/>
    <w:rsid w:val="00493F80"/>
    <w:rsid w:val="004940A0"/>
    <w:rsid w:val="00494179"/>
    <w:rsid w:val="004941CE"/>
    <w:rsid w:val="004945F6"/>
    <w:rsid w:val="00494E58"/>
    <w:rsid w:val="004952C5"/>
    <w:rsid w:val="00495C64"/>
    <w:rsid w:val="00495D93"/>
    <w:rsid w:val="00495F14"/>
    <w:rsid w:val="0049644E"/>
    <w:rsid w:val="00496644"/>
    <w:rsid w:val="004966A5"/>
    <w:rsid w:val="004968EC"/>
    <w:rsid w:val="004975C9"/>
    <w:rsid w:val="004977EA"/>
    <w:rsid w:val="00497EA7"/>
    <w:rsid w:val="004A039B"/>
    <w:rsid w:val="004A047E"/>
    <w:rsid w:val="004A0751"/>
    <w:rsid w:val="004A0A5E"/>
    <w:rsid w:val="004A0C9D"/>
    <w:rsid w:val="004A0CCC"/>
    <w:rsid w:val="004A0E97"/>
    <w:rsid w:val="004A13C9"/>
    <w:rsid w:val="004A1795"/>
    <w:rsid w:val="004A1920"/>
    <w:rsid w:val="004A27F6"/>
    <w:rsid w:val="004A2A96"/>
    <w:rsid w:val="004A31A9"/>
    <w:rsid w:val="004A3294"/>
    <w:rsid w:val="004A32AB"/>
    <w:rsid w:val="004A32BA"/>
    <w:rsid w:val="004A4338"/>
    <w:rsid w:val="004A4734"/>
    <w:rsid w:val="004A4834"/>
    <w:rsid w:val="004A566D"/>
    <w:rsid w:val="004A5C31"/>
    <w:rsid w:val="004A5F8F"/>
    <w:rsid w:val="004A6416"/>
    <w:rsid w:val="004A665B"/>
    <w:rsid w:val="004A66A8"/>
    <w:rsid w:val="004A67C3"/>
    <w:rsid w:val="004A688B"/>
    <w:rsid w:val="004A6BC4"/>
    <w:rsid w:val="004A6C51"/>
    <w:rsid w:val="004A6F4B"/>
    <w:rsid w:val="004A7105"/>
    <w:rsid w:val="004A74C4"/>
    <w:rsid w:val="004A7A5C"/>
    <w:rsid w:val="004B0230"/>
    <w:rsid w:val="004B027E"/>
    <w:rsid w:val="004B0448"/>
    <w:rsid w:val="004B055B"/>
    <w:rsid w:val="004B06A9"/>
    <w:rsid w:val="004B0705"/>
    <w:rsid w:val="004B09F2"/>
    <w:rsid w:val="004B0CBF"/>
    <w:rsid w:val="004B140A"/>
    <w:rsid w:val="004B1A2D"/>
    <w:rsid w:val="004B20B9"/>
    <w:rsid w:val="004B257D"/>
    <w:rsid w:val="004B2710"/>
    <w:rsid w:val="004B2CB1"/>
    <w:rsid w:val="004B2CB5"/>
    <w:rsid w:val="004B4792"/>
    <w:rsid w:val="004B47C2"/>
    <w:rsid w:val="004B4C70"/>
    <w:rsid w:val="004B5418"/>
    <w:rsid w:val="004B5A7E"/>
    <w:rsid w:val="004B5F67"/>
    <w:rsid w:val="004B5FEF"/>
    <w:rsid w:val="004B6120"/>
    <w:rsid w:val="004B66CE"/>
    <w:rsid w:val="004B6BF0"/>
    <w:rsid w:val="004B73D5"/>
    <w:rsid w:val="004B7435"/>
    <w:rsid w:val="004B799B"/>
    <w:rsid w:val="004B7AC8"/>
    <w:rsid w:val="004B7C77"/>
    <w:rsid w:val="004B7E6D"/>
    <w:rsid w:val="004C05B6"/>
    <w:rsid w:val="004C138A"/>
    <w:rsid w:val="004C142D"/>
    <w:rsid w:val="004C146C"/>
    <w:rsid w:val="004C164F"/>
    <w:rsid w:val="004C1921"/>
    <w:rsid w:val="004C20EA"/>
    <w:rsid w:val="004C30AE"/>
    <w:rsid w:val="004C3169"/>
    <w:rsid w:val="004C32F9"/>
    <w:rsid w:val="004C39AC"/>
    <w:rsid w:val="004C3CD4"/>
    <w:rsid w:val="004C3E8A"/>
    <w:rsid w:val="004C43D0"/>
    <w:rsid w:val="004C4470"/>
    <w:rsid w:val="004C489C"/>
    <w:rsid w:val="004C4D63"/>
    <w:rsid w:val="004C4DF4"/>
    <w:rsid w:val="004C4F46"/>
    <w:rsid w:val="004C4FB4"/>
    <w:rsid w:val="004C503D"/>
    <w:rsid w:val="004C5366"/>
    <w:rsid w:val="004C5975"/>
    <w:rsid w:val="004C5A73"/>
    <w:rsid w:val="004C5D33"/>
    <w:rsid w:val="004C651D"/>
    <w:rsid w:val="004C68F7"/>
    <w:rsid w:val="004C69ED"/>
    <w:rsid w:val="004C6B33"/>
    <w:rsid w:val="004C6DE1"/>
    <w:rsid w:val="004C73D8"/>
    <w:rsid w:val="004C7731"/>
    <w:rsid w:val="004C7920"/>
    <w:rsid w:val="004C7D28"/>
    <w:rsid w:val="004C7EAC"/>
    <w:rsid w:val="004C7ECE"/>
    <w:rsid w:val="004D0424"/>
    <w:rsid w:val="004D0481"/>
    <w:rsid w:val="004D060B"/>
    <w:rsid w:val="004D0CB3"/>
    <w:rsid w:val="004D1E39"/>
    <w:rsid w:val="004D1E89"/>
    <w:rsid w:val="004D2B17"/>
    <w:rsid w:val="004D2BCE"/>
    <w:rsid w:val="004D31B5"/>
    <w:rsid w:val="004D37EF"/>
    <w:rsid w:val="004D3D1E"/>
    <w:rsid w:val="004D4141"/>
    <w:rsid w:val="004D4265"/>
    <w:rsid w:val="004D4404"/>
    <w:rsid w:val="004D45FA"/>
    <w:rsid w:val="004D4B81"/>
    <w:rsid w:val="004D4BD8"/>
    <w:rsid w:val="004D4BE0"/>
    <w:rsid w:val="004D4CBC"/>
    <w:rsid w:val="004D5326"/>
    <w:rsid w:val="004D545A"/>
    <w:rsid w:val="004D574C"/>
    <w:rsid w:val="004D5B39"/>
    <w:rsid w:val="004D65EE"/>
    <w:rsid w:val="004D660B"/>
    <w:rsid w:val="004D6D10"/>
    <w:rsid w:val="004D7CB8"/>
    <w:rsid w:val="004E031B"/>
    <w:rsid w:val="004E0557"/>
    <w:rsid w:val="004E058F"/>
    <w:rsid w:val="004E0658"/>
    <w:rsid w:val="004E0812"/>
    <w:rsid w:val="004E0C28"/>
    <w:rsid w:val="004E0C30"/>
    <w:rsid w:val="004E0C94"/>
    <w:rsid w:val="004E0D6D"/>
    <w:rsid w:val="004E0E8C"/>
    <w:rsid w:val="004E10BD"/>
    <w:rsid w:val="004E1659"/>
    <w:rsid w:val="004E1920"/>
    <w:rsid w:val="004E1AD6"/>
    <w:rsid w:val="004E3167"/>
    <w:rsid w:val="004E34C1"/>
    <w:rsid w:val="004E36DE"/>
    <w:rsid w:val="004E37F3"/>
    <w:rsid w:val="004E4A10"/>
    <w:rsid w:val="004E5023"/>
    <w:rsid w:val="004E50A5"/>
    <w:rsid w:val="004E56D5"/>
    <w:rsid w:val="004E57F7"/>
    <w:rsid w:val="004E5DAE"/>
    <w:rsid w:val="004E5ECF"/>
    <w:rsid w:val="004E5F1C"/>
    <w:rsid w:val="004E6014"/>
    <w:rsid w:val="004E639B"/>
    <w:rsid w:val="004E6982"/>
    <w:rsid w:val="004E741A"/>
    <w:rsid w:val="004E75EC"/>
    <w:rsid w:val="004E7A51"/>
    <w:rsid w:val="004E7E3B"/>
    <w:rsid w:val="004E7E43"/>
    <w:rsid w:val="004F001A"/>
    <w:rsid w:val="004F0526"/>
    <w:rsid w:val="004F0630"/>
    <w:rsid w:val="004F0CD1"/>
    <w:rsid w:val="004F0F16"/>
    <w:rsid w:val="004F0FC4"/>
    <w:rsid w:val="004F12A1"/>
    <w:rsid w:val="004F13EF"/>
    <w:rsid w:val="004F1E7F"/>
    <w:rsid w:val="004F248D"/>
    <w:rsid w:val="004F2DEB"/>
    <w:rsid w:val="004F38B2"/>
    <w:rsid w:val="004F3A31"/>
    <w:rsid w:val="004F41AD"/>
    <w:rsid w:val="004F4A5D"/>
    <w:rsid w:val="004F4C22"/>
    <w:rsid w:val="004F4CF3"/>
    <w:rsid w:val="004F520C"/>
    <w:rsid w:val="004F5379"/>
    <w:rsid w:val="004F5740"/>
    <w:rsid w:val="004F57B2"/>
    <w:rsid w:val="004F5835"/>
    <w:rsid w:val="004F592A"/>
    <w:rsid w:val="004F59E4"/>
    <w:rsid w:val="004F5DA4"/>
    <w:rsid w:val="004F5F58"/>
    <w:rsid w:val="004F605B"/>
    <w:rsid w:val="004F6431"/>
    <w:rsid w:val="004F65CF"/>
    <w:rsid w:val="004F6737"/>
    <w:rsid w:val="004F695B"/>
    <w:rsid w:val="004F6BF3"/>
    <w:rsid w:val="004F6E50"/>
    <w:rsid w:val="004F74C8"/>
    <w:rsid w:val="004F750E"/>
    <w:rsid w:val="004F76F2"/>
    <w:rsid w:val="004F7780"/>
    <w:rsid w:val="004F7F19"/>
    <w:rsid w:val="004F7F2D"/>
    <w:rsid w:val="004F7FE2"/>
    <w:rsid w:val="00500142"/>
    <w:rsid w:val="005009FF"/>
    <w:rsid w:val="00500A10"/>
    <w:rsid w:val="00500CE2"/>
    <w:rsid w:val="00500FD0"/>
    <w:rsid w:val="00501038"/>
    <w:rsid w:val="0050121D"/>
    <w:rsid w:val="00501B14"/>
    <w:rsid w:val="00501D68"/>
    <w:rsid w:val="0050239B"/>
    <w:rsid w:val="00502830"/>
    <w:rsid w:val="0050299E"/>
    <w:rsid w:val="0050334F"/>
    <w:rsid w:val="00504093"/>
    <w:rsid w:val="005042DD"/>
    <w:rsid w:val="0050454E"/>
    <w:rsid w:val="00504AAB"/>
    <w:rsid w:val="00504B0A"/>
    <w:rsid w:val="00504FA4"/>
    <w:rsid w:val="005055A7"/>
    <w:rsid w:val="00505870"/>
    <w:rsid w:val="00505B27"/>
    <w:rsid w:val="00505E41"/>
    <w:rsid w:val="00505FF2"/>
    <w:rsid w:val="005061C5"/>
    <w:rsid w:val="005064AE"/>
    <w:rsid w:val="0050726B"/>
    <w:rsid w:val="005072AA"/>
    <w:rsid w:val="005072C7"/>
    <w:rsid w:val="00507766"/>
    <w:rsid w:val="0051107F"/>
    <w:rsid w:val="005110B2"/>
    <w:rsid w:val="005111F2"/>
    <w:rsid w:val="005112FA"/>
    <w:rsid w:val="00511337"/>
    <w:rsid w:val="005115A3"/>
    <w:rsid w:val="005117A4"/>
    <w:rsid w:val="00511BD1"/>
    <w:rsid w:val="005122EE"/>
    <w:rsid w:val="00512566"/>
    <w:rsid w:val="005126FD"/>
    <w:rsid w:val="005127B7"/>
    <w:rsid w:val="00512A0E"/>
    <w:rsid w:val="00512FF1"/>
    <w:rsid w:val="0051332E"/>
    <w:rsid w:val="005133FD"/>
    <w:rsid w:val="00513457"/>
    <w:rsid w:val="00513570"/>
    <w:rsid w:val="005138B6"/>
    <w:rsid w:val="00513D8F"/>
    <w:rsid w:val="00514066"/>
    <w:rsid w:val="0051479E"/>
    <w:rsid w:val="005147E4"/>
    <w:rsid w:val="00514B8F"/>
    <w:rsid w:val="00514D07"/>
    <w:rsid w:val="00514DD7"/>
    <w:rsid w:val="00514F0A"/>
    <w:rsid w:val="0051501F"/>
    <w:rsid w:val="00515028"/>
    <w:rsid w:val="0051520A"/>
    <w:rsid w:val="005152A1"/>
    <w:rsid w:val="00515388"/>
    <w:rsid w:val="00515946"/>
    <w:rsid w:val="00516055"/>
    <w:rsid w:val="0051676A"/>
    <w:rsid w:val="00516858"/>
    <w:rsid w:val="0051695D"/>
    <w:rsid w:val="00516A7C"/>
    <w:rsid w:val="00516B66"/>
    <w:rsid w:val="00516C17"/>
    <w:rsid w:val="0051703B"/>
    <w:rsid w:val="005174AD"/>
    <w:rsid w:val="00517ABC"/>
    <w:rsid w:val="00517D0A"/>
    <w:rsid w:val="00520004"/>
    <w:rsid w:val="00520033"/>
    <w:rsid w:val="00520115"/>
    <w:rsid w:val="005207E8"/>
    <w:rsid w:val="00520867"/>
    <w:rsid w:val="00520971"/>
    <w:rsid w:val="00520BE2"/>
    <w:rsid w:val="00520E27"/>
    <w:rsid w:val="00520F20"/>
    <w:rsid w:val="00520F57"/>
    <w:rsid w:val="00521B93"/>
    <w:rsid w:val="00521D28"/>
    <w:rsid w:val="00521EBD"/>
    <w:rsid w:val="00522008"/>
    <w:rsid w:val="005222B0"/>
    <w:rsid w:val="005228D7"/>
    <w:rsid w:val="00522E56"/>
    <w:rsid w:val="005230C2"/>
    <w:rsid w:val="00523154"/>
    <w:rsid w:val="00523586"/>
    <w:rsid w:val="005236B9"/>
    <w:rsid w:val="00523BB4"/>
    <w:rsid w:val="00523C7E"/>
    <w:rsid w:val="00524048"/>
    <w:rsid w:val="005242A0"/>
    <w:rsid w:val="005244F1"/>
    <w:rsid w:val="00525064"/>
    <w:rsid w:val="005250E3"/>
    <w:rsid w:val="005253FE"/>
    <w:rsid w:val="00525893"/>
    <w:rsid w:val="00525942"/>
    <w:rsid w:val="0052615D"/>
    <w:rsid w:val="00526E8B"/>
    <w:rsid w:val="0052718A"/>
    <w:rsid w:val="005271A9"/>
    <w:rsid w:val="005274C7"/>
    <w:rsid w:val="00527591"/>
    <w:rsid w:val="005278C2"/>
    <w:rsid w:val="00527D78"/>
    <w:rsid w:val="00530225"/>
    <w:rsid w:val="005304FF"/>
    <w:rsid w:val="005305ED"/>
    <w:rsid w:val="00530617"/>
    <w:rsid w:val="005308F0"/>
    <w:rsid w:val="00530984"/>
    <w:rsid w:val="00530AAA"/>
    <w:rsid w:val="00531255"/>
    <w:rsid w:val="00531356"/>
    <w:rsid w:val="005316A8"/>
    <w:rsid w:val="00531EE2"/>
    <w:rsid w:val="005322BF"/>
    <w:rsid w:val="005329CC"/>
    <w:rsid w:val="00532FB3"/>
    <w:rsid w:val="00533397"/>
    <w:rsid w:val="00534106"/>
    <w:rsid w:val="00534240"/>
    <w:rsid w:val="0053461E"/>
    <w:rsid w:val="00535024"/>
    <w:rsid w:val="00535256"/>
    <w:rsid w:val="005359AA"/>
    <w:rsid w:val="00535A9A"/>
    <w:rsid w:val="005361AA"/>
    <w:rsid w:val="0053632F"/>
    <w:rsid w:val="005364CE"/>
    <w:rsid w:val="0053652D"/>
    <w:rsid w:val="00536A2B"/>
    <w:rsid w:val="00536AA9"/>
    <w:rsid w:val="00536B6C"/>
    <w:rsid w:val="0053711F"/>
    <w:rsid w:val="005375AC"/>
    <w:rsid w:val="00537DF7"/>
    <w:rsid w:val="00540283"/>
    <w:rsid w:val="00540718"/>
    <w:rsid w:val="005409C4"/>
    <w:rsid w:val="00540A2C"/>
    <w:rsid w:val="0054140D"/>
    <w:rsid w:val="0054182F"/>
    <w:rsid w:val="0054264B"/>
    <w:rsid w:val="00542B52"/>
    <w:rsid w:val="00542CF3"/>
    <w:rsid w:val="00543194"/>
    <w:rsid w:val="005433CA"/>
    <w:rsid w:val="00543560"/>
    <w:rsid w:val="00543654"/>
    <w:rsid w:val="00543756"/>
    <w:rsid w:val="00543983"/>
    <w:rsid w:val="00543AE8"/>
    <w:rsid w:val="005447FC"/>
    <w:rsid w:val="00544DC7"/>
    <w:rsid w:val="005450B7"/>
    <w:rsid w:val="00545906"/>
    <w:rsid w:val="005459A0"/>
    <w:rsid w:val="00545B15"/>
    <w:rsid w:val="00545B32"/>
    <w:rsid w:val="00545CAD"/>
    <w:rsid w:val="0054679C"/>
    <w:rsid w:val="00546811"/>
    <w:rsid w:val="00547605"/>
    <w:rsid w:val="00547C8E"/>
    <w:rsid w:val="00547CF6"/>
    <w:rsid w:val="0055001F"/>
    <w:rsid w:val="005500B3"/>
    <w:rsid w:val="005512C5"/>
    <w:rsid w:val="005513CA"/>
    <w:rsid w:val="00551401"/>
    <w:rsid w:val="005519CA"/>
    <w:rsid w:val="00551A03"/>
    <w:rsid w:val="00551FA1"/>
    <w:rsid w:val="0055208D"/>
    <w:rsid w:val="005520B9"/>
    <w:rsid w:val="00552598"/>
    <w:rsid w:val="005525D4"/>
    <w:rsid w:val="00552695"/>
    <w:rsid w:val="00552835"/>
    <w:rsid w:val="00552A64"/>
    <w:rsid w:val="00552D82"/>
    <w:rsid w:val="00553031"/>
    <w:rsid w:val="00553240"/>
    <w:rsid w:val="00553BFA"/>
    <w:rsid w:val="00553C32"/>
    <w:rsid w:val="00553C6B"/>
    <w:rsid w:val="00553CDE"/>
    <w:rsid w:val="00553D9E"/>
    <w:rsid w:val="0055416E"/>
    <w:rsid w:val="005541CF"/>
    <w:rsid w:val="005548FA"/>
    <w:rsid w:val="00554B8E"/>
    <w:rsid w:val="00554F17"/>
    <w:rsid w:val="005550C4"/>
    <w:rsid w:val="005552A5"/>
    <w:rsid w:val="005553CB"/>
    <w:rsid w:val="0055584A"/>
    <w:rsid w:val="00555AEB"/>
    <w:rsid w:val="00555B1F"/>
    <w:rsid w:val="00555BBB"/>
    <w:rsid w:val="00555C8F"/>
    <w:rsid w:val="0055601E"/>
    <w:rsid w:val="005566BC"/>
    <w:rsid w:val="005569B4"/>
    <w:rsid w:val="00556EBD"/>
    <w:rsid w:val="005572EB"/>
    <w:rsid w:val="005577AA"/>
    <w:rsid w:val="00557C44"/>
    <w:rsid w:val="00557D3D"/>
    <w:rsid w:val="00557E82"/>
    <w:rsid w:val="005601FE"/>
    <w:rsid w:val="005603EF"/>
    <w:rsid w:val="005604D0"/>
    <w:rsid w:val="0056063A"/>
    <w:rsid w:val="00560685"/>
    <w:rsid w:val="00560778"/>
    <w:rsid w:val="0056095A"/>
    <w:rsid w:val="00560E7F"/>
    <w:rsid w:val="00560EDA"/>
    <w:rsid w:val="00560F78"/>
    <w:rsid w:val="005610AC"/>
    <w:rsid w:val="005610C8"/>
    <w:rsid w:val="005611DE"/>
    <w:rsid w:val="00561311"/>
    <w:rsid w:val="00562C39"/>
    <w:rsid w:val="00562E96"/>
    <w:rsid w:val="00563330"/>
    <w:rsid w:val="005637F8"/>
    <w:rsid w:val="00563971"/>
    <w:rsid w:val="00563984"/>
    <w:rsid w:val="00563BA6"/>
    <w:rsid w:val="00563C10"/>
    <w:rsid w:val="0056402B"/>
    <w:rsid w:val="00564260"/>
    <w:rsid w:val="00565002"/>
    <w:rsid w:val="00565525"/>
    <w:rsid w:val="005656B2"/>
    <w:rsid w:val="0056583A"/>
    <w:rsid w:val="005658ED"/>
    <w:rsid w:val="005667F8"/>
    <w:rsid w:val="0056688F"/>
    <w:rsid w:val="00566C97"/>
    <w:rsid w:val="00566DB2"/>
    <w:rsid w:val="005670A4"/>
    <w:rsid w:val="00567163"/>
    <w:rsid w:val="00567408"/>
    <w:rsid w:val="0056748C"/>
    <w:rsid w:val="00567A1D"/>
    <w:rsid w:val="00567C8A"/>
    <w:rsid w:val="00567DD2"/>
    <w:rsid w:val="005706D9"/>
    <w:rsid w:val="00570874"/>
    <w:rsid w:val="00570A86"/>
    <w:rsid w:val="00570F2E"/>
    <w:rsid w:val="00571101"/>
    <w:rsid w:val="0057148C"/>
    <w:rsid w:val="00571A5D"/>
    <w:rsid w:val="00571CEB"/>
    <w:rsid w:val="00571D35"/>
    <w:rsid w:val="00572142"/>
    <w:rsid w:val="005723C0"/>
    <w:rsid w:val="00572433"/>
    <w:rsid w:val="00572474"/>
    <w:rsid w:val="005725B8"/>
    <w:rsid w:val="00572C76"/>
    <w:rsid w:val="00572EFB"/>
    <w:rsid w:val="00572FC9"/>
    <w:rsid w:val="0057319A"/>
    <w:rsid w:val="00573265"/>
    <w:rsid w:val="0057363D"/>
    <w:rsid w:val="0057392A"/>
    <w:rsid w:val="00573E86"/>
    <w:rsid w:val="00573F9E"/>
    <w:rsid w:val="00574457"/>
    <w:rsid w:val="005744B0"/>
    <w:rsid w:val="00574A2C"/>
    <w:rsid w:val="00574C6E"/>
    <w:rsid w:val="0057514B"/>
    <w:rsid w:val="00575ABB"/>
    <w:rsid w:val="00576032"/>
    <w:rsid w:val="00576224"/>
    <w:rsid w:val="00576249"/>
    <w:rsid w:val="005762EE"/>
    <w:rsid w:val="00576796"/>
    <w:rsid w:val="0057689B"/>
    <w:rsid w:val="00576A7E"/>
    <w:rsid w:val="00576DAD"/>
    <w:rsid w:val="00576F7C"/>
    <w:rsid w:val="00577194"/>
    <w:rsid w:val="00577CB7"/>
    <w:rsid w:val="00577CF6"/>
    <w:rsid w:val="005803E7"/>
    <w:rsid w:val="005823AF"/>
    <w:rsid w:val="0058282F"/>
    <w:rsid w:val="0058283F"/>
    <w:rsid w:val="0058284D"/>
    <w:rsid w:val="00582BBE"/>
    <w:rsid w:val="005835B2"/>
    <w:rsid w:val="00583BE6"/>
    <w:rsid w:val="00583C5D"/>
    <w:rsid w:val="00583F5A"/>
    <w:rsid w:val="00584343"/>
    <w:rsid w:val="00584E7A"/>
    <w:rsid w:val="00584F34"/>
    <w:rsid w:val="005853B8"/>
    <w:rsid w:val="005853D8"/>
    <w:rsid w:val="00585478"/>
    <w:rsid w:val="00585714"/>
    <w:rsid w:val="00585761"/>
    <w:rsid w:val="0058597B"/>
    <w:rsid w:val="005860FF"/>
    <w:rsid w:val="00586363"/>
    <w:rsid w:val="0058645E"/>
    <w:rsid w:val="00586F68"/>
    <w:rsid w:val="00587B86"/>
    <w:rsid w:val="00587E14"/>
    <w:rsid w:val="00587FBE"/>
    <w:rsid w:val="0059003A"/>
    <w:rsid w:val="00590295"/>
    <w:rsid w:val="00590305"/>
    <w:rsid w:val="005903C8"/>
    <w:rsid w:val="00590696"/>
    <w:rsid w:val="00590CDD"/>
    <w:rsid w:val="00591092"/>
    <w:rsid w:val="005911B3"/>
    <w:rsid w:val="00591795"/>
    <w:rsid w:val="00591A45"/>
    <w:rsid w:val="005920A2"/>
    <w:rsid w:val="0059224D"/>
    <w:rsid w:val="005925BF"/>
    <w:rsid w:val="0059287E"/>
    <w:rsid w:val="00592A3A"/>
    <w:rsid w:val="00592C64"/>
    <w:rsid w:val="00592E82"/>
    <w:rsid w:val="00593BA2"/>
    <w:rsid w:val="00593C7D"/>
    <w:rsid w:val="00593CCC"/>
    <w:rsid w:val="00593F02"/>
    <w:rsid w:val="0059412E"/>
    <w:rsid w:val="0059437A"/>
    <w:rsid w:val="005943B0"/>
    <w:rsid w:val="00594B6C"/>
    <w:rsid w:val="00594DCF"/>
    <w:rsid w:val="00594DF9"/>
    <w:rsid w:val="00594DFF"/>
    <w:rsid w:val="005955F5"/>
    <w:rsid w:val="00595749"/>
    <w:rsid w:val="00595AC7"/>
    <w:rsid w:val="00595B3A"/>
    <w:rsid w:val="00595C23"/>
    <w:rsid w:val="00595FB4"/>
    <w:rsid w:val="00596127"/>
    <w:rsid w:val="00596139"/>
    <w:rsid w:val="00596188"/>
    <w:rsid w:val="00596F18"/>
    <w:rsid w:val="0059712A"/>
    <w:rsid w:val="00597467"/>
    <w:rsid w:val="005974A1"/>
    <w:rsid w:val="00597C92"/>
    <w:rsid w:val="005A0360"/>
    <w:rsid w:val="005A0B1E"/>
    <w:rsid w:val="005A0B5B"/>
    <w:rsid w:val="005A0DCE"/>
    <w:rsid w:val="005A0E88"/>
    <w:rsid w:val="005A0F49"/>
    <w:rsid w:val="005A0F75"/>
    <w:rsid w:val="005A139C"/>
    <w:rsid w:val="005A1664"/>
    <w:rsid w:val="005A18FD"/>
    <w:rsid w:val="005A1E39"/>
    <w:rsid w:val="005A2069"/>
    <w:rsid w:val="005A20DE"/>
    <w:rsid w:val="005A2755"/>
    <w:rsid w:val="005A2919"/>
    <w:rsid w:val="005A2E7F"/>
    <w:rsid w:val="005A2F28"/>
    <w:rsid w:val="005A2FB4"/>
    <w:rsid w:val="005A30CA"/>
    <w:rsid w:val="005A37D3"/>
    <w:rsid w:val="005A3877"/>
    <w:rsid w:val="005A39E8"/>
    <w:rsid w:val="005A3C99"/>
    <w:rsid w:val="005A4023"/>
    <w:rsid w:val="005A45A5"/>
    <w:rsid w:val="005A45E3"/>
    <w:rsid w:val="005A4D86"/>
    <w:rsid w:val="005A5038"/>
    <w:rsid w:val="005A55B8"/>
    <w:rsid w:val="005A5F78"/>
    <w:rsid w:val="005A6467"/>
    <w:rsid w:val="005A6ED5"/>
    <w:rsid w:val="005A7070"/>
    <w:rsid w:val="005A7526"/>
    <w:rsid w:val="005A763F"/>
    <w:rsid w:val="005B0126"/>
    <w:rsid w:val="005B023A"/>
    <w:rsid w:val="005B0B52"/>
    <w:rsid w:val="005B0C93"/>
    <w:rsid w:val="005B0CEA"/>
    <w:rsid w:val="005B0D30"/>
    <w:rsid w:val="005B103C"/>
    <w:rsid w:val="005B1318"/>
    <w:rsid w:val="005B1399"/>
    <w:rsid w:val="005B13AE"/>
    <w:rsid w:val="005B16AE"/>
    <w:rsid w:val="005B1E72"/>
    <w:rsid w:val="005B1EF7"/>
    <w:rsid w:val="005B2734"/>
    <w:rsid w:val="005B28AC"/>
    <w:rsid w:val="005B2C91"/>
    <w:rsid w:val="005B3006"/>
    <w:rsid w:val="005B33B4"/>
    <w:rsid w:val="005B33F8"/>
    <w:rsid w:val="005B3434"/>
    <w:rsid w:val="005B3506"/>
    <w:rsid w:val="005B4CE4"/>
    <w:rsid w:val="005B4D37"/>
    <w:rsid w:val="005B509A"/>
    <w:rsid w:val="005B53E0"/>
    <w:rsid w:val="005B608E"/>
    <w:rsid w:val="005B6198"/>
    <w:rsid w:val="005B637C"/>
    <w:rsid w:val="005B6535"/>
    <w:rsid w:val="005B6754"/>
    <w:rsid w:val="005B6F42"/>
    <w:rsid w:val="005B7513"/>
    <w:rsid w:val="005C00F7"/>
    <w:rsid w:val="005C0163"/>
    <w:rsid w:val="005C094D"/>
    <w:rsid w:val="005C0A5D"/>
    <w:rsid w:val="005C113E"/>
    <w:rsid w:val="005C1D7D"/>
    <w:rsid w:val="005C1E99"/>
    <w:rsid w:val="005C2BB1"/>
    <w:rsid w:val="005C2D7C"/>
    <w:rsid w:val="005C307E"/>
    <w:rsid w:val="005C33DC"/>
    <w:rsid w:val="005C37C0"/>
    <w:rsid w:val="005C38BF"/>
    <w:rsid w:val="005C3C3A"/>
    <w:rsid w:val="005C3EC4"/>
    <w:rsid w:val="005C40EB"/>
    <w:rsid w:val="005C432E"/>
    <w:rsid w:val="005C438A"/>
    <w:rsid w:val="005C4451"/>
    <w:rsid w:val="005C4944"/>
    <w:rsid w:val="005C5162"/>
    <w:rsid w:val="005C5345"/>
    <w:rsid w:val="005C5484"/>
    <w:rsid w:val="005C564A"/>
    <w:rsid w:val="005C5DD1"/>
    <w:rsid w:val="005C64A2"/>
    <w:rsid w:val="005C65AF"/>
    <w:rsid w:val="005C6951"/>
    <w:rsid w:val="005C6DA4"/>
    <w:rsid w:val="005C6DBA"/>
    <w:rsid w:val="005C6FF6"/>
    <w:rsid w:val="005C72FC"/>
    <w:rsid w:val="005C7B62"/>
    <w:rsid w:val="005D0369"/>
    <w:rsid w:val="005D041D"/>
    <w:rsid w:val="005D0604"/>
    <w:rsid w:val="005D0A67"/>
    <w:rsid w:val="005D0BE8"/>
    <w:rsid w:val="005D0D0A"/>
    <w:rsid w:val="005D0D59"/>
    <w:rsid w:val="005D12BD"/>
    <w:rsid w:val="005D1555"/>
    <w:rsid w:val="005D1A14"/>
    <w:rsid w:val="005D1A51"/>
    <w:rsid w:val="005D1DAD"/>
    <w:rsid w:val="005D2263"/>
    <w:rsid w:val="005D2465"/>
    <w:rsid w:val="005D2DB2"/>
    <w:rsid w:val="005D3645"/>
    <w:rsid w:val="005D3728"/>
    <w:rsid w:val="005D3790"/>
    <w:rsid w:val="005D391E"/>
    <w:rsid w:val="005D3E67"/>
    <w:rsid w:val="005D4465"/>
    <w:rsid w:val="005D4499"/>
    <w:rsid w:val="005D479C"/>
    <w:rsid w:val="005D489F"/>
    <w:rsid w:val="005D4B70"/>
    <w:rsid w:val="005D525B"/>
    <w:rsid w:val="005D559D"/>
    <w:rsid w:val="005D5815"/>
    <w:rsid w:val="005D58F9"/>
    <w:rsid w:val="005D5907"/>
    <w:rsid w:val="005D59EC"/>
    <w:rsid w:val="005D7285"/>
    <w:rsid w:val="005D7434"/>
    <w:rsid w:val="005D753D"/>
    <w:rsid w:val="005D767F"/>
    <w:rsid w:val="005D7A2B"/>
    <w:rsid w:val="005D7BE7"/>
    <w:rsid w:val="005D7DFA"/>
    <w:rsid w:val="005E0DEC"/>
    <w:rsid w:val="005E117B"/>
    <w:rsid w:val="005E126E"/>
    <w:rsid w:val="005E13E3"/>
    <w:rsid w:val="005E1418"/>
    <w:rsid w:val="005E170B"/>
    <w:rsid w:val="005E1C28"/>
    <w:rsid w:val="005E1DB9"/>
    <w:rsid w:val="005E1F4A"/>
    <w:rsid w:val="005E1F95"/>
    <w:rsid w:val="005E2206"/>
    <w:rsid w:val="005E322C"/>
    <w:rsid w:val="005E32A3"/>
    <w:rsid w:val="005E3338"/>
    <w:rsid w:val="005E34DC"/>
    <w:rsid w:val="005E38E3"/>
    <w:rsid w:val="005E4412"/>
    <w:rsid w:val="005E4453"/>
    <w:rsid w:val="005E45C7"/>
    <w:rsid w:val="005E45CC"/>
    <w:rsid w:val="005E4619"/>
    <w:rsid w:val="005E4716"/>
    <w:rsid w:val="005E48BC"/>
    <w:rsid w:val="005E4B3D"/>
    <w:rsid w:val="005E4C1E"/>
    <w:rsid w:val="005E4D4F"/>
    <w:rsid w:val="005E4D74"/>
    <w:rsid w:val="005E5198"/>
    <w:rsid w:val="005E53F1"/>
    <w:rsid w:val="005E5405"/>
    <w:rsid w:val="005E5678"/>
    <w:rsid w:val="005E6004"/>
    <w:rsid w:val="005E6119"/>
    <w:rsid w:val="005E6924"/>
    <w:rsid w:val="005E6984"/>
    <w:rsid w:val="005E76CD"/>
    <w:rsid w:val="005E7C9B"/>
    <w:rsid w:val="005E7FB7"/>
    <w:rsid w:val="005F0821"/>
    <w:rsid w:val="005F0B5F"/>
    <w:rsid w:val="005F0C7F"/>
    <w:rsid w:val="005F0F79"/>
    <w:rsid w:val="005F1611"/>
    <w:rsid w:val="005F18D3"/>
    <w:rsid w:val="005F20A0"/>
    <w:rsid w:val="005F225A"/>
    <w:rsid w:val="005F246D"/>
    <w:rsid w:val="005F2581"/>
    <w:rsid w:val="005F2890"/>
    <w:rsid w:val="005F297C"/>
    <w:rsid w:val="005F2B1A"/>
    <w:rsid w:val="005F3289"/>
    <w:rsid w:val="005F4CC5"/>
    <w:rsid w:val="005F531E"/>
    <w:rsid w:val="005F5EC0"/>
    <w:rsid w:val="005F6612"/>
    <w:rsid w:val="005F6CF3"/>
    <w:rsid w:val="005F6EDA"/>
    <w:rsid w:val="005F7038"/>
    <w:rsid w:val="005F72BF"/>
    <w:rsid w:val="005F77B4"/>
    <w:rsid w:val="005F7C56"/>
    <w:rsid w:val="005F7E64"/>
    <w:rsid w:val="00600115"/>
    <w:rsid w:val="00600132"/>
    <w:rsid w:val="0060090E"/>
    <w:rsid w:val="00600BE0"/>
    <w:rsid w:val="00600F10"/>
    <w:rsid w:val="00601116"/>
    <w:rsid w:val="006015AA"/>
    <w:rsid w:val="0060194A"/>
    <w:rsid w:val="0060195A"/>
    <w:rsid w:val="006020E0"/>
    <w:rsid w:val="006024CC"/>
    <w:rsid w:val="006028FB"/>
    <w:rsid w:val="00602947"/>
    <w:rsid w:val="00603996"/>
    <w:rsid w:val="00603B38"/>
    <w:rsid w:val="00603B7C"/>
    <w:rsid w:val="0060408C"/>
    <w:rsid w:val="006042BE"/>
    <w:rsid w:val="00604658"/>
    <w:rsid w:val="00604706"/>
    <w:rsid w:val="00604946"/>
    <w:rsid w:val="00604A89"/>
    <w:rsid w:val="006055DB"/>
    <w:rsid w:val="00605F77"/>
    <w:rsid w:val="006060D0"/>
    <w:rsid w:val="0060630B"/>
    <w:rsid w:val="006066AD"/>
    <w:rsid w:val="006067A9"/>
    <w:rsid w:val="006070A1"/>
    <w:rsid w:val="00607871"/>
    <w:rsid w:val="00607BAE"/>
    <w:rsid w:val="00607D46"/>
    <w:rsid w:val="00607F21"/>
    <w:rsid w:val="006100EB"/>
    <w:rsid w:val="00610275"/>
    <w:rsid w:val="006105CD"/>
    <w:rsid w:val="006108A0"/>
    <w:rsid w:val="00610C7C"/>
    <w:rsid w:val="00610C9C"/>
    <w:rsid w:val="006110A6"/>
    <w:rsid w:val="0061133D"/>
    <w:rsid w:val="00611505"/>
    <w:rsid w:val="006115FC"/>
    <w:rsid w:val="0061175A"/>
    <w:rsid w:val="00611897"/>
    <w:rsid w:val="00611F15"/>
    <w:rsid w:val="00612061"/>
    <w:rsid w:val="00612492"/>
    <w:rsid w:val="006125CA"/>
    <w:rsid w:val="00612949"/>
    <w:rsid w:val="00612C59"/>
    <w:rsid w:val="00612D00"/>
    <w:rsid w:val="0061336C"/>
    <w:rsid w:val="006134DE"/>
    <w:rsid w:val="006136B3"/>
    <w:rsid w:val="006138E0"/>
    <w:rsid w:val="00613BE7"/>
    <w:rsid w:val="00613FEA"/>
    <w:rsid w:val="0061433F"/>
    <w:rsid w:val="00614601"/>
    <w:rsid w:val="00614F97"/>
    <w:rsid w:val="00615A4E"/>
    <w:rsid w:val="00615CD7"/>
    <w:rsid w:val="00615F4C"/>
    <w:rsid w:val="00616025"/>
    <w:rsid w:val="006160DB"/>
    <w:rsid w:val="00616AE3"/>
    <w:rsid w:val="00616C7A"/>
    <w:rsid w:val="00617A69"/>
    <w:rsid w:val="006201C3"/>
    <w:rsid w:val="006202AD"/>
    <w:rsid w:val="00620332"/>
    <w:rsid w:val="00620502"/>
    <w:rsid w:val="0062052C"/>
    <w:rsid w:val="00620639"/>
    <w:rsid w:val="006208D4"/>
    <w:rsid w:val="00620945"/>
    <w:rsid w:val="00620EAF"/>
    <w:rsid w:val="00620FB7"/>
    <w:rsid w:val="00621070"/>
    <w:rsid w:val="006213C9"/>
    <w:rsid w:val="00621B72"/>
    <w:rsid w:val="006224F5"/>
    <w:rsid w:val="00622782"/>
    <w:rsid w:val="006228B3"/>
    <w:rsid w:val="00623572"/>
    <w:rsid w:val="006236A7"/>
    <w:rsid w:val="0062403B"/>
    <w:rsid w:val="006243DC"/>
    <w:rsid w:val="0062474E"/>
    <w:rsid w:val="00624A00"/>
    <w:rsid w:val="00624FCA"/>
    <w:rsid w:val="0062527D"/>
    <w:rsid w:val="00625B14"/>
    <w:rsid w:val="00626600"/>
    <w:rsid w:val="00626678"/>
    <w:rsid w:val="00626AA9"/>
    <w:rsid w:val="00626AC5"/>
    <w:rsid w:val="00626CC8"/>
    <w:rsid w:val="00626DDE"/>
    <w:rsid w:val="006271A9"/>
    <w:rsid w:val="0062757F"/>
    <w:rsid w:val="00627C63"/>
    <w:rsid w:val="0063007D"/>
    <w:rsid w:val="006307E0"/>
    <w:rsid w:val="00631109"/>
    <w:rsid w:val="00631556"/>
    <w:rsid w:val="00631566"/>
    <w:rsid w:val="00631616"/>
    <w:rsid w:val="0063258C"/>
    <w:rsid w:val="006326E9"/>
    <w:rsid w:val="00632E1E"/>
    <w:rsid w:val="006333E3"/>
    <w:rsid w:val="006339E7"/>
    <w:rsid w:val="00634070"/>
    <w:rsid w:val="00634680"/>
    <w:rsid w:val="006346D3"/>
    <w:rsid w:val="006346DA"/>
    <w:rsid w:val="00634791"/>
    <w:rsid w:val="00634958"/>
    <w:rsid w:val="00634DF8"/>
    <w:rsid w:val="00635029"/>
    <w:rsid w:val="00635227"/>
    <w:rsid w:val="00635268"/>
    <w:rsid w:val="0063537B"/>
    <w:rsid w:val="00635711"/>
    <w:rsid w:val="006359FD"/>
    <w:rsid w:val="00635E14"/>
    <w:rsid w:val="006361C2"/>
    <w:rsid w:val="006363AA"/>
    <w:rsid w:val="00636974"/>
    <w:rsid w:val="00636B4A"/>
    <w:rsid w:val="00636BC6"/>
    <w:rsid w:val="00636BD4"/>
    <w:rsid w:val="00637208"/>
    <w:rsid w:val="006373DF"/>
    <w:rsid w:val="0063780D"/>
    <w:rsid w:val="006406AC"/>
    <w:rsid w:val="0064094A"/>
    <w:rsid w:val="00640AC0"/>
    <w:rsid w:val="00641015"/>
    <w:rsid w:val="0064179B"/>
    <w:rsid w:val="006417DE"/>
    <w:rsid w:val="00641853"/>
    <w:rsid w:val="00641C24"/>
    <w:rsid w:val="00641DD5"/>
    <w:rsid w:val="00642148"/>
    <w:rsid w:val="00642351"/>
    <w:rsid w:val="00642690"/>
    <w:rsid w:val="00642A78"/>
    <w:rsid w:val="00642C0E"/>
    <w:rsid w:val="00643520"/>
    <w:rsid w:val="0064363F"/>
    <w:rsid w:val="00643662"/>
    <w:rsid w:val="00643775"/>
    <w:rsid w:val="00643D0C"/>
    <w:rsid w:val="00643D3C"/>
    <w:rsid w:val="00643F0B"/>
    <w:rsid w:val="0064403F"/>
    <w:rsid w:val="006442BC"/>
    <w:rsid w:val="006445D1"/>
    <w:rsid w:val="0064483A"/>
    <w:rsid w:val="00645774"/>
    <w:rsid w:val="00645874"/>
    <w:rsid w:val="0064590B"/>
    <w:rsid w:val="00645AB2"/>
    <w:rsid w:val="00645E65"/>
    <w:rsid w:val="00645EAA"/>
    <w:rsid w:val="006460F0"/>
    <w:rsid w:val="00646B5B"/>
    <w:rsid w:val="0064740F"/>
    <w:rsid w:val="006475D8"/>
    <w:rsid w:val="006476AF"/>
    <w:rsid w:val="00647705"/>
    <w:rsid w:val="00647A8B"/>
    <w:rsid w:val="00650A9D"/>
    <w:rsid w:val="00650C55"/>
    <w:rsid w:val="0065108C"/>
    <w:rsid w:val="00651215"/>
    <w:rsid w:val="00651562"/>
    <w:rsid w:val="00651582"/>
    <w:rsid w:val="00651782"/>
    <w:rsid w:val="00651F52"/>
    <w:rsid w:val="00652172"/>
    <w:rsid w:val="0065218F"/>
    <w:rsid w:val="00652B3F"/>
    <w:rsid w:val="00652BA1"/>
    <w:rsid w:val="00652BD4"/>
    <w:rsid w:val="00652CCB"/>
    <w:rsid w:val="00652E06"/>
    <w:rsid w:val="006531CF"/>
    <w:rsid w:val="006531DC"/>
    <w:rsid w:val="00653836"/>
    <w:rsid w:val="00653CC8"/>
    <w:rsid w:val="006545F7"/>
    <w:rsid w:val="006546FE"/>
    <w:rsid w:val="00654A24"/>
    <w:rsid w:val="00654D94"/>
    <w:rsid w:val="00655890"/>
    <w:rsid w:val="0065595E"/>
    <w:rsid w:val="00655C23"/>
    <w:rsid w:val="00656372"/>
    <w:rsid w:val="006563BB"/>
    <w:rsid w:val="00656721"/>
    <w:rsid w:val="00657005"/>
    <w:rsid w:val="006570A2"/>
    <w:rsid w:val="00657A1A"/>
    <w:rsid w:val="00657A9C"/>
    <w:rsid w:val="006604EA"/>
    <w:rsid w:val="0066053A"/>
    <w:rsid w:val="00660965"/>
    <w:rsid w:val="006609C6"/>
    <w:rsid w:val="00660BEB"/>
    <w:rsid w:val="00660D9D"/>
    <w:rsid w:val="00660DC6"/>
    <w:rsid w:val="00662304"/>
    <w:rsid w:val="006628A1"/>
    <w:rsid w:val="00662BBA"/>
    <w:rsid w:val="0066312E"/>
    <w:rsid w:val="0066333D"/>
    <w:rsid w:val="006636B4"/>
    <w:rsid w:val="006637B0"/>
    <w:rsid w:val="00663A25"/>
    <w:rsid w:val="00663BBC"/>
    <w:rsid w:val="00663F27"/>
    <w:rsid w:val="0066454C"/>
    <w:rsid w:val="00664AA3"/>
    <w:rsid w:val="00664F93"/>
    <w:rsid w:val="006653F3"/>
    <w:rsid w:val="00665779"/>
    <w:rsid w:val="00665C25"/>
    <w:rsid w:val="00665FDC"/>
    <w:rsid w:val="00666014"/>
    <w:rsid w:val="006665C6"/>
    <w:rsid w:val="00666B32"/>
    <w:rsid w:val="00667523"/>
    <w:rsid w:val="00667B17"/>
    <w:rsid w:val="00667E8E"/>
    <w:rsid w:val="00667FD2"/>
    <w:rsid w:val="00670186"/>
    <w:rsid w:val="00670610"/>
    <w:rsid w:val="00670792"/>
    <w:rsid w:val="006720EC"/>
    <w:rsid w:val="00672133"/>
    <w:rsid w:val="006723B4"/>
    <w:rsid w:val="00672847"/>
    <w:rsid w:val="00672C2E"/>
    <w:rsid w:val="00672C39"/>
    <w:rsid w:val="00672EF3"/>
    <w:rsid w:val="006737FC"/>
    <w:rsid w:val="00673A3D"/>
    <w:rsid w:val="00673B7C"/>
    <w:rsid w:val="00673C13"/>
    <w:rsid w:val="00673E6A"/>
    <w:rsid w:val="00673FA2"/>
    <w:rsid w:val="00674162"/>
    <w:rsid w:val="0067451D"/>
    <w:rsid w:val="00674B22"/>
    <w:rsid w:val="00674B2F"/>
    <w:rsid w:val="00675198"/>
    <w:rsid w:val="00675209"/>
    <w:rsid w:val="00675AE6"/>
    <w:rsid w:val="00675B36"/>
    <w:rsid w:val="00675B51"/>
    <w:rsid w:val="00675BA4"/>
    <w:rsid w:val="00675ED9"/>
    <w:rsid w:val="00676753"/>
    <w:rsid w:val="00676785"/>
    <w:rsid w:val="00676AFF"/>
    <w:rsid w:val="00676F46"/>
    <w:rsid w:val="0067718C"/>
    <w:rsid w:val="00677361"/>
    <w:rsid w:val="006776B0"/>
    <w:rsid w:val="0067774B"/>
    <w:rsid w:val="00677CCB"/>
    <w:rsid w:val="00677E57"/>
    <w:rsid w:val="0068019E"/>
    <w:rsid w:val="0068037A"/>
    <w:rsid w:val="00680AE6"/>
    <w:rsid w:val="00680BAA"/>
    <w:rsid w:val="00680C74"/>
    <w:rsid w:val="006810A8"/>
    <w:rsid w:val="006815F9"/>
    <w:rsid w:val="006816EE"/>
    <w:rsid w:val="00681B9E"/>
    <w:rsid w:val="00681BEF"/>
    <w:rsid w:val="00681D1E"/>
    <w:rsid w:val="00683765"/>
    <w:rsid w:val="006838E9"/>
    <w:rsid w:val="00683A87"/>
    <w:rsid w:val="00683B87"/>
    <w:rsid w:val="00683CDA"/>
    <w:rsid w:val="00683F4D"/>
    <w:rsid w:val="006845EE"/>
    <w:rsid w:val="006849CF"/>
    <w:rsid w:val="00684DA0"/>
    <w:rsid w:val="006850BC"/>
    <w:rsid w:val="00685669"/>
    <w:rsid w:val="006861C4"/>
    <w:rsid w:val="006864F7"/>
    <w:rsid w:val="0068676D"/>
    <w:rsid w:val="00686AC6"/>
    <w:rsid w:val="00687041"/>
    <w:rsid w:val="006874F5"/>
    <w:rsid w:val="00687ACA"/>
    <w:rsid w:val="00687D15"/>
    <w:rsid w:val="00690009"/>
    <w:rsid w:val="00690B8F"/>
    <w:rsid w:val="00690ECD"/>
    <w:rsid w:val="0069125B"/>
    <w:rsid w:val="006913D6"/>
    <w:rsid w:val="00692E4E"/>
    <w:rsid w:val="006932A6"/>
    <w:rsid w:val="006934DD"/>
    <w:rsid w:val="00693864"/>
    <w:rsid w:val="00693955"/>
    <w:rsid w:val="006939C3"/>
    <w:rsid w:val="00693A21"/>
    <w:rsid w:val="00693B44"/>
    <w:rsid w:val="00693B72"/>
    <w:rsid w:val="00694110"/>
    <w:rsid w:val="00694526"/>
    <w:rsid w:val="00694CF8"/>
    <w:rsid w:val="00695928"/>
    <w:rsid w:val="00695F9A"/>
    <w:rsid w:val="00696102"/>
    <w:rsid w:val="00696146"/>
    <w:rsid w:val="006962AA"/>
    <w:rsid w:val="0069631E"/>
    <w:rsid w:val="0069672B"/>
    <w:rsid w:val="00696951"/>
    <w:rsid w:val="006970D9"/>
    <w:rsid w:val="006974AA"/>
    <w:rsid w:val="006974DE"/>
    <w:rsid w:val="00697956"/>
    <w:rsid w:val="00697C0C"/>
    <w:rsid w:val="006A0317"/>
    <w:rsid w:val="006A11EF"/>
    <w:rsid w:val="006A1380"/>
    <w:rsid w:val="006A1558"/>
    <w:rsid w:val="006A17A8"/>
    <w:rsid w:val="006A1AFB"/>
    <w:rsid w:val="006A1B68"/>
    <w:rsid w:val="006A1CC8"/>
    <w:rsid w:val="006A1DC8"/>
    <w:rsid w:val="006A2605"/>
    <w:rsid w:val="006A2718"/>
    <w:rsid w:val="006A28C3"/>
    <w:rsid w:val="006A2B0E"/>
    <w:rsid w:val="006A2E0D"/>
    <w:rsid w:val="006A3773"/>
    <w:rsid w:val="006A3DBA"/>
    <w:rsid w:val="006A3ED1"/>
    <w:rsid w:val="006A447A"/>
    <w:rsid w:val="006A4571"/>
    <w:rsid w:val="006A4852"/>
    <w:rsid w:val="006A4FEA"/>
    <w:rsid w:val="006A509F"/>
    <w:rsid w:val="006A57CC"/>
    <w:rsid w:val="006A5D21"/>
    <w:rsid w:val="006A63DC"/>
    <w:rsid w:val="006A68DF"/>
    <w:rsid w:val="006A68F2"/>
    <w:rsid w:val="006A6DF8"/>
    <w:rsid w:val="006A7087"/>
    <w:rsid w:val="006A716D"/>
    <w:rsid w:val="006A7568"/>
    <w:rsid w:val="006B02AB"/>
    <w:rsid w:val="006B05C3"/>
    <w:rsid w:val="006B05D6"/>
    <w:rsid w:val="006B0A26"/>
    <w:rsid w:val="006B0B8D"/>
    <w:rsid w:val="006B0CD1"/>
    <w:rsid w:val="006B212E"/>
    <w:rsid w:val="006B27C0"/>
    <w:rsid w:val="006B28E1"/>
    <w:rsid w:val="006B3128"/>
    <w:rsid w:val="006B3141"/>
    <w:rsid w:val="006B317E"/>
    <w:rsid w:val="006B3552"/>
    <w:rsid w:val="006B367D"/>
    <w:rsid w:val="006B3690"/>
    <w:rsid w:val="006B3967"/>
    <w:rsid w:val="006B3C90"/>
    <w:rsid w:val="006B3E29"/>
    <w:rsid w:val="006B3E7F"/>
    <w:rsid w:val="006B4344"/>
    <w:rsid w:val="006B43C5"/>
    <w:rsid w:val="006B43CE"/>
    <w:rsid w:val="006B4AC3"/>
    <w:rsid w:val="006B4D0A"/>
    <w:rsid w:val="006B54B5"/>
    <w:rsid w:val="006B59F1"/>
    <w:rsid w:val="006B5DE6"/>
    <w:rsid w:val="006B65CF"/>
    <w:rsid w:val="006B6618"/>
    <w:rsid w:val="006B684F"/>
    <w:rsid w:val="006B6CEE"/>
    <w:rsid w:val="006B780A"/>
    <w:rsid w:val="006B7C81"/>
    <w:rsid w:val="006B7CE2"/>
    <w:rsid w:val="006B7D14"/>
    <w:rsid w:val="006C0324"/>
    <w:rsid w:val="006C052F"/>
    <w:rsid w:val="006C10EA"/>
    <w:rsid w:val="006C1196"/>
    <w:rsid w:val="006C1BD2"/>
    <w:rsid w:val="006C1F9C"/>
    <w:rsid w:val="006C2144"/>
    <w:rsid w:val="006C21CF"/>
    <w:rsid w:val="006C235B"/>
    <w:rsid w:val="006C245D"/>
    <w:rsid w:val="006C29B2"/>
    <w:rsid w:val="006C29FB"/>
    <w:rsid w:val="006C2C8D"/>
    <w:rsid w:val="006C3094"/>
    <w:rsid w:val="006C36EE"/>
    <w:rsid w:val="006C370C"/>
    <w:rsid w:val="006C434D"/>
    <w:rsid w:val="006C45A5"/>
    <w:rsid w:val="006C47F3"/>
    <w:rsid w:val="006C490A"/>
    <w:rsid w:val="006C5183"/>
    <w:rsid w:val="006C54AA"/>
    <w:rsid w:val="006C55F0"/>
    <w:rsid w:val="006C581E"/>
    <w:rsid w:val="006C5B64"/>
    <w:rsid w:val="006C639C"/>
    <w:rsid w:val="006C657A"/>
    <w:rsid w:val="006C65F2"/>
    <w:rsid w:val="006C6683"/>
    <w:rsid w:val="006C6777"/>
    <w:rsid w:val="006C720A"/>
    <w:rsid w:val="006C7477"/>
    <w:rsid w:val="006C753D"/>
    <w:rsid w:val="006C76ED"/>
    <w:rsid w:val="006C78D7"/>
    <w:rsid w:val="006C7955"/>
    <w:rsid w:val="006C7E1D"/>
    <w:rsid w:val="006D0619"/>
    <w:rsid w:val="006D0B8D"/>
    <w:rsid w:val="006D0CDD"/>
    <w:rsid w:val="006D0EB8"/>
    <w:rsid w:val="006D11C2"/>
    <w:rsid w:val="006D1CB2"/>
    <w:rsid w:val="006D1E56"/>
    <w:rsid w:val="006D1EEB"/>
    <w:rsid w:val="006D24D0"/>
    <w:rsid w:val="006D2638"/>
    <w:rsid w:val="006D319D"/>
    <w:rsid w:val="006D3243"/>
    <w:rsid w:val="006D3249"/>
    <w:rsid w:val="006D34C3"/>
    <w:rsid w:val="006D3653"/>
    <w:rsid w:val="006D3A35"/>
    <w:rsid w:val="006D4211"/>
    <w:rsid w:val="006D4502"/>
    <w:rsid w:val="006D4769"/>
    <w:rsid w:val="006D4A95"/>
    <w:rsid w:val="006D4E08"/>
    <w:rsid w:val="006D4E84"/>
    <w:rsid w:val="006D5044"/>
    <w:rsid w:val="006D511E"/>
    <w:rsid w:val="006D5710"/>
    <w:rsid w:val="006D5C0C"/>
    <w:rsid w:val="006D5FBF"/>
    <w:rsid w:val="006D622A"/>
    <w:rsid w:val="006D671D"/>
    <w:rsid w:val="006D67BB"/>
    <w:rsid w:val="006D6F49"/>
    <w:rsid w:val="006D7178"/>
    <w:rsid w:val="006D7531"/>
    <w:rsid w:val="006D79A1"/>
    <w:rsid w:val="006E030A"/>
    <w:rsid w:val="006E066B"/>
    <w:rsid w:val="006E06E6"/>
    <w:rsid w:val="006E099D"/>
    <w:rsid w:val="006E0CA8"/>
    <w:rsid w:val="006E0DB4"/>
    <w:rsid w:val="006E14E2"/>
    <w:rsid w:val="006E179A"/>
    <w:rsid w:val="006E18B3"/>
    <w:rsid w:val="006E237E"/>
    <w:rsid w:val="006E2717"/>
    <w:rsid w:val="006E2CE3"/>
    <w:rsid w:val="006E31A1"/>
    <w:rsid w:val="006E3403"/>
    <w:rsid w:val="006E359F"/>
    <w:rsid w:val="006E3BB5"/>
    <w:rsid w:val="006E3F3B"/>
    <w:rsid w:val="006E415F"/>
    <w:rsid w:val="006E428B"/>
    <w:rsid w:val="006E49EC"/>
    <w:rsid w:val="006E4A83"/>
    <w:rsid w:val="006E55D4"/>
    <w:rsid w:val="006E5824"/>
    <w:rsid w:val="006E5E17"/>
    <w:rsid w:val="006E5E5F"/>
    <w:rsid w:val="006E61AB"/>
    <w:rsid w:val="006E62F0"/>
    <w:rsid w:val="006E673C"/>
    <w:rsid w:val="006E74D4"/>
    <w:rsid w:val="006E7543"/>
    <w:rsid w:val="006E7758"/>
    <w:rsid w:val="006E7768"/>
    <w:rsid w:val="006E777E"/>
    <w:rsid w:val="006E7B28"/>
    <w:rsid w:val="006E7DC1"/>
    <w:rsid w:val="006F01FD"/>
    <w:rsid w:val="006F0367"/>
    <w:rsid w:val="006F0525"/>
    <w:rsid w:val="006F05A0"/>
    <w:rsid w:val="006F05F2"/>
    <w:rsid w:val="006F0951"/>
    <w:rsid w:val="006F0B92"/>
    <w:rsid w:val="006F0EB1"/>
    <w:rsid w:val="006F0FA0"/>
    <w:rsid w:val="006F1009"/>
    <w:rsid w:val="006F15CC"/>
    <w:rsid w:val="006F27E4"/>
    <w:rsid w:val="006F2A2B"/>
    <w:rsid w:val="006F2A87"/>
    <w:rsid w:val="006F2AE6"/>
    <w:rsid w:val="006F2CDA"/>
    <w:rsid w:val="006F33FB"/>
    <w:rsid w:val="006F3842"/>
    <w:rsid w:val="006F3B7C"/>
    <w:rsid w:val="006F3D2B"/>
    <w:rsid w:val="006F461F"/>
    <w:rsid w:val="006F4B41"/>
    <w:rsid w:val="006F5339"/>
    <w:rsid w:val="006F5621"/>
    <w:rsid w:val="006F5E52"/>
    <w:rsid w:val="006F6660"/>
    <w:rsid w:val="006F6797"/>
    <w:rsid w:val="006F69BF"/>
    <w:rsid w:val="006F6F0F"/>
    <w:rsid w:val="006F7331"/>
    <w:rsid w:val="006F75B1"/>
    <w:rsid w:val="006F78E3"/>
    <w:rsid w:val="006F7B57"/>
    <w:rsid w:val="006F7C6B"/>
    <w:rsid w:val="006F7FE4"/>
    <w:rsid w:val="00700527"/>
    <w:rsid w:val="007006A4"/>
    <w:rsid w:val="007006FC"/>
    <w:rsid w:val="00700BFE"/>
    <w:rsid w:val="00700C3F"/>
    <w:rsid w:val="00700D37"/>
    <w:rsid w:val="007016DF"/>
    <w:rsid w:val="007016EB"/>
    <w:rsid w:val="007017CF"/>
    <w:rsid w:val="00701AE0"/>
    <w:rsid w:val="00701DA3"/>
    <w:rsid w:val="007022EF"/>
    <w:rsid w:val="007027DF"/>
    <w:rsid w:val="007027EF"/>
    <w:rsid w:val="00702B9C"/>
    <w:rsid w:val="00702CFE"/>
    <w:rsid w:val="00704036"/>
    <w:rsid w:val="007048BA"/>
    <w:rsid w:val="00704A88"/>
    <w:rsid w:val="0070519D"/>
    <w:rsid w:val="007052BF"/>
    <w:rsid w:val="0070539F"/>
    <w:rsid w:val="00705480"/>
    <w:rsid w:val="00705781"/>
    <w:rsid w:val="00705BAA"/>
    <w:rsid w:val="00705D3D"/>
    <w:rsid w:val="00705EFC"/>
    <w:rsid w:val="0070674A"/>
    <w:rsid w:val="0070686B"/>
    <w:rsid w:val="00706B0D"/>
    <w:rsid w:val="007072FB"/>
    <w:rsid w:val="007073BD"/>
    <w:rsid w:val="00707912"/>
    <w:rsid w:val="00707E17"/>
    <w:rsid w:val="00707F85"/>
    <w:rsid w:val="00710413"/>
    <w:rsid w:val="007104D9"/>
    <w:rsid w:val="00710C44"/>
    <w:rsid w:val="007119FA"/>
    <w:rsid w:val="0071247F"/>
    <w:rsid w:val="0071265E"/>
    <w:rsid w:val="00712996"/>
    <w:rsid w:val="00713B70"/>
    <w:rsid w:val="00713F9A"/>
    <w:rsid w:val="00714305"/>
    <w:rsid w:val="00714F42"/>
    <w:rsid w:val="00715135"/>
    <w:rsid w:val="0071529B"/>
    <w:rsid w:val="007153F4"/>
    <w:rsid w:val="0071569F"/>
    <w:rsid w:val="007158B3"/>
    <w:rsid w:val="00715D5E"/>
    <w:rsid w:val="0071602C"/>
    <w:rsid w:val="00716451"/>
    <w:rsid w:val="007167F2"/>
    <w:rsid w:val="00716AB2"/>
    <w:rsid w:val="00716D30"/>
    <w:rsid w:val="0071707B"/>
    <w:rsid w:val="00717585"/>
    <w:rsid w:val="007176B7"/>
    <w:rsid w:val="00717875"/>
    <w:rsid w:val="00717ACD"/>
    <w:rsid w:val="00717B4E"/>
    <w:rsid w:val="00717ED6"/>
    <w:rsid w:val="00720069"/>
    <w:rsid w:val="00720232"/>
    <w:rsid w:val="0072059B"/>
    <w:rsid w:val="00720D95"/>
    <w:rsid w:val="00721201"/>
    <w:rsid w:val="007218A8"/>
    <w:rsid w:val="00721D35"/>
    <w:rsid w:val="00721EB8"/>
    <w:rsid w:val="0072230E"/>
    <w:rsid w:val="0072260E"/>
    <w:rsid w:val="00722728"/>
    <w:rsid w:val="00722AE1"/>
    <w:rsid w:val="00722C23"/>
    <w:rsid w:val="00722CC6"/>
    <w:rsid w:val="0072399D"/>
    <w:rsid w:val="00723B88"/>
    <w:rsid w:val="00723CFC"/>
    <w:rsid w:val="00723D5D"/>
    <w:rsid w:val="0072431E"/>
    <w:rsid w:val="0072463E"/>
    <w:rsid w:val="007247E6"/>
    <w:rsid w:val="00724B97"/>
    <w:rsid w:val="00724DFF"/>
    <w:rsid w:val="00724F47"/>
    <w:rsid w:val="0072540B"/>
    <w:rsid w:val="00725710"/>
    <w:rsid w:val="00726349"/>
    <w:rsid w:val="0072635A"/>
    <w:rsid w:val="0072656E"/>
    <w:rsid w:val="0072681B"/>
    <w:rsid w:val="0072684A"/>
    <w:rsid w:val="00726889"/>
    <w:rsid w:val="00726A64"/>
    <w:rsid w:val="00726AE5"/>
    <w:rsid w:val="00726BE8"/>
    <w:rsid w:val="0072704B"/>
    <w:rsid w:val="0072725D"/>
    <w:rsid w:val="007274AC"/>
    <w:rsid w:val="00727A78"/>
    <w:rsid w:val="00727A9A"/>
    <w:rsid w:val="00727D13"/>
    <w:rsid w:val="00730178"/>
    <w:rsid w:val="00730263"/>
    <w:rsid w:val="00730390"/>
    <w:rsid w:val="0073073F"/>
    <w:rsid w:val="00730906"/>
    <w:rsid w:val="00730995"/>
    <w:rsid w:val="00730A94"/>
    <w:rsid w:val="00730E71"/>
    <w:rsid w:val="00731142"/>
    <w:rsid w:val="00731467"/>
    <w:rsid w:val="00731727"/>
    <w:rsid w:val="007319E5"/>
    <w:rsid w:val="00731DAC"/>
    <w:rsid w:val="007322F6"/>
    <w:rsid w:val="00732536"/>
    <w:rsid w:val="00732731"/>
    <w:rsid w:val="00732B20"/>
    <w:rsid w:val="00732BB9"/>
    <w:rsid w:val="00732E75"/>
    <w:rsid w:val="007331BD"/>
    <w:rsid w:val="00733B0F"/>
    <w:rsid w:val="00733C04"/>
    <w:rsid w:val="00733F0F"/>
    <w:rsid w:val="0073440B"/>
    <w:rsid w:val="0073468F"/>
    <w:rsid w:val="00734937"/>
    <w:rsid w:val="00734939"/>
    <w:rsid w:val="007349D8"/>
    <w:rsid w:val="00734AB9"/>
    <w:rsid w:val="00734CBF"/>
    <w:rsid w:val="00734DE5"/>
    <w:rsid w:val="00734E86"/>
    <w:rsid w:val="00735043"/>
    <w:rsid w:val="00735352"/>
    <w:rsid w:val="00735468"/>
    <w:rsid w:val="007357F1"/>
    <w:rsid w:val="00735852"/>
    <w:rsid w:val="00735955"/>
    <w:rsid w:val="00735DBD"/>
    <w:rsid w:val="00736A8D"/>
    <w:rsid w:val="00736E30"/>
    <w:rsid w:val="00736E32"/>
    <w:rsid w:val="00736EF0"/>
    <w:rsid w:val="00737280"/>
    <w:rsid w:val="007372DA"/>
    <w:rsid w:val="00737605"/>
    <w:rsid w:val="007378D1"/>
    <w:rsid w:val="007403FB"/>
    <w:rsid w:val="00740403"/>
    <w:rsid w:val="00741119"/>
    <w:rsid w:val="00741306"/>
    <w:rsid w:val="00741489"/>
    <w:rsid w:val="00741E13"/>
    <w:rsid w:val="00741E8B"/>
    <w:rsid w:val="0074244B"/>
    <w:rsid w:val="00742666"/>
    <w:rsid w:val="00742A37"/>
    <w:rsid w:val="00742A96"/>
    <w:rsid w:val="00742BAA"/>
    <w:rsid w:val="00742D6B"/>
    <w:rsid w:val="00742F65"/>
    <w:rsid w:val="007431DB"/>
    <w:rsid w:val="00743D55"/>
    <w:rsid w:val="007441E2"/>
    <w:rsid w:val="00744285"/>
    <w:rsid w:val="0074483D"/>
    <w:rsid w:val="00744F82"/>
    <w:rsid w:val="0074503B"/>
    <w:rsid w:val="007450EB"/>
    <w:rsid w:val="00745148"/>
    <w:rsid w:val="007454E0"/>
    <w:rsid w:val="007455FF"/>
    <w:rsid w:val="007459C0"/>
    <w:rsid w:val="00745EDE"/>
    <w:rsid w:val="00746B8F"/>
    <w:rsid w:val="0074700E"/>
    <w:rsid w:val="0074702C"/>
    <w:rsid w:val="00747175"/>
    <w:rsid w:val="00747ADA"/>
    <w:rsid w:val="00747E58"/>
    <w:rsid w:val="00750730"/>
    <w:rsid w:val="007507A0"/>
    <w:rsid w:val="00750CA8"/>
    <w:rsid w:val="00750DE8"/>
    <w:rsid w:val="007515D5"/>
    <w:rsid w:val="007519D8"/>
    <w:rsid w:val="00751BA3"/>
    <w:rsid w:val="0075219A"/>
    <w:rsid w:val="007523CD"/>
    <w:rsid w:val="007523E1"/>
    <w:rsid w:val="00752607"/>
    <w:rsid w:val="00753413"/>
    <w:rsid w:val="00753520"/>
    <w:rsid w:val="00753B41"/>
    <w:rsid w:val="00754186"/>
    <w:rsid w:val="007541FE"/>
    <w:rsid w:val="007544D2"/>
    <w:rsid w:val="0075454E"/>
    <w:rsid w:val="00754A59"/>
    <w:rsid w:val="00754C46"/>
    <w:rsid w:val="007555FB"/>
    <w:rsid w:val="0075569A"/>
    <w:rsid w:val="00755CF3"/>
    <w:rsid w:val="00755F6E"/>
    <w:rsid w:val="00755FE8"/>
    <w:rsid w:val="00756A2F"/>
    <w:rsid w:val="00756BA7"/>
    <w:rsid w:val="00756D73"/>
    <w:rsid w:val="00756DE1"/>
    <w:rsid w:val="00756E14"/>
    <w:rsid w:val="00756F4B"/>
    <w:rsid w:val="0075726C"/>
    <w:rsid w:val="00757546"/>
    <w:rsid w:val="007576E8"/>
    <w:rsid w:val="00757A0C"/>
    <w:rsid w:val="00757B39"/>
    <w:rsid w:val="007603D5"/>
    <w:rsid w:val="0076067E"/>
    <w:rsid w:val="007608C7"/>
    <w:rsid w:val="007614ED"/>
    <w:rsid w:val="0076173E"/>
    <w:rsid w:val="0076188D"/>
    <w:rsid w:val="00761C74"/>
    <w:rsid w:val="00761DF5"/>
    <w:rsid w:val="00761FE9"/>
    <w:rsid w:val="007620EE"/>
    <w:rsid w:val="00762673"/>
    <w:rsid w:val="007627D5"/>
    <w:rsid w:val="007628F3"/>
    <w:rsid w:val="00763377"/>
    <w:rsid w:val="00763A7B"/>
    <w:rsid w:val="00764606"/>
    <w:rsid w:val="007647A1"/>
    <w:rsid w:val="007648A7"/>
    <w:rsid w:val="00764BCC"/>
    <w:rsid w:val="00764D03"/>
    <w:rsid w:val="00764D04"/>
    <w:rsid w:val="00764D54"/>
    <w:rsid w:val="00764D83"/>
    <w:rsid w:val="00765089"/>
    <w:rsid w:val="0076529C"/>
    <w:rsid w:val="00765D92"/>
    <w:rsid w:val="00765E98"/>
    <w:rsid w:val="00765F47"/>
    <w:rsid w:val="007662A6"/>
    <w:rsid w:val="007665DD"/>
    <w:rsid w:val="00766621"/>
    <w:rsid w:val="00766769"/>
    <w:rsid w:val="00766DCF"/>
    <w:rsid w:val="00766DD5"/>
    <w:rsid w:val="00766E91"/>
    <w:rsid w:val="00766ED6"/>
    <w:rsid w:val="0076766D"/>
    <w:rsid w:val="007679BF"/>
    <w:rsid w:val="00767C8F"/>
    <w:rsid w:val="00767FE0"/>
    <w:rsid w:val="00770323"/>
    <w:rsid w:val="0077033E"/>
    <w:rsid w:val="00770DF6"/>
    <w:rsid w:val="00770F3F"/>
    <w:rsid w:val="007714A6"/>
    <w:rsid w:val="0077150A"/>
    <w:rsid w:val="0077163A"/>
    <w:rsid w:val="00771A69"/>
    <w:rsid w:val="0077216D"/>
    <w:rsid w:val="0077286B"/>
    <w:rsid w:val="00772B63"/>
    <w:rsid w:val="00773500"/>
    <w:rsid w:val="0077355F"/>
    <w:rsid w:val="00773974"/>
    <w:rsid w:val="007739ED"/>
    <w:rsid w:val="00773B86"/>
    <w:rsid w:val="00773D90"/>
    <w:rsid w:val="007745A2"/>
    <w:rsid w:val="00775461"/>
    <w:rsid w:val="007754B4"/>
    <w:rsid w:val="0077573F"/>
    <w:rsid w:val="00775947"/>
    <w:rsid w:val="007761E6"/>
    <w:rsid w:val="00776C38"/>
    <w:rsid w:val="00776E05"/>
    <w:rsid w:val="00776E0F"/>
    <w:rsid w:val="007774E4"/>
    <w:rsid w:val="00780208"/>
    <w:rsid w:val="00780791"/>
    <w:rsid w:val="00780FF5"/>
    <w:rsid w:val="0078117A"/>
    <w:rsid w:val="00781275"/>
    <w:rsid w:val="007813C4"/>
    <w:rsid w:val="00781955"/>
    <w:rsid w:val="00782270"/>
    <w:rsid w:val="00782307"/>
    <w:rsid w:val="0078240D"/>
    <w:rsid w:val="0078275D"/>
    <w:rsid w:val="007829F5"/>
    <w:rsid w:val="00782CEC"/>
    <w:rsid w:val="00783335"/>
    <w:rsid w:val="00783644"/>
    <w:rsid w:val="007839F8"/>
    <w:rsid w:val="0078474A"/>
    <w:rsid w:val="00784CEE"/>
    <w:rsid w:val="00784DDA"/>
    <w:rsid w:val="0078517E"/>
    <w:rsid w:val="007852FF"/>
    <w:rsid w:val="0078618D"/>
    <w:rsid w:val="007868B1"/>
    <w:rsid w:val="00786AD9"/>
    <w:rsid w:val="007871A6"/>
    <w:rsid w:val="00787210"/>
    <w:rsid w:val="00787250"/>
    <w:rsid w:val="00787673"/>
    <w:rsid w:val="00787855"/>
    <w:rsid w:val="00787998"/>
    <w:rsid w:val="007906D2"/>
    <w:rsid w:val="00790BB3"/>
    <w:rsid w:val="00791845"/>
    <w:rsid w:val="00791A75"/>
    <w:rsid w:val="00791D0C"/>
    <w:rsid w:val="00791DB7"/>
    <w:rsid w:val="00791FE0"/>
    <w:rsid w:val="007924D6"/>
    <w:rsid w:val="007925B8"/>
    <w:rsid w:val="00792D69"/>
    <w:rsid w:val="00792DB7"/>
    <w:rsid w:val="00792E5C"/>
    <w:rsid w:val="00793171"/>
    <w:rsid w:val="007935E2"/>
    <w:rsid w:val="00793CB8"/>
    <w:rsid w:val="00794083"/>
    <w:rsid w:val="0079410E"/>
    <w:rsid w:val="00794800"/>
    <w:rsid w:val="00794871"/>
    <w:rsid w:val="00794AA3"/>
    <w:rsid w:val="007955E9"/>
    <w:rsid w:val="00795867"/>
    <w:rsid w:val="007959D3"/>
    <w:rsid w:val="00795B59"/>
    <w:rsid w:val="00795C05"/>
    <w:rsid w:val="007961C1"/>
    <w:rsid w:val="00796C06"/>
    <w:rsid w:val="00796CA3"/>
    <w:rsid w:val="007979CD"/>
    <w:rsid w:val="00797B7B"/>
    <w:rsid w:val="00797CA9"/>
    <w:rsid w:val="00797CE1"/>
    <w:rsid w:val="007A00F7"/>
    <w:rsid w:val="007A0851"/>
    <w:rsid w:val="007A174F"/>
    <w:rsid w:val="007A18B0"/>
    <w:rsid w:val="007A253D"/>
    <w:rsid w:val="007A2567"/>
    <w:rsid w:val="007A2688"/>
    <w:rsid w:val="007A289C"/>
    <w:rsid w:val="007A2D2A"/>
    <w:rsid w:val="007A34A8"/>
    <w:rsid w:val="007A35D4"/>
    <w:rsid w:val="007A35E3"/>
    <w:rsid w:val="007A383F"/>
    <w:rsid w:val="007A3DF8"/>
    <w:rsid w:val="007A40B2"/>
    <w:rsid w:val="007A420B"/>
    <w:rsid w:val="007A4341"/>
    <w:rsid w:val="007A43A1"/>
    <w:rsid w:val="007A4820"/>
    <w:rsid w:val="007A491F"/>
    <w:rsid w:val="007A530F"/>
    <w:rsid w:val="007A5B84"/>
    <w:rsid w:val="007A5C3B"/>
    <w:rsid w:val="007A5E07"/>
    <w:rsid w:val="007A5EC1"/>
    <w:rsid w:val="007A6021"/>
    <w:rsid w:val="007A6170"/>
    <w:rsid w:val="007A62F9"/>
    <w:rsid w:val="007A637E"/>
    <w:rsid w:val="007A63B2"/>
    <w:rsid w:val="007A6589"/>
    <w:rsid w:val="007A65BF"/>
    <w:rsid w:val="007A65E0"/>
    <w:rsid w:val="007A66F1"/>
    <w:rsid w:val="007A6738"/>
    <w:rsid w:val="007A68B9"/>
    <w:rsid w:val="007A68CD"/>
    <w:rsid w:val="007A6D57"/>
    <w:rsid w:val="007A6ED9"/>
    <w:rsid w:val="007A7129"/>
    <w:rsid w:val="007A7279"/>
    <w:rsid w:val="007A7337"/>
    <w:rsid w:val="007A78A5"/>
    <w:rsid w:val="007B0AA8"/>
    <w:rsid w:val="007B0C40"/>
    <w:rsid w:val="007B128A"/>
    <w:rsid w:val="007B12EC"/>
    <w:rsid w:val="007B135F"/>
    <w:rsid w:val="007B153B"/>
    <w:rsid w:val="007B1A0A"/>
    <w:rsid w:val="007B2331"/>
    <w:rsid w:val="007B26FA"/>
    <w:rsid w:val="007B27AE"/>
    <w:rsid w:val="007B2FEF"/>
    <w:rsid w:val="007B3326"/>
    <w:rsid w:val="007B3615"/>
    <w:rsid w:val="007B3696"/>
    <w:rsid w:val="007B3875"/>
    <w:rsid w:val="007B3D23"/>
    <w:rsid w:val="007B3F2D"/>
    <w:rsid w:val="007B42A1"/>
    <w:rsid w:val="007B45A2"/>
    <w:rsid w:val="007B485A"/>
    <w:rsid w:val="007B4890"/>
    <w:rsid w:val="007B493C"/>
    <w:rsid w:val="007B4A0D"/>
    <w:rsid w:val="007B50A6"/>
    <w:rsid w:val="007B54F0"/>
    <w:rsid w:val="007B56E7"/>
    <w:rsid w:val="007B5E8C"/>
    <w:rsid w:val="007B6089"/>
    <w:rsid w:val="007B6358"/>
    <w:rsid w:val="007B6D9D"/>
    <w:rsid w:val="007B7248"/>
    <w:rsid w:val="007B770C"/>
    <w:rsid w:val="007B7A20"/>
    <w:rsid w:val="007B7BDC"/>
    <w:rsid w:val="007B7CE6"/>
    <w:rsid w:val="007C0093"/>
    <w:rsid w:val="007C04BC"/>
    <w:rsid w:val="007C0615"/>
    <w:rsid w:val="007C0969"/>
    <w:rsid w:val="007C0FDD"/>
    <w:rsid w:val="007C1023"/>
    <w:rsid w:val="007C1381"/>
    <w:rsid w:val="007C16D5"/>
    <w:rsid w:val="007C1C74"/>
    <w:rsid w:val="007C1C76"/>
    <w:rsid w:val="007C1EC7"/>
    <w:rsid w:val="007C1FB6"/>
    <w:rsid w:val="007C202B"/>
    <w:rsid w:val="007C2330"/>
    <w:rsid w:val="007C2453"/>
    <w:rsid w:val="007C2485"/>
    <w:rsid w:val="007C2944"/>
    <w:rsid w:val="007C2CC5"/>
    <w:rsid w:val="007C2D83"/>
    <w:rsid w:val="007C2FAB"/>
    <w:rsid w:val="007C3B37"/>
    <w:rsid w:val="007C3D95"/>
    <w:rsid w:val="007C3E78"/>
    <w:rsid w:val="007C430F"/>
    <w:rsid w:val="007C45B6"/>
    <w:rsid w:val="007C45DC"/>
    <w:rsid w:val="007C47E1"/>
    <w:rsid w:val="007C48D8"/>
    <w:rsid w:val="007C48F1"/>
    <w:rsid w:val="007C4D3C"/>
    <w:rsid w:val="007C5350"/>
    <w:rsid w:val="007C5420"/>
    <w:rsid w:val="007C59B4"/>
    <w:rsid w:val="007C5F28"/>
    <w:rsid w:val="007C6848"/>
    <w:rsid w:val="007C6C6E"/>
    <w:rsid w:val="007C6CA8"/>
    <w:rsid w:val="007C7110"/>
    <w:rsid w:val="007C7988"/>
    <w:rsid w:val="007C7C3F"/>
    <w:rsid w:val="007D008F"/>
    <w:rsid w:val="007D0124"/>
    <w:rsid w:val="007D06F7"/>
    <w:rsid w:val="007D0E71"/>
    <w:rsid w:val="007D1060"/>
    <w:rsid w:val="007D13C2"/>
    <w:rsid w:val="007D1613"/>
    <w:rsid w:val="007D1EE2"/>
    <w:rsid w:val="007D3147"/>
    <w:rsid w:val="007D325E"/>
    <w:rsid w:val="007D3728"/>
    <w:rsid w:val="007D375C"/>
    <w:rsid w:val="007D3965"/>
    <w:rsid w:val="007D39FA"/>
    <w:rsid w:val="007D3ACE"/>
    <w:rsid w:val="007D4247"/>
    <w:rsid w:val="007D46C7"/>
    <w:rsid w:val="007D4D5B"/>
    <w:rsid w:val="007D515B"/>
    <w:rsid w:val="007D5670"/>
    <w:rsid w:val="007D5836"/>
    <w:rsid w:val="007D61F4"/>
    <w:rsid w:val="007D65B3"/>
    <w:rsid w:val="007D67BB"/>
    <w:rsid w:val="007D6981"/>
    <w:rsid w:val="007D6A04"/>
    <w:rsid w:val="007D71A2"/>
    <w:rsid w:val="007E007B"/>
    <w:rsid w:val="007E042F"/>
    <w:rsid w:val="007E0814"/>
    <w:rsid w:val="007E08D5"/>
    <w:rsid w:val="007E097A"/>
    <w:rsid w:val="007E10A1"/>
    <w:rsid w:val="007E160B"/>
    <w:rsid w:val="007E16CF"/>
    <w:rsid w:val="007E1B08"/>
    <w:rsid w:val="007E1C57"/>
    <w:rsid w:val="007E1F9D"/>
    <w:rsid w:val="007E2175"/>
    <w:rsid w:val="007E27D7"/>
    <w:rsid w:val="007E29A8"/>
    <w:rsid w:val="007E3086"/>
    <w:rsid w:val="007E32D4"/>
    <w:rsid w:val="007E3876"/>
    <w:rsid w:val="007E39BD"/>
    <w:rsid w:val="007E3EB3"/>
    <w:rsid w:val="007E40B0"/>
    <w:rsid w:val="007E422F"/>
    <w:rsid w:val="007E42A5"/>
    <w:rsid w:val="007E4B98"/>
    <w:rsid w:val="007E4E01"/>
    <w:rsid w:val="007E5963"/>
    <w:rsid w:val="007E5BC1"/>
    <w:rsid w:val="007E5BD6"/>
    <w:rsid w:val="007E5CE7"/>
    <w:rsid w:val="007E5D14"/>
    <w:rsid w:val="007E64AB"/>
    <w:rsid w:val="007E67A3"/>
    <w:rsid w:val="007E6BBD"/>
    <w:rsid w:val="007E6ED0"/>
    <w:rsid w:val="007E742A"/>
    <w:rsid w:val="007E77B7"/>
    <w:rsid w:val="007E7E2F"/>
    <w:rsid w:val="007F00B0"/>
    <w:rsid w:val="007F08D8"/>
    <w:rsid w:val="007F0B22"/>
    <w:rsid w:val="007F1BD0"/>
    <w:rsid w:val="007F1EBB"/>
    <w:rsid w:val="007F2252"/>
    <w:rsid w:val="007F256C"/>
    <w:rsid w:val="007F2612"/>
    <w:rsid w:val="007F26DA"/>
    <w:rsid w:val="007F26E7"/>
    <w:rsid w:val="007F2821"/>
    <w:rsid w:val="007F2D0B"/>
    <w:rsid w:val="007F33F2"/>
    <w:rsid w:val="007F37BC"/>
    <w:rsid w:val="007F387D"/>
    <w:rsid w:val="007F39DF"/>
    <w:rsid w:val="007F3AA7"/>
    <w:rsid w:val="007F3B93"/>
    <w:rsid w:val="007F4002"/>
    <w:rsid w:val="007F44A1"/>
    <w:rsid w:val="007F4D2B"/>
    <w:rsid w:val="007F4FB9"/>
    <w:rsid w:val="007F4FEF"/>
    <w:rsid w:val="007F52D3"/>
    <w:rsid w:val="007F5710"/>
    <w:rsid w:val="007F64AC"/>
    <w:rsid w:val="007F69AE"/>
    <w:rsid w:val="007F6BDB"/>
    <w:rsid w:val="007F7095"/>
    <w:rsid w:val="007F70FD"/>
    <w:rsid w:val="007F7520"/>
    <w:rsid w:val="007F7540"/>
    <w:rsid w:val="007F773D"/>
    <w:rsid w:val="007F7B95"/>
    <w:rsid w:val="007F7C2F"/>
    <w:rsid w:val="007F7C87"/>
    <w:rsid w:val="007F7C92"/>
    <w:rsid w:val="007F7CEB"/>
    <w:rsid w:val="008001EE"/>
    <w:rsid w:val="0080029D"/>
    <w:rsid w:val="00800F73"/>
    <w:rsid w:val="0080135B"/>
    <w:rsid w:val="00801391"/>
    <w:rsid w:val="00801720"/>
    <w:rsid w:val="00801C4F"/>
    <w:rsid w:val="00801FEB"/>
    <w:rsid w:val="00802561"/>
    <w:rsid w:val="00802587"/>
    <w:rsid w:val="00802C3F"/>
    <w:rsid w:val="00802EDE"/>
    <w:rsid w:val="00802FC7"/>
    <w:rsid w:val="00803100"/>
    <w:rsid w:val="008032E2"/>
    <w:rsid w:val="00803352"/>
    <w:rsid w:val="0080337F"/>
    <w:rsid w:val="008036DD"/>
    <w:rsid w:val="00803816"/>
    <w:rsid w:val="00803AF6"/>
    <w:rsid w:val="00803C0F"/>
    <w:rsid w:val="008047EB"/>
    <w:rsid w:val="00804EF6"/>
    <w:rsid w:val="00805054"/>
    <w:rsid w:val="0080511D"/>
    <w:rsid w:val="008054DB"/>
    <w:rsid w:val="00805506"/>
    <w:rsid w:val="0080591B"/>
    <w:rsid w:val="00805ADB"/>
    <w:rsid w:val="00806279"/>
    <w:rsid w:val="008063E6"/>
    <w:rsid w:val="00806665"/>
    <w:rsid w:val="00806923"/>
    <w:rsid w:val="00806E3E"/>
    <w:rsid w:val="00806F12"/>
    <w:rsid w:val="008071AD"/>
    <w:rsid w:val="0080733D"/>
    <w:rsid w:val="008079EE"/>
    <w:rsid w:val="00807A6B"/>
    <w:rsid w:val="00807D18"/>
    <w:rsid w:val="00807DAC"/>
    <w:rsid w:val="008107FD"/>
    <w:rsid w:val="00810B8B"/>
    <w:rsid w:val="00810D5A"/>
    <w:rsid w:val="00811B2B"/>
    <w:rsid w:val="00811F9E"/>
    <w:rsid w:val="00811FC8"/>
    <w:rsid w:val="008121EB"/>
    <w:rsid w:val="00812AC1"/>
    <w:rsid w:val="00812B42"/>
    <w:rsid w:val="00812EF0"/>
    <w:rsid w:val="00813092"/>
    <w:rsid w:val="00813285"/>
    <w:rsid w:val="008132C2"/>
    <w:rsid w:val="008134C1"/>
    <w:rsid w:val="008137D5"/>
    <w:rsid w:val="0081423C"/>
    <w:rsid w:val="00814486"/>
    <w:rsid w:val="00814E86"/>
    <w:rsid w:val="00815123"/>
    <w:rsid w:val="00815494"/>
    <w:rsid w:val="008157A4"/>
    <w:rsid w:val="00815F22"/>
    <w:rsid w:val="0081632C"/>
    <w:rsid w:val="008167B4"/>
    <w:rsid w:val="00816A7D"/>
    <w:rsid w:val="00816EA3"/>
    <w:rsid w:val="00817383"/>
    <w:rsid w:val="00820159"/>
    <w:rsid w:val="0082088B"/>
    <w:rsid w:val="00820CAF"/>
    <w:rsid w:val="00820CFF"/>
    <w:rsid w:val="00821103"/>
    <w:rsid w:val="0082115E"/>
    <w:rsid w:val="0082116E"/>
    <w:rsid w:val="008212CA"/>
    <w:rsid w:val="008213FE"/>
    <w:rsid w:val="0082145B"/>
    <w:rsid w:val="0082151E"/>
    <w:rsid w:val="00821813"/>
    <w:rsid w:val="00821895"/>
    <w:rsid w:val="008219D4"/>
    <w:rsid w:val="00821E9B"/>
    <w:rsid w:val="008221F7"/>
    <w:rsid w:val="00822276"/>
    <w:rsid w:val="008226BD"/>
    <w:rsid w:val="00822799"/>
    <w:rsid w:val="00822E93"/>
    <w:rsid w:val="00822FFD"/>
    <w:rsid w:val="0082351F"/>
    <w:rsid w:val="008237C8"/>
    <w:rsid w:val="0082393A"/>
    <w:rsid w:val="00824964"/>
    <w:rsid w:val="00824B66"/>
    <w:rsid w:val="00824E27"/>
    <w:rsid w:val="008251BE"/>
    <w:rsid w:val="008252A2"/>
    <w:rsid w:val="008252E4"/>
    <w:rsid w:val="0082566B"/>
    <w:rsid w:val="00825AEB"/>
    <w:rsid w:val="00826A01"/>
    <w:rsid w:val="00826C91"/>
    <w:rsid w:val="00826D34"/>
    <w:rsid w:val="00826EC9"/>
    <w:rsid w:val="00826FEB"/>
    <w:rsid w:val="008279C4"/>
    <w:rsid w:val="00827B94"/>
    <w:rsid w:val="00827E6C"/>
    <w:rsid w:val="00827F49"/>
    <w:rsid w:val="008301D8"/>
    <w:rsid w:val="008302D8"/>
    <w:rsid w:val="0083097E"/>
    <w:rsid w:val="00830ABB"/>
    <w:rsid w:val="00830F25"/>
    <w:rsid w:val="00831763"/>
    <w:rsid w:val="00831850"/>
    <w:rsid w:val="00831C16"/>
    <w:rsid w:val="00831D21"/>
    <w:rsid w:val="00831FD7"/>
    <w:rsid w:val="0083204C"/>
    <w:rsid w:val="00832366"/>
    <w:rsid w:val="008328DF"/>
    <w:rsid w:val="0083290E"/>
    <w:rsid w:val="00832CF4"/>
    <w:rsid w:val="00832F6E"/>
    <w:rsid w:val="00832FA4"/>
    <w:rsid w:val="008335EE"/>
    <w:rsid w:val="00833652"/>
    <w:rsid w:val="00833B2F"/>
    <w:rsid w:val="008342EB"/>
    <w:rsid w:val="008344C1"/>
    <w:rsid w:val="008346CE"/>
    <w:rsid w:val="008348DC"/>
    <w:rsid w:val="00834B10"/>
    <w:rsid w:val="00834E03"/>
    <w:rsid w:val="00834F2C"/>
    <w:rsid w:val="00834FE0"/>
    <w:rsid w:val="00835239"/>
    <w:rsid w:val="00835639"/>
    <w:rsid w:val="00835B80"/>
    <w:rsid w:val="008360CB"/>
    <w:rsid w:val="0083619E"/>
    <w:rsid w:val="008361C4"/>
    <w:rsid w:val="008362DB"/>
    <w:rsid w:val="00836311"/>
    <w:rsid w:val="008366A3"/>
    <w:rsid w:val="008367F1"/>
    <w:rsid w:val="00836810"/>
    <w:rsid w:val="00836925"/>
    <w:rsid w:val="00837375"/>
    <w:rsid w:val="0083795C"/>
    <w:rsid w:val="008408AE"/>
    <w:rsid w:val="00840F02"/>
    <w:rsid w:val="00840F7D"/>
    <w:rsid w:val="0084178A"/>
    <w:rsid w:val="008418F7"/>
    <w:rsid w:val="008419AB"/>
    <w:rsid w:val="00842E71"/>
    <w:rsid w:val="008432B2"/>
    <w:rsid w:val="00843A33"/>
    <w:rsid w:val="00843B78"/>
    <w:rsid w:val="00843BD1"/>
    <w:rsid w:val="00844772"/>
    <w:rsid w:val="00844D60"/>
    <w:rsid w:val="00844F9A"/>
    <w:rsid w:val="00845477"/>
    <w:rsid w:val="00845B12"/>
    <w:rsid w:val="00846738"/>
    <w:rsid w:val="00846803"/>
    <w:rsid w:val="00846B80"/>
    <w:rsid w:val="00846CF0"/>
    <w:rsid w:val="00847378"/>
    <w:rsid w:val="00847544"/>
    <w:rsid w:val="00847593"/>
    <w:rsid w:val="00847CEE"/>
    <w:rsid w:val="008501B4"/>
    <w:rsid w:val="0085047F"/>
    <w:rsid w:val="00850D45"/>
    <w:rsid w:val="00850F48"/>
    <w:rsid w:val="008512B4"/>
    <w:rsid w:val="008515DE"/>
    <w:rsid w:val="00851988"/>
    <w:rsid w:val="00851B6D"/>
    <w:rsid w:val="008527DA"/>
    <w:rsid w:val="00852AD0"/>
    <w:rsid w:val="00852CEA"/>
    <w:rsid w:val="00852DF9"/>
    <w:rsid w:val="00852F07"/>
    <w:rsid w:val="00853713"/>
    <w:rsid w:val="008538D9"/>
    <w:rsid w:val="008539EB"/>
    <w:rsid w:val="00853FE3"/>
    <w:rsid w:val="008543D7"/>
    <w:rsid w:val="0085440B"/>
    <w:rsid w:val="00854B18"/>
    <w:rsid w:val="00854E47"/>
    <w:rsid w:val="00855587"/>
    <w:rsid w:val="00855A0F"/>
    <w:rsid w:val="00855A99"/>
    <w:rsid w:val="008561F3"/>
    <w:rsid w:val="00856413"/>
    <w:rsid w:val="00856853"/>
    <w:rsid w:val="0085694F"/>
    <w:rsid w:val="00856DCE"/>
    <w:rsid w:val="00856FA0"/>
    <w:rsid w:val="00856FFC"/>
    <w:rsid w:val="00857397"/>
    <w:rsid w:val="00857578"/>
    <w:rsid w:val="0085762B"/>
    <w:rsid w:val="008576E6"/>
    <w:rsid w:val="00857CB2"/>
    <w:rsid w:val="00857E8C"/>
    <w:rsid w:val="00857F21"/>
    <w:rsid w:val="00857FD5"/>
    <w:rsid w:val="008601E0"/>
    <w:rsid w:val="00860301"/>
    <w:rsid w:val="0086084E"/>
    <w:rsid w:val="00860A29"/>
    <w:rsid w:val="00860AE5"/>
    <w:rsid w:val="00860F41"/>
    <w:rsid w:val="00860F7D"/>
    <w:rsid w:val="00860FA2"/>
    <w:rsid w:val="008617CD"/>
    <w:rsid w:val="008619BE"/>
    <w:rsid w:val="008619D1"/>
    <w:rsid w:val="00861B06"/>
    <w:rsid w:val="00861CE2"/>
    <w:rsid w:val="00862533"/>
    <w:rsid w:val="008626A5"/>
    <w:rsid w:val="00863077"/>
    <w:rsid w:val="00863A10"/>
    <w:rsid w:val="00863B77"/>
    <w:rsid w:val="00863CD0"/>
    <w:rsid w:val="0086423A"/>
    <w:rsid w:val="00864D7F"/>
    <w:rsid w:val="008650ED"/>
    <w:rsid w:val="00865627"/>
    <w:rsid w:val="008658F5"/>
    <w:rsid w:val="008659DC"/>
    <w:rsid w:val="00865AF3"/>
    <w:rsid w:val="008661BB"/>
    <w:rsid w:val="00866AA9"/>
    <w:rsid w:val="00866DEB"/>
    <w:rsid w:val="00867A9B"/>
    <w:rsid w:val="00867B00"/>
    <w:rsid w:val="00867D54"/>
    <w:rsid w:val="00870208"/>
    <w:rsid w:val="00870B32"/>
    <w:rsid w:val="00870BB4"/>
    <w:rsid w:val="00871036"/>
    <w:rsid w:val="008711EF"/>
    <w:rsid w:val="00871599"/>
    <w:rsid w:val="00871D04"/>
    <w:rsid w:val="008722F3"/>
    <w:rsid w:val="00872A86"/>
    <w:rsid w:val="008736E0"/>
    <w:rsid w:val="00873D07"/>
    <w:rsid w:val="008741C5"/>
    <w:rsid w:val="0087498F"/>
    <w:rsid w:val="008749D7"/>
    <w:rsid w:val="00874BB9"/>
    <w:rsid w:val="00874D61"/>
    <w:rsid w:val="00874FBD"/>
    <w:rsid w:val="00874FC1"/>
    <w:rsid w:val="00875A20"/>
    <w:rsid w:val="00876520"/>
    <w:rsid w:val="00876674"/>
    <w:rsid w:val="00876729"/>
    <w:rsid w:val="00876743"/>
    <w:rsid w:val="00876AAD"/>
    <w:rsid w:val="00876BCF"/>
    <w:rsid w:val="00876D6B"/>
    <w:rsid w:val="0087771E"/>
    <w:rsid w:val="00877F69"/>
    <w:rsid w:val="00877FB1"/>
    <w:rsid w:val="00880834"/>
    <w:rsid w:val="0088122E"/>
    <w:rsid w:val="00881CCE"/>
    <w:rsid w:val="00881D31"/>
    <w:rsid w:val="00882079"/>
    <w:rsid w:val="00882474"/>
    <w:rsid w:val="008828AA"/>
    <w:rsid w:val="0088291A"/>
    <w:rsid w:val="008829E7"/>
    <w:rsid w:val="00882AB5"/>
    <w:rsid w:val="008833AA"/>
    <w:rsid w:val="00883914"/>
    <w:rsid w:val="00883A81"/>
    <w:rsid w:val="00884975"/>
    <w:rsid w:val="00884BD4"/>
    <w:rsid w:val="00884CF2"/>
    <w:rsid w:val="0088526B"/>
    <w:rsid w:val="008856E4"/>
    <w:rsid w:val="008857F6"/>
    <w:rsid w:val="00885B06"/>
    <w:rsid w:val="00885B27"/>
    <w:rsid w:val="0088664B"/>
    <w:rsid w:val="00886747"/>
    <w:rsid w:val="00886BB4"/>
    <w:rsid w:val="00886E11"/>
    <w:rsid w:val="008871E0"/>
    <w:rsid w:val="008872DF"/>
    <w:rsid w:val="0088749A"/>
    <w:rsid w:val="0088767C"/>
    <w:rsid w:val="00887E7D"/>
    <w:rsid w:val="008903CA"/>
    <w:rsid w:val="00890BFF"/>
    <w:rsid w:val="00890C4D"/>
    <w:rsid w:val="00890CB7"/>
    <w:rsid w:val="00890EFD"/>
    <w:rsid w:val="008915C0"/>
    <w:rsid w:val="00891A72"/>
    <w:rsid w:val="00892023"/>
    <w:rsid w:val="00892121"/>
    <w:rsid w:val="00892584"/>
    <w:rsid w:val="0089278E"/>
    <w:rsid w:val="00892CC1"/>
    <w:rsid w:val="0089332B"/>
    <w:rsid w:val="008933C8"/>
    <w:rsid w:val="00893B54"/>
    <w:rsid w:val="00893BAC"/>
    <w:rsid w:val="00894327"/>
    <w:rsid w:val="008948AC"/>
    <w:rsid w:val="00894926"/>
    <w:rsid w:val="00894B24"/>
    <w:rsid w:val="008959A3"/>
    <w:rsid w:val="008959B2"/>
    <w:rsid w:val="00895F08"/>
    <w:rsid w:val="008961BE"/>
    <w:rsid w:val="00896539"/>
    <w:rsid w:val="00896983"/>
    <w:rsid w:val="00896C18"/>
    <w:rsid w:val="00896E4F"/>
    <w:rsid w:val="0089741D"/>
    <w:rsid w:val="008978C5"/>
    <w:rsid w:val="00897EAD"/>
    <w:rsid w:val="008A02A6"/>
    <w:rsid w:val="008A0A91"/>
    <w:rsid w:val="008A1008"/>
    <w:rsid w:val="008A17D1"/>
    <w:rsid w:val="008A1B6F"/>
    <w:rsid w:val="008A1EB9"/>
    <w:rsid w:val="008A1EDC"/>
    <w:rsid w:val="008A1F07"/>
    <w:rsid w:val="008A2079"/>
    <w:rsid w:val="008A227E"/>
    <w:rsid w:val="008A305C"/>
    <w:rsid w:val="008A33BA"/>
    <w:rsid w:val="008A33D3"/>
    <w:rsid w:val="008A3BB6"/>
    <w:rsid w:val="008A3E25"/>
    <w:rsid w:val="008A3EBB"/>
    <w:rsid w:val="008A422F"/>
    <w:rsid w:val="008A44F4"/>
    <w:rsid w:val="008A4656"/>
    <w:rsid w:val="008A487F"/>
    <w:rsid w:val="008A4C70"/>
    <w:rsid w:val="008A4C73"/>
    <w:rsid w:val="008A51B7"/>
    <w:rsid w:val="008A527B"/>
    <w:rsid w:val="008A5525"/>
    <w:rsid w:val="008A560F"/>
    <w:rsid w:val="008A5616"/>
    <w:rsid w:val="008A5814"/>
    <w:rsid w:val="008A5D78"/>
    <w:rsid w:val="008A5E96"/>
    <w:rsid w:val="008A60A9"/>
    <w:rsid w:val="008A6ABD"/>
    <w:rsid w:val="008A6E56"/>
    <w:rsid w:val="008A6FB4"/>
    <w:rsid w:val="008A733E"/>
    <w:rsid w:val="008A7AE8"/>
    <w:rsid w:val="008A7B5F"/>
    <w:rsid w:val="008A7C13"/>
    <w:rsid w:val="008A7E68"/>
    <w:rsid w:val="008B0376"/>
    <w:rsid w:val="008B0579"/>
    <w:rsid w:val="008B0E2B"/>
    <w:rsid w:val="008B1257"/>
    <w:rsid w:val="008B1883"/>
    <w:rsid w:val="008B1F09"/>
    <w:rsid w:val="008B22B8"/>
    <w:rsid w:val="008B296A"/>
    <w:rsid w:val="008B30F5"/>
    <w:rsid w:val="008B3147"/>
    <w:rsid w:val="008B321B"/>
    <w:rsid w:val="008B32DD"/>
    <w:rsid w:val="008B32EA"/>
    <w:rsid w:val="008B39F0"/>
    <w:rsid w:val="008B3C3D"/>
    <w:rsid w:val="008B4731"/>
    <w:rsid w:val="008B4CE3"/>
    <w:rsid w:val="008B4DE1"/>
    <w:rsid w:val="008B4F8E"/>
    <w:rsid w:val="008B540C"/>
    <w:rsid w:val="008B543D"/>
    <w:rsid w:val="008B5636"/>
    <w:rsid w:val="008B5A96"/>
    <w:rsid w:val="008B5D5D"/>
    <w:rsid w:val="008B5EF6"/>
    <w:rsid w:val="008B604C"/>
    <w:rsid w:val="008B6188"/>
    <w:rsid w:val="008B630E"/>
    <w:rsid w:val="008B6AB4"/>
    <w:rsid w:val="008B6AFD"/>
    <w:rsid w:val="008B6FE8"/>
    <w:rsid w:val="008B71BB"/>
    <w:rsid w:val="008B7304"/>
    <w:rsid w:val="008B7A5A"/>
    <w:rsid w:val="008B7ADF"/>
    <w:rsid w:val="008B7FE1"/>
    <w:rsid w:val="008C0560"/>
    <w:rsid w:val="008C0693"/>
    <w:rsid w:val="008C0AFE"/>
    <w:rsid w:val="008C0D7E"/>
    <w:rsid w:val="008C0E9E"/>
    <w:rsid w:val="008C1C2B"/>
    <w:rsid w:val="008C1CE3"/>
    <w:rsid w:val="008C1DE7"/>
    <w:rsid w:val="008C2314"/>
    <w:rsid w:val="008C235F"/>
    <w:rsid w:val="008C2377"/>
    <w:rsid w:val="008C24C0"/>
    <w:rsid w:val="008C24F8"/>
    <w:rsid w:val="008C2556"/>
    <w:rsid w:val="008C26A9"/>
    <w:rsid w:val="008C3134"/>
    <w:rsid w:val="008C33A2"/>
    <w:rsid w:val="008C34C3"/>
    <w:rsid w:val="008C3AC2"/>
    <w:rsid w:val="008C42F2"/>
    <w:rsid w:val="008C4F68"/>
    <w:rsid w:val="008C51F1"/>
    <w:rsid w:val="008C5563"/>
    <w:rsid w:val="008C564A"/>
    <w:rsid w:val="008C5CDB"/>
    <w:rsid w:val="008C5E59"/>
    <w:rsid w:val="008C6BC1"/>
    <w:rsid w:val="008C6C8D"/>
    <w:rsid w:val="008C7733"/>
    <w:rsid w:val="008C777B"/>
    <w:rsid w:val="008C7C58"/>
    <w:rsid w:val="008C7DFB"/>
    <w:rsid w:val="008C7EEB"/>
    <w:rsid w:val="008D0AFC"/>
    <w:rsid w:val="008D0DA4"/>
    <w:rsid w:val="008D13D0"/>
    <w:rsid w:val="008D15F3"/>
    <w:rsid w:val="008D1B5E"/>
    <w:rsid w:val="008D21CC"/>
    <w:rsid w:val="008D2B61"/>
    <w:rsid w:val="008D2C5D"/>
    <w:rsid w:val="008D30FA"/>
    <w:rsid w:val="008D350E"/>
    <w:rsid w:val="008D3652"/>
    <w:rsid w:val="008D37D2"/>
    <w:rsid w:val="008D3816"/>
    <w:rsid w:val="008D3AE4"/>
    <w:rsid w:val="008D46EF"/>
    <w:rsid w:val="008D4ACE"/>
    <w:rsid w:val="008D4AFB"/>
    <w:rsid w:val="008D4C8A"/>
    <w:rsid w:val="008D4F4B"/>
    <w:rsid w:val="008D5D45"/>
    <w:rsid w:val="008D6743"/>
    <w:rsid w:val="008D6F23"/>
    <w:rsid w:val="008D6FAB"/>
    <w:rsid w:val="008D7130"/>
    <w:rsid w:val="008D72EA"/>
    <w:rsid w:val="008D7563"/>
    <w:rsid w:val="008D7620"/>
    <w:rsid w:val="008E044B"/>
    <w:rsid w:val="008E0C67"/>
    <w:rsid w:val="008E0DB8"/>
    <w:rsid w:val="008E0F4F"/>
    <w:rsid w:val="008E1528"/>
    <w:rsid w:val="008E17DA"/>
    <w:rsid w:val="008E19AF"/>
    <w:rsid w:val="008E1ABE"/>
    <w:rsid w:val="008E1C63"/>
    <w:rsid w:val="008E1EE5"/>
    <w:rsid w:val="008E1EFA"/>
    <w:rsid w:val="008E2323"/>
    <w:rsid w:val="008E241D"/>
    <w:rsid w:val="008E2695"/>
    <w:rsid w:val="008E2CAF"/>
    <w:rsid w:val="008E2E5B"/>
    <w:rsid w:val="008E376E"/>
    <w:rsid w:val="008E37F8"/>
    <w:rsid w:val="008E39D6"/>
    <w:rsid w:val="008E39E7"/>
    <w:rsid w:val="008E3E36"/>
    <w:rsid w:val="008E3F00"/>
    <w:rsid w:val="008E41FD"/>
    <w:rsid w:val="008E49A4"/>
    <w:rsid w:val="008E5305"/>
    <w:rsid w:val="008E5554"/>
    <w:rsid w:val="008E5D66"/>
    <w:rsid w:val="008E5FD5"/>
    <w:rsid w:val="008E6105"/>
    <w:rsid w:val="008E6303"/>
    <w:rsid w:val="008E67DA"/>
    <w:rsid w:val="008E6840"/>
    <w:rsid w:val="008E6C3F"/>
    <w:rsid w:val="008E729A"/>
    <w:rsid w:val="008E751A"/>
    <w:rsid w:val="008E7745"/>
    <w:rsid w:val="008E78C2"/>
    <w:rsid w:val="008E7984"/>
    <w:rsid w:val="008E7C25"/>
    <w:rsid w:val="008F0A44"/>
    <w:rsid w:val="008F0F44"/>
    <w:rsid w:val="008F102F"/>
    <w:rsid w:val="008F10FF"/>
    <w:rsid w:val="008F1224"/>
    <w:rsid w:val="008F15A8"/>
    <w:rsid w:val="008F1645"/>
    <w:rsid w:val="008F1706"/>
    <w:rsid w:val="008F1B06"/>
    <w:rsid w:val="008F1FBC"/>
    <w:rsid w:val="008F23AF"/>
    <w:rsid w:val="008F24A6"/>
    <w:rsid w:val="008F2560"/>
    <w:rsid w:val="008F2BDD"/>
    <w:rsid w:val="008F2D35"/>
    <w:rsid w:val="008F2DFB"/>
    <w:rsid w:val="008F349E"/>
    <w:rsid w:val="008F35D9"/>
    <w:rsid w:val="008F37AA"/>
    <w:rsid w:val="008F3B9E"/>
    <w:rsid w:val="008F3D61"/>
    <w:rsid w:val="008F411C"/>
    <w:rsid w:val="008F417B"/>
    <w:rsid w:val="008F4683"/>
    <w:rsid w:val="008F480B"/>
    <w:rsid w:val="008F483C"/>
    <w:rsid w:val="008F4F5F"/>
    <w:rsid w:val="008F591C"/>
    <w:rsid w:val="008F6CD0"/>
    <w:rsid w:val="008F6FCE"/>
    <w:rsid w:val="008F74E6"/>
    <w:rsid w:val="008F74EC"/>
    <w:rsid w:val="008F756B"/>
    <w:rsid w:val="008F75A2"/>
    <w:rsid w:val="0090045B"/>
    <w:rsid w:val="00900902"/>
    <w:rsid w:val="0090091B"/>
    <w:rsid w:val="00900BE3"/>
    <w:rsid w:val="0090170D"/>
    <w:rsid w:val="00901957"/>
    <w:rsid w:val="00901D54"/>
    <w:rsid w:val="00902415"/>
    <w:rsid w:val="00902605"/>
    <w:rsid w:val="00902743"/>
    <w:rsid w:val="00902A07"/>
    <w:rsid w:val="00903046"/>
    <w:rsid w:val="00903869"/>
    <w:rsid w:val="0090434F"/>
    <w:rsid w:val="00904B2E"/>
    <w:rsid w:val="00904CC0"/>
    <w:rsid w:val="00904DEB"/>
    <w:rsid w:val="009055EB"/>
    <w:rsid w:val="00905958"/>
    <w:rsid w:val="00905A99"/>
    <w:rsid w:val="00905CCF"/>
    <w:rsid w:val="009061AC"/>
    <w:rsid w:val="00906520"/>
    <w:rsid w:val="00906567"/>
    <w:rsid w:val="00906CF5"/>
    <w:rsid w:val="00906DFA"/>
    <w:rsid w:val="00906E85"/>
    <w:rsid w:val="00906EC9"/>
    <w:rsid w:val="009070D7"/>
    <w:rsid w:val="009071BB"/>
    <w:rsid w:val="00907309"/>
    <w:rsid w:val="0090783C"/>
    <w:rsid w:val="00907BBD"/>
    <w:rsid w:val="00907C75"/>
    <w:rsid w:val="0091002F"/>
    <w:rsid w:val="00910EE9"/>
    <w:rsid w:val="0091144A"/>
    <w:rsid w:val="00911A63"/>
    <w:rsid w:val="00911B6D"/>
    <w:rsid w:val="00911CA2"/>
    <w:rsid w:val="00912161"/>
    <w:rsid w:val="0091247F"/>
    <w:rsid w:val="0091286E"/>
    <w:rsid w:val="00912BEF"/>
    <w:rsid w:val="00912EC9"/>
    <w:rsid w:val="00913BB4"/>
    <w:rsid w:val="00913C44"/>
    <w:rsid w:val="00913DF4"/>
    <w:rsid w:val="00913E0E"/>
    <w:rsid w:val="00913E30"/>
    <w:rsid w:val="009144E3"/>
    <w:rsid w:val="0091486F"/>
    <w:rsid w:val="00914A9F"/>
    <w:rsid w:val="00914C1F"/>
    <w:rsid w:val="00915A11"/>
    <w:rsid w:val="00915FBD"/>
    <w:rsid w:val="0091629A"/>
    <w:rsid w:val="00916414"/>
    <w:rsid w:val="0091697F"/>
    <w:rsid w:val="00917E7E"/>
    <w:rsid w:val="00920191"/>
    <w:rsid w:val="009212CB"/>
    <w:rsid w:val="0092162F"/>
    <w:rsid w:val="009216EB"/>
    <w:rsid w:val="00921960"/>
    <w:rsid w:val="00921ACA"/>
    <w:rsid w:val="00921D0B"/>
    <w:rsid w:val="00922598"/>
    <w:rsid w:val="00922703"/>
    <w:rsid w:val="00922F45"/>
    <w:rsid w:val="00923092"/>
    <w:rsid w:val="00923A9C"/>
    <w:rsid w:val="00923D65"/>
    <w:rsid w:val="00924139"/>
    <w:rsid w:val="00924DDA"/>
    <w:rsid w:val="00924E56"/>
    <w:rsid w:val="00924EB2"/>
    <w:rsid w:val="00925248"/>
    <w:rsid w:val="009254A5"/>
    <w:rsid w:val="00925CE9"/>
    <w:rsid w:val="00925E59"/>
    <w:rsid w:val="00925F58"/>
    <w:rsid w:val="00926946"/>
    <w:rsid w:val="00926A4A"/>
    <w:rsid w:val="00926A69"/>
    <w:rsid w:val="00926DEE"/>
    <w:rsid w:val="00926F99"/>
    <w:rsid w:val="00927270"/>
    <w:rsid w:val="00927A8E"/>
    <w:rsid w:val="00927CD5"/>
    <w:rsid w:val="00927E48"/>
    <w:rsid w:val="00927F37"/>
    <w:rsid w:val="00927FA8"/>
    <w:rsid w:val="00930AE7"/>
    <w:rsid w:val="00930E8E"/>
    <w:rsid w:val="009310EF"/>
    <w:rsid w:val="0093165F"/>
    <w:rsid w:val="00931687"/>
    <w:rsid w:val="00931A50"/>
    <w:rsid w:val="00931EB2"/>
    <w:rsid w:val="00931F81"/>
    <w:rsid w:val="009322F7"/>
    <w:rsid w:val="0093265B"/>
    <w:rsid w:val="0093276C"/>
    <w:rsid w:val="009327AB"/>
    <w:rsid w:val="00932A85"/>
    <w:rsid w:val="00932B2F"/>
    <w:rsid w:val="00932F6B"/>
    <w:rsid w:val="00932F96"/>
    <w:rsid w:val="009333A8"/>
    <w:rsid w:val="00933456"/>
    <w:rsid w:val="00933BB7"/>
    <w:rsid w:val="00933EDD"/>
    <w:rsid w:val="00933FD5"/>
    <w:rsid w:val="00934746"/>
    <w:rsid w:val="00934BEF"/>
    <w:rsid w:val="00934CB3"/>
    <w:rsid w:val="00934E4E"/>
    <w:rsid w:val="00934EE5"/>
    <w:rsid w:val="00935294"/>
    <w:rsid w:val="00935381"/>
    <w:rsid w:val="0093571D"/>
    <w:rsid w:val="0093581A"/>
    <w:rsid w:val="00935A5E"/>
    <w:rsid w:val="00935E1B"/>
    <w:rsid w:val="00936106"/>
    <w:rsid w:val="0093670B"/>
    <w:rsid w:val="00936B30"/>
    <w:rsid w:val="00936CE9"/>
    <w:rsid w:val="00937014"/>
    <w:rsid w:val="009375EC"/>
    <w:rsid w:val="009378B7"/>
    <w:rsid w:val="00937E5D"/>
    <w:rsid w:val="0094031D"/>
    <w:rsid w:val="00940327"/>
    <w:rsid w:val="00940345"/>
    <w:rsid w:val="0094037C"/>
    <w:rsid w:val="00940B82"/>
    <w:rsid w:val="00940BDE"/>
    <w:rsid w:val="0094156A"/>
    <w:rsid w:val="009415E2"/>
    <w:rsid w:val="0094184A"/>
    <w:rsid w:val="0094199C"/>
    <w:rsid w:val="009428A5"/>
    <w:rsid w:val="00942D4C"/>
    <w:rsid w:val="0094308A"/>
    <w:rsid w:val="0094342D"/>
    <w:rsid w:val="00943B90"/>
    <w:rsid w:val="00943BA0"/>
    <w:rsid w:val="00943C32"/>
    <w:rsid w:val="00944608"/>
    <w:rsid w:val="00944A40"/>
    <w:rsid w:val="00945894"/>
    <w:rsid w:val="0094595D"/>
    <w:rsid w:val="0094645B"/>
    <w:rsid w:val="00946B63"/>
    <w:rsid w:val="00946DBF"/>
    <w:rsid w:val="00946F2A"/>
    <w:rsid w:val="00946F8C"/>
    <w:rsid w:val="00947568"/>
    <w:rsid w:val="00947BEF"/>
    <w:rsid w:val="00947D63"/>
    <w:rsid w:val="00950065"/>
    <w:rsid w:val="0095020C"/>
    <w:rsid w:val="00950374"/>
    <w:rsid w:val="00950512"/>
    <w:rsid w:val="009505EF"/>
    <w:rsid w:val="0095079C"/>
    <w:rsid w:val="009507DA"/>
    <w:rsid w:val="00950C28"/>
    <w:rsid w:val="00950C9A"/>
    <w:rsid w:val="00950FDB"/>
    <w:rsid w:val="00951C1C"/>
    <w:rsid w:val="00951F10"/>
    <w:rsid w:val="00952005"/>
    <w:rsid w:val="009521FA"/>
    <w:rsid w:val="00952327"/>
    <w:rsid w:val="00952546"/>
    <w:rsid w:val="0095268D"/>
    <w:rsid w:val="00952AC0"/>
    <w:rsid w:val="00952AD7"/>
    <w:rsid w:val="009532C5"/>
    <w:rsid w:val="009539F8"/>
    <w:rsid w:val="00953ED3"/>
    <w:rsid w:val="00954217"/>
    <w:rsid w:val="00954DC1"/>
    <w:rsid w:val="00954DE2"/>
    <w:rsid w:val="00955028"/>
    <w:rsid w:val="0095538F"/>
    <w:rsid w:val="00955410"/>
    <w:rsid w:val="00955DB6"/>
    <w:rsid w:val="00955DBE"/>
    <w:rsid w:val="00956611"/>
    <w:rsid w:val="00956A53"/>
    <w:rsid w:val="00956C14"/>
    <w:rsid w:val="00956F35"/>
    <w:rsid w:val="00956F54"/>
    <w:rsid w:val="0095786A"/>
    <w:rsid w:val="009579C8"/>
    <w:rsid w:val="00957E63"/>
    <w:rsid w:val="00960084"/>
    <w:rsid w:val="00960735"/>
    <w:rsid w:val="00960791"/>
    <w:rsid w:val="009608B0"/>
    <w:rsid w:val="00960996"/>
    <w:rsid w:val="00960D08"/>
    <w:rsid w:val="00961131"/>
    <w:rsid w:val="00961703"/>
    <w:rsid w:val="00961F1E"/>
    <w:rsid w:val="00962620"/>
    <w:rsid w:val="00962644"/>
    <w:rsid w:val="00962674"/>
    <w:rsid w:val="00962A1C"/>
    <w:rsid w:val="00962CD4"/>
    <w:rsid w:val="00962F1F"/>
    <w:rsid w:val="0096319C"/>
    <w:rsid w:val="009636DF"/>
    <w:rsid w:val="00963B7A"/>
    <w:rsid w:val="00963DBF"/>
    <w:rsid w:val="0096417E"/>
    <w:rsid w:val="009643F7"/>
    <w:rsid w:val="00964569"/>
    <w:rsid w:val="00964D3C"/>
    <w:rsid w:val="00965654"/>
    <w:rsid w:val="00965A02"/>
    <w:rsid w:val="00965DD8"/>
    <w:rsid w:val="00965EB5"/>
    <w:rsid w:val="00966232"/>
    <w:rsid w:val="009664E7"/>
    <w:rsid w:val="00966644"/>
    <w:rsid w:val="009667C6"/>
    <w:rsid w:val="009668B0"/>
    <w:rsid w:val="009669F3"/>
    <w:rsid w:val="00966D4E"/>
    <w:rsid w:val="00966E38"/>
    <w:rsid w:val="0096731C"/>
    <w:rsid w:val="0096767A"/>
    <w:rsid w:val="00967743"/>
    <w:rsid w:val="009678C5"/>
    <w:rsid w:val="00967F8D"/>
    <w:rsid w:val="00970263"/>
    <w:rsid w:val="00970305"/>
    <w:rsid w:val="009704B4"/>
    <w:rsid w:val="00970540"/>
    <w:rsid w:val="009705A8"/>
    <w:rsid w:val="00970B51"/>
    <w:rsid w:val="00970C12"/>
    <w:rsid w:val="00970E5A"/>
    <w:rsid w:val="009716AF"/>
    <w:rsid w:val="00971997"/>
    <w:rsid w:val="00971A90"/>
    <w:rsid w:val="0097261A"/>
    <w:rsid w:val="00972A63"/>
    <w:rsid w:val="00973352"/>
    <w:rsid w:val="00973931"/>
    <w:rsid w:val="00973C5D"/>
    <w:rsid w:val="00973E01"/>
    <w:rsid w:val="00973E73"/>
    <w:rsid w:val="00973EEB"/>
    <w:rsid w:val="00974661"/>
    <w:rsid w:val="00974BDD"/>
    <w:rsid w:val="00974FBC"/>
    <w:rsid w:val="009751CC"/>
    <w:rsid w:val="0097581D"/>
    <w:rsid w:val="0097597B"/>
    <w:rsid w:val="00975A38"/>
    <w:rsid w:val="0097645D"/>
    <w:rsid w:val="00976A43"/>
    <w:rsid w:val="00976EED"/>
    <w:rsid w:val="00977049"/>
    <w:rsid w:val="009772B2"/>
    <w:rsid w:val="00977357"/>
    <w:rsid w:val="00977BB2"/>
    <w:rsid w:val="00977DAF"/>
    <w:rsid w:val="009803D0"/>
    <w:rsid w:val="00980820"/>
    <w:rsid w:val="009808F9"/>
    <w:rsid w:val="00980AD7"/>
    <w:rsid w:val="00980D59"/>
    <w:rsid w:val="00981127"/>
    <w:rsid w:val="009812EC"/>
    <w:rsid w:val="00981A76"/>
    <w:rsid w:val="00981F9B"/>
    <w:rsid w:val="00981FE4"/>
    <w:rsid w:val="00982737"/>
    <w:rsid w:val="0098293C"/>
    <w:rsid w:val="00982CFA"/>
    <w:rsid w:val="00982E3B"/>
    <w:rsid w:val="00982E97"/>
    <w:rsid w:val="00983636"/>
    <w:rsid w:val="009837D5"/>
    <w:rsid w:val="009837EE"/>
    <w:rsid w:val="00983C74"/>
    <w:rsid w:val="00983E11"/>
    <w:rsid w:val="0098434E"/>
    <w:rsid w:val="00984602"/>
    <w:rsid w:val="009849A8"/>
    <w:rsid w:val="00984D20"/>
    <w:rsid w:val="00984FBC"/>
    <w:rsid w:val="009855FA"/>
    <w:rsid w:val="00985631"/>
    <w:rsid w:val="009857E2"/>
    <w:rsid w:val="0098594A"/>
    <w:rsid w:val="00986483"/>
    <w:rsid w:val="0098694F"/>
    <w:rsid w:val="00986964"/>
    <w:rsid w:val="009878F8"/>
    <w:rsid w:val="00987A76"/>
    <w:rsid w:val="00987B8F"/>
    <w:rsid w:val="00987BA4"/>
    <w:rsid w:val="009903C3"/>
    <w:rsid w:val="009903D8"/>
    <w:rsid w:val="009905C0"/>
    <w:rsid w:val="00990A39"/>
    <w:rsid w:val="00990E62"/>
    <w:rsid w:val="009910E9"/>
    <w:rsid w:val="009913C2"/>
    <w:rsid w:val="0099144D"/>
    <w:rsid w:val="009916AB"/>
    <w:rsid w:val="00991966"/>
    <w:rsid w:val="00991B0D"/>
    <w:rsid w:val="00991EED"/>
    <w:rsid w:val="00992B3E"/>
    <w:rsid w:val="0099363C"/>
    <w:rsid w:val="00993C94"/>
    <w:rsid w:val="009942B7"/>
    <w:rsid w:val="00994B8D"/>
    <w:rsid w:val="00994E16"/>
    <w:rsid w:val="009953E2"/>
    <w:rsid w:val="00995828"/>
    <w:rsid w:val="00995C31"/>
    <w:rsid w:val="00995F94"/>
    <w:rsid w:val="0099601E"/>
    <w:rsid w:val="009961F7"/>
    <w:rsid w:val="009965BD"/>
    <w:rsid w:val="0099689C"/>
    <w:rsid w:val="009968C6"/>
    <w:rsid w:val="00996B2C"/>
    <w:rsid w:val="00997126"/>
    <w:rsid w:val="00997673"/>
    <w:rsid w:val="009978BA"/>
    <w:rsid w:val="00997A78"/>
    <w:rsid w:val="00997BD9"/>
    <w:rsid w:val="009A0611"/>
    <w:rsid w:val="009A0710"/>
    <w:rsid w:val="009A0CD1"/>
    <w:rsid w:val="009A10C8"/>
    <w:rsid w:val="009A113E"/>
    <w:rsid w:val="009A1465"/>
    <w:rsid w:val="009A1606"/>
    <w:rsid w:val="009A1DFB"/>
    <w:rsid w:val="009A22B4"/>
    <w:rsid w:val="009A25C6"/>
    <w:rsid w:val="009A2870"/>
    <w:rsid w:val="009A2A31"/>
    <w:rsid w:val="009A2B32"/>
    <w:rsid w:val="009A2CA4"/>
    <w:rsid w:val="009A2CC0"/>
    <w:rsid w:val="009A3041"/>
    <w:rsid w:val="009A31CA"/>
    <w:rsid w:val="009A3511"/>
    <w:rsid w:val="009A3855"/>
    <w:rsid w:val="009A3ECD"/>
    <w:rsid w:val="009A4D79"/>
    <w:rsid w:val="009A501A"/>
    <w:rsid w:val="009A555B"/>
    <w:rsid w:val="009A556A"/>
    <w:rsid w:val="009A57A9"/>
    <w:rsid w:val="009A5CB2"/>
    <w:rsid w:val="009A5EEA"/>
    <w:rsid w:val="009A6A8B"/>
    <w:rsid w:val="009A70D6"/>
    <w:rsid w:val="009A769D"/>
    <w:rsid w:val="009A7AD9"/>
    <w:rsid w:val="009A7AF9"/>
    <w:rsid w:val="009A7D8C"/>
    <w:rsid w:val="009B00E4"/>
    <w:rsid w:val="009B01C1"/>
    <w:rsid w:val="009B08DC"/>
    <w:rsid w:val="009B09FF"/>
    <w:rsid w:val="009B0A34"/>
    <w:rsid w:val="009B0BEA"/>
    <w:rsid w:val="009B0C82"/>
    <w:rsid w:val="009B1366"/>
    <w:rsid w:val="009B1453"/>
    <w:rsid w:val="009B1E47"/>
    <w:rsid w:val="009B24E3"/>
    <w:rsid w:val="009B2B10"/>
    <w:rsid w:val="009B2CE1"/>
    <w:rsid w:val="009B3356"/>
    <w:rsid w:val="009B3C1F"/>
    <w:rsid w:val="009B3EF3"/>
    <w:rsid w:val="009B3F01"/>
    <w:rsid w:val="009B3FD2"/>
    <w:rsid w:val="009B4266"/>
    <w:rsid w:val="009B4B44"/>
    <w:rsid w:val="009B4C23"/>
    <w:rsid w:val="009B575A"/>
    <w:rsid w:val="009B581C"/>
    <w:rsid w:val="009B5ED7"/>
    <w:rsid w:val="009B652C"/>
    <w:rsid w:val="009B661E"/>
    <w:rsid w:val="009B69E4"/>
    <w:rsid w:val="009B6A13"/>
    <w:rsid w:val="009B6DAA"/>
    <w:rsid w:val="009B6F30"/>
    <w:rsid w:val="009B6F89"/>
    <w:rsid w:val="009B7308"/>
    <w:rsid w:val="009B7B3A"/>
    <w:rsid w:val="009C0007"/>
    <w:rsid w:val="009C0065"/>
    <w:rsid w:val="009C0AB5"/>
    <w:rsid w:val="009C11E0"/>
    <w:rsid w:val="009C1278"/>
    <w:rsid w:val="009C1364"/>
    <w:rsid w:val="009C18DF"/>
    <w:rsid w:val="009C1A46"/>
    <w:rsid w:val="009C1E94"/>
    <w:rsid w:val="009C2187"/>
    <w:rsid w:val="009C22D0"/>
    <w:rsid w:val="009C2619"/>
    <w:rsid w:val="009C27EA"/>
    <w:rsid w:val="009C2C54"/>
    <w:rsid w:val="009C2CED"/>
    <w:rsid w:val="009C2EBE"/>
    <w:rsid w:val="009C33A9"/>
    <w:rsid w:val="009C3920"/>
    <w:rsid w:val="009C3EE1"/>
    <w:rsid w:val="009C3FC4"/>
    <w:rsid w:val="009C409C"/>
    <w:rsid w:val="009C4498"/>
    <w:rsid w:val="009C451B"/>
    <w:rsid w:val="009C496D"/>
    <w:rsid w:val="009C4C05"/>
    <w:rsid w:val="009C4EE9"/>
    <w:rsid w:val="009C4F56"/>
    <w:rsid w:val="009C5111"/>
    <w:rsid w:val="009C53F3"/>
    <w:rsid w:val="009C5BBE"/>
    <w:rsid w:val="009C6498"/>
    <w:rsid w:val="009C6701"/>
    <w:rsid w:val="009C709A"/>
    <w:rsid w:val="009C7157"/>
    <w:rsid w:val="009C72CE"/>
    <w:rsid w:val="009C7AD3"/>
    <w:rsid w:val="009D00BF"/>
    <w:rsid w:val="009D07A3"/>
    <w:rsid w:val="009D0B38"/>
    <w:rsid w:val="009D16D7"/>
    <w:rsid w:val="009D25AA"/>
    <w:rsid w:val="009D2641"/>
    <w:rsid w:val="009D2915"/>
    <w:rsid w:val="009D31A9"/>
    <w:rsid w:val="009D3468"/>
    <w:rsid w:val="009D3968"/>
    <w:rsid w:val="009D3A93"/>
    <w:rsid w:val="009D40BD"/>
    <w:rsid w:val="009D4357"/>
    <w:rsid w:val="009D4EF8"/>
    <w:rsid w:val="009D5F53"/>
    <w:rsid w:val="009D66E4"/>
    <w:rsid w:val="009D6E64"/>
    <w:rsid w:val="009D71DF"/>
    <w:rsid w:val="009D74C0"/>
    <w:rsid w:val="009D75FE"/>
    <w:rsid w:val="009D76DF"/>
    <w:rsid w:val="009D789A"/>
    <w:rsid w:val="009D7910"/>
    <w:rsid w:val="009E0EE1"/>
    <w:rsid w:val="009E0F48"/>
    <w:rsid w:val="009E134F"/>
    <w:rsid w:val="009E1808"/>
    <w:rsid w:val="009E19EC"/>
    <w:rsid w:val="009E1BDE"/>
    <w:rsid w:val="009E1F53"/>
    <w:rsid w:val="009E214A"/>
    <w:rsid w:val="009E2AC5"/>
    <w:rsid w:val="009E2B0E"/>
    <w:rsid w:val="009E31AA"/>
    <w:rsid w:val="009E31ED"/>
    <w:rsid w:val="009E3479"/>
    <w:rsid w:val="009E34C8"/>
    <w:rsid w:val="009E38F4"/>
    <w:rsid w:val="009E4384"/>
    <w:rsid w:val="009E4523"/>
    <w:rsid w:val="009E4642"/>
    <w:rsid w:val="009E49ED"/>
    <w:rsid w:val="009E4B38"/>
    <w:rsid w:val="009E4D0C"/>
    <w:rsid w:val="009E4E9C"/>
    <w:rsid w:val="009E5209"/>
    <w:rsid w:val="009E5358"/>
    <w:rsid w:val="009E5532"/>
    <w:rsid w:val="009E582F"/>
    <w:rsid w:val="009E66D8"/>
    <w:rsid w:val="009E6999"/>
    <w:rsid w:val="009E6E6A"/>
    <w:rsid w:val="009E78D0"/>
    <w:rsid w:val="009F0A3D"/>
    <w:rsid w:val="009F0F09"/>
    <w:rsid w:val="009F0F9A"/>
    <w:rsid w:val="009F0FFD"/>
    <w:rsid w:val="009F1063"/>
    <w:rsid w:val="009F1144"/>
    <w:rsid w:val="009F1594"/>
    <w:rsid w:val="009F15C5"/>
    <w:rsid w:val="009F19AA"/>
    <w:rsid w:val="009F1B16"/>
    <w:rsid w:val="009F233D"/>
    <w:rsid w:val="009F25A0"/>
    <w:rsid w:val="009F2D75"/>
    <w:rsid w:val="009F36BA"/>
    <w:rsid w:val="009F36E0"/>
    <w:rsid w:val="009F3FA9"/>
    <w:rsid w:val="009F3FDB"/>
    <w:rsid w:val="009F4492"/>
    <w:rsid w:val="009F4AAA"/>
    <w:rsid w:val="009F4B73"/>
    <w:rsid w:val="009F4D9E"/>
    <w:rsid w:val="009F5586"/>
    <w:rsid w:val="009F585E"/>
    <w:rsid w:val="009F5ECC"/>
    <w:rsid w:val="009F6150"/>
    <w:rsid w:val="009F62AF"/>
    <w:rsid w:val="009F6509"/>
    <w:rsid w:val="009F6573"/>
    <w:rsid w:val="009F65EF"/>
    <w:rsid w:val="009F66EF"/>
    <w:rsid w:val="009F682E"/>
    <w:rsid w:val="009F6BC1"/>
    <w:rsid w:val="009F6F36"/>
    <w:rsid w:val="009F74AD"/>
    <w:rsid w:val="009F7664"/>
    <w:rsid w:val="009F768B"/>
    <w:rsid w:val="009F7852"/>
    <w:rsid w:val="009F796B"/>
    <w:rsid w:val="009F7A94"/>
    <w:rsid w:val="009F7CBB"/>
    <w:rsid w:val="00A001AD"/>
    <w:rsid w:val="00A00947"/>
    <w:rsid w:val="00A00FF3"/>
    <w:rsid w:val="00A0150C"/>
    <w:rsid w:val="00A02368"/>
    <w:rsid w:val="00A02457"/>
    <w:rsid w:val="00A025C5"/>
    <w:rsid w:val="00A027D6"/>
    <w:rsid w:val="00A02A1F"/>
    <w:rsid w:val="00A02B6B"/>
    <w:rsid w:val="00A02BBD"/>
    <w:rsid w:val="00A02D67"/>
    <w:rsid w:val="00A02F0A"/>
    <w:rsid w:val="00A0311A"/>
    <w:rsid w:val="00A032ED"/>
    <w:rsid w:val="00A0344A"/>
    <w:rsid w:val="00A03550"/>
    <w:rsid w:val="00A03904"/>
    <w:rsid w:val="00A04400"/>
    <w:rsid w:val="00A04740"/>
    <w:rsid w:val="00A048F8"/>
    <w:rsid w:val="00A04937"/>
    <w:rsid w:val="00A04C52"/>
    <w:rsid w:val="00A04FFF"/>
    <w:rsid w:val="00A05907"/>
    <w:rsid w:val="00A064B4"/>
    <w:rsid w:val="00A0667C"/>
    <w:rsid w:val="00A06E66"/>
    <w:rsid w:val="00A070CC"/>
    <w:rsid w:val="00A0717C"/>
    <w:rsid w:val="00A072E1"/>
    <w:rsid w:val="00A079A4"/>
    <w:rsid w:val="00A07BAA"/>
    <w:rsid w:val="00A07C68"/>
    <w:rsid w:val="00A07DD2"/>
    <w:rsid w:val="00A101CE"/>
    <w:rsid w:val="00A101E1"/>
    <w:rsid w:val="00A101E7"/>
    <w:rsid w:val="00A10232"/>
    <w:rsid w:val="00A1044A"/>
    <w:rsid w:val="00A105FD"/>
    <w:rsid w:val="00A10AD9"/>
    <w:rsid w:val="00A10FB7"/>
    <w:rsid w:val="00A1105A"/>
    <w:rsid w:val="00A11CDB"/>
    <w:rsid w:val="00A12011"/>
    <w:rsid w:val="00A12BB6"/>
    <w:rsid w:val="00A12DE1"/>
    <w:rsid w:val="00A13378"/>
    <w:rsid w:val="00A13599"/>
    <w:rsid w:val="00A13703"/>
    <w:rsid w:val="00A13813"/>
    <w:rsid w:val="00A1391F"/>
    <w:rsid w:val="00A14399"/>
    <w:rsid w:val="00A14435"/>
    <w:rsid w:val="00A14763"/>
    <w:rsid w:val="00A14AAC"/>
    <w:rsid w:val="00A14DFA"/>
    <w:rsid w:val="00A1509C"/>
    <w:rsid w:val="00A15B8F"/>
    <w:rsid w:val="00A15BE5"/>
    <w:rsid w:val="00A16035"/>
    <w:rsid w:val="00A160D8"/>
    <w:rsid w:val="00A161BF"/>
    <w:rsid w:val="00A1681C"/>
    <w:rsid w:val="00A16854"/>
    <w:rsid w:val="00A16E93"/>
    <w:rsid w:val="00A17726"/>
    <w:rsid w:val="00A1782A"/>
    <w:rsid w:val="00A17A3F"/>
    <w:rsid w:val="00A17CF7"/>
    <w:rsid w:val="00A206B4"/>
    <w:rsid w:val="00A20A80"/>
    <w:rsid w:val="00A20B48"/>
    <w:rsid w:val="00A20DD0"/>
    <w:rsid w:val="00A210AD"/>
    <w:rsid w:val="00A216D3"/>
    <w:rsid w:val="00A21BDE"/>
    <w:rsid w:val="00A21DAE"/>
    <w:rsid w:val="00A21E00"/>
    <w:rsid w:val="00A220A8"/>
    <w:rsid w:val="00A22117"/>
    <w:rsid w:val="00A2260D"/>
    <w:rsid w:val="00A2298B"/>
    <w:rsid w:val="00A231D3"/>
    <w:rsid w:val="00A232A8"/>
    <w:rsid w:val="00A23756"/>
    <w:rsid w:val="00A2392C"/>
    <w:rsid w:val="00A23962"/>
    <w:rsid w:val="00A23C0C"/>
    <w:rsid w:val="00A23D73"/>
    <w:rsid w:val="00A23F17"/>
    <w:rsid w:val="00A2410B"/>
    <w:rsid w:val="00A24137"/>
    <w:rsid w:val="00A241E9"/>
    <w:rsid w:val="00A24255"/>
    <w:rsid w:val="00A255A7"/>
    <w:rsid w:val="00A256C9"/>
    <w:rsid w:val="00A25CDD"/>
    <w:rsid w:val="00A262E7"/>
    <w:rsid w:val="00A26381"/>
    <w:rsid w:val="00A266C6"/>
    <w:rsid w:val="00A267D4"/>
    <w:rsid w:val="00A269DC"/>
    <w:rsid w:val="00A26EB9"/>
    <w:rsid w:val="00A276E4"/>
    <w:rsid w:val="00A277E7"/>
    <w:rsid w:val="00A27A04"/>
    <w:rsid w:val="00A30526"/>
    <w:rsid w:val="00A306AE"/>
    <w:rsid w:val="00A30B55"/>
    <w:rsid w:val="00A30CD7"/>
    <w:rsid w:val="00A30D81"/>
    <w:rsid w:val="00A3143A"/>
    <w:rsid w:val="00A3176D"/>
    <w:rsid w:val="00A31CC3"/>
    <w:rsid w:val="00A31E0B"/>
    <w:rsid w:val="00A31FBC"/>
    <w:rsid w:val="00A32575"/>
    <w:rsid w:val="00A32AF4"/>
    <w:rsid w:val="00A32C8F"/>
    <w:rsid w:val="00A32DD1"/>
    <w:rsid w:val="00A32E4B"/>
    <w:rsid w:val="00A33369"/>
    <w:rsid w:val="00A33413"/>
    <w:rsid w:val="00A340F2"/>
    <w:rsid w:val="00A342B8"/>
    <w:rsid w:val="00A344D3"/>
    <w:rsid w:val="00A345B7"/>
    <w:rsid w:val="00A3518D"/>
    <w:rsid w:val="00A35558"/>
    <w:rsid w:val="00A3564A"/>
    <w:rsid w:val="00A357F9"/>
    <w:rsid w:val="00A35AEB"/>
    <w:rsid w:val="00A35F39"/>
    <w:rsid w:val="00A36510"/>
    <w:rsid w:val="00A36763"/>
    <w:rsid w:val="00A36A57"/>
    <w:rsid w:val="00A36FA0"/>
    <w:rsid w:val="00A3715F"/>
    <w:rsid w:val="00A375BC"/>
    <w:rsid w:val="00A37B23"/>
    <w:rsid w:val="00A37BC7"/>
    <w:rsid w:val="00A40192"/>
    <w:rsid w:val="00A402FE"/>
    <w:rsid w:val="00A40906"/>
    <w:rsid w:val="00A40B97"/>
    <w:rsid w:val="00A416F9"/>
    <w:rsid w:val="00A41AE5"/>
    <w:rsid w:val="00A41B14"/>
    <w:rsid w:val="00A421B8"/>
    <w:rsid w:val="00A425F4"/>
    <w:rsid w:val="00A42711"/>
    <w:rsid w:val="00A42C52"/>
    <w:rsid w:val="00A42F62"/>
    <w:rsid w:val="00A452E4"/>
    <w:rsid w:val="00A45684"/>
    <w:rsid w:val="00A456F0"/>
    <w:rsid w:val="00A45F8A"/>
    <w:rsid w:val="00A4602B"/>
    <w:rsid w:val="00A462F0"/>
    <w:rsid w:val="00A4661C"/>
    <w:rsid w:val="00A4678B"/>
    <w:rsid w:val="00A46F2F"/>
    <w:rsid w:val="00A4718C"/>
    <w:rsid w:val="00A47344"/>
    <w:rsid w:val="00A4778B"/>
    <w:rsid w:val="00A478B5"/>
    <w:rsid w:val="00A50C77"/>
    <w:rsid w:val="00A50EA2"/>
    <w:rsid w:val="00A512C4"/>
    <w:rsid w:val="00A51315"/>
    <w:rsid w:val="00A5174F"/>
    <w:rsid w:val="00A51877"/>
    <w:rsid w:val="00A51B25"/>
    <w:rsid w:val="00A51CFF"/>
    <w:rsid w:val="00A51EDE"/>
    <w:rsid w:val="00A5203F"/>
    <w:rsid w:val="00A52439"/>
    <w:rsid w:val="00A5254C"/>
    <w:rsid w:val="00A525C0"/>
    <w:rsid w:val="00A525DC"/>
    <w:rsid w:val="00A5292E"/>
    <w:rsid w:val="00A52E2F"/>
    <w:rsid w:val="00A52FDD"/>
    <w:rsid w:val="00A5349B"/>
    <w:rsid w:val="00A53518"/>
    <w:rsid w:val="00A5352E"/>
    <w:rsid w:val="00A54242"/>
    <w:rsid w:val="00A5428D"/>
    <w:rsid w:val="00A542EE"/>
    <w:rsid w:val="00A54682"/>
    <w:rsid w:val="00A5473C"/>
    <w:rsid w:val="00A54B4C"/>
    <w:rsid w:val="00A54C0E"/>
    <w:rsid w:val="00A5507D"/>
    <w:rsid w:val="00A555E5"/>
    <w:rsid w:val="00A556A5"/>
    <w:rsid w:val="00A5609D"/>
    <w:rsid w:val="00A561E9"/>
    <w:rsid w:val="00A56B47"/>
    <w:rsid w:val="00A56B5A"/>
    <w:rsid w:val="00A56BD9"/>
    <w:rsid w:val="00A57059"/>
    <w:rsid w:val="00A57488"/>
    <w:rsid w:val="00A574E0"/>
    <w:rsid w:val="00A57B60"/>
    <w:rsid w:val="00A60075"/>
    <w:rsid w:val="00A6010A"/>
    <w:rsid w:val="00A6036A"/>
    <w:rsid w:val="00A605C4"/>
    <w:rsid w:val="00A6068A"/>
    <w:rsid w:val="00A60C16"/>
    <w:rsid w:val="00A61254"/>
    <w:rsid w:val="00A61342"/>
    <w:rsid w:val="00A615B8"/>
    <w:rsid w:val="00A618CF"/>
    <w:rsid w:val="00A61A8A"/>
    <w:rsid w:val="00A61FC6"/>
    <w:rsid w:val="00A61FF2"/>
    <w:rsid w:val="00A620AE"/>
    <w:rsid w:val="00A62232"/>
    <w:rsid w:val="00A6224D"/>
    <w:rsid w:val="00A62328"/>
    <w:rsid w:val="00A6296D"/>
    <w:rsid w:val="00A62BDD"/>
    <w:rsid w:val="00A62E48"/>
    <w:rsid w:val="00A62EC0"/>
    <w:rsid w:val="00A62F83"/>
    <w:rsid w:val="00A63005"/>
    <w:rsid w:val="00A6360D"/>
    <w:rsid w:val="00A63B35"/>
    <w:rsid w:val="00A64003"/>
    <w:rsid w:val="00A646EE"/>
    <w:rsid w:val="00A649E8"/>
    <w:rsid w:val="00A64D0A"/>
    <w:rsid w:val="00A64E6A"/>
    <w:rsid w:val="00A6511D"/>
    <w:rsid w:val="00A6513E"/>
    <w:rsid w:val="00A65718"/>
    <w:rsid w:val="00A65870"/>
    <w:rsid w:val="00A65D51"/>
    <w:rsid w:val="00A65F16"/>
    <w:rsid w:val="00A663CA"/>
    <w:rsid w:val="00A66EF7"/>
    <w:rsid w:val="00A67682"/>
    <w:rsid w:val="00A67D99"/>
    <w:rsid w:val="00A70017"/>
    <w:rsid w:val="00A704D2"/>
    <w:rsid w:val="00A707E6"/>
    <w:rsid w:val="00A708B8"/>
    <w:rsid w:val="00A70D70"/>
    <w:rsid w:val="00A71298"/>
    <w:rsid w:val="00A713BB"/>
    <w:rsid w:val="00A72079"/>
    <w:rsid w:val="00A7232D"/>
    <w:rsid w:val="00A72730"/>
    <w:rsid w:val="00A72A24"/>
    <w:rsid w:val="00A72A28"/>
    <w:rsid w:val="00A72B81"/>
    <w:rsid w:val="00A72E5B"/>
    <w:rsid w:val="00A72EE0"/>
    <w:rsid w:val="00A733A2"/>
    <w:rsid w:val="00A737EA"/>
    <w:rsid w:val="00A7399A"/>
    <w:rsid w:val="00A73D40"/>
    <w:rsid w:val="00A73E68"/>
    <w:rsid w:val="00A7459C"/>
    <w:rsid w:val="00A74D03"/>
    <w:rsid w:val="00A7582C"/>
    <w:rsid w:val="00A7629A"/>
    <w:rsid w:val="00A76312"/>
    <w:rsid w:val="00A76CF8"/>
    <w:rsid w:val="00A76E23"/>
    <w:rsid w:val="00A7747A"/>
    <w:rsid w:val="00A7748F"/>
    <w:rsid w:val="00A77587"/>
    <w:rsid w:val="00A77A78"/>
    <w:rsid w:val="00A77B4E"/>
    <w:rsid w:val="00A77C1B"/>
    <w:rsid w:val="00A77E4C"/>
    <w:rsid w:val="00A80469"/>
    <w:rsid w:val="00A80470"/>
    <w:rsid w:val="00A80AA2"/>
    <w:rsid w:val="00A80E25"/>
    <w:rsid w:val="00A81FFD"/>
    <w:rsid w:val="00A82556"/>
    <w:rsid w:val="00A82811"/>
    <w:rsid w:val="00A82A4B"/>
    <w:rsid w:val="00A82AE7"/>
    <w:rsid w:val="00A82BFE"/>
    <w:rsid w:val="00A82E62"/>
    <w:rsid w:val="00A82EA2"/>
    <w:rsid w:val="00A82F1E"/>
    <w:rsid w:val="00A83088"/>
    <w:rsid w:val="00A83166"/>
    <w:rsid w:val="00A8498A"/>
    <w:rsid w:val="00A84EEA"/>
    <w:rsid w:val="00A8521B"/>
    <w:rsid w:val="00A8571B"/>
    <w:rsid w:val="00A859F0"/>
    <w:rsid w:val="00A865DC"/>
    <w:rsid w:val="00A86718"/>
    <w:rsid w:val="00A86766"/>
    <w:rsid w:val="00A86833"/>
    <w:rsid w:val="00A86C2A"/>
    <w:rsid w:val="00A86FDE"/>
    <w:rsid w:val="00A87843"/>
    <w:rsid w:val="00A87B78"/>
    <w:rsid w:val="00A87CBA"/>
    <w:rsid w:val="00A90063"/>
    <w:rsid w:val="00A9021C"/>
    <w:rsid w:val="00A90501"/>
    <w:rsid w:val="00A90A49"/>
    <w:rsid w:val="00A90AF3"/>
    <w:rsid w:val="00A910C0"/>
    <w:rsid w:val="00A91837"/>
    <w:rsid w:val="00A92015"/>
    <w:rsid w:val="00A92104"/>
    <w:rsid w:val="00A924DB"/>
    <w:rsid w:val="00A927D1"/>
    <w:rsid w:val="00A92956"/>
    <w:rsid w:val="00A935A2"/>
    <w:rsid w:val="00A937A1"/>
    <w:rsid w:val="00A93804"/>
    <w:rsid w:val="00A93F9B"/>
    <w:rsid w:val="00A94123"/>
    <w:rsid w:val="00A941EF"/>
    <w:rsid w:val="00A942C7"/>
    <w:rsid w:val="00A94A09"/>
    <w:rsid w:val="00A94BCB"/>
    <w:rsid w:val="00A94EB0"/>
    <w:rsid w:val="00A95279"/>
    <w:rsid w:val="00A953F1"/>
    <w:rsid w:val="00A9553F"/>
    <w:rsid w:val="00A9556A"/>
    <w:rsid w:val="00A95B2C"/>
    <w:rsid w:val="00A95DD3"/>
    <w:rsid w:val="00A95FAD"/>
    <w:rsid w:val="00A9653A"/>
    <w:rsid w:val="00A96AAF"/>
    <w:rsid w:val="00A97213"/>
    <w:rsid w:val="00A97687"/>
    <w:rsid w:val="00A97B9C"/>
    <w:rsid w:val="00AA0577"/>
    <w:rsid w:val="00AA0F33"/>
    <w:rsid w:val="00AA0F73"/>
    <w:rsid w:val="00AA0F80"/>
    <w:rsid w:val="00AA14C9"/>
    <w:rsid w:val="00AA16B5"/>
    <w:rsid w:val="00AA20C4"/>
    <w:rsid w:val="00AA2B01"/>
    <w:rsid w:val="00AA2D68"/>
    <w:rsid w:val="00AA3035"/>
    <w:rsid w:val="00AA332C"/>
    <w:rsid w:val="00AA3396"/>
    <w:rsid w:val="00AA35A5"/>
    <w:rsid w:val="00AA39A3"/>
    <w:rsid w:val="00AA3D76"/>
    <w:rsid w:val="00AA3FD9"/>
    <w:rsid w:val="00AA40FD"/>
    <w:rsid w:val="00AA4C07"/>
    <w:rsid w:val="00AA50F9"/>
    <w:rsid w:val="00AA54D0"/>
    <w:rsid w:val="00AA5731"/>
    <w:rsid w:val="00AA5EC6"/>
    <w:rsid w:val="00AA602D"/>
    <w:rsid w:val="00AA674A"/>
    <w:rsid w:val="00AA6B1A"/>
    <w:rsid w:val="00AA6E36"/>
    <w:rsid w:val="00AA7B68"/>
    <w:rsid w:val="00AA7F0E"/>
    <w:rsid w:val="00AB0585"/>
    <w:rsid w:val="00AB07E1"/>
    <w:rsid w:val="00AB08B1"/>
    <w:rsid w:val="00AB09BD"/>
    <w:rsid w:val="00AB0C1C"/>
    <w:rsid w:val="00AB0CAD"/>
    <w:rsid w:val="00AB0D6A"/>
    <w:rsid w:val="00AB0F4D"/>
    <w:rsid w:val="00AB146F"/>
    <w:rsid w:val="00AB1508"/>
    <w:rsid w:val="00AB1546"/>
    <w:rsid w:val="00AB157C"/>
    <w:rsid w:val="00AB160E"/>
    <w:rsid w:val="00AB174C"/>
    <w:rsid w:val="00AB1D79"/>
    <w:rsid w:val="00AB2277"/>
    <w:rsid w:val="00AB22CE"/>
    <w:rsid w:val="00AB2552"/>
    <w:rsid w:val="00AB2A3C"/>
    <w:rsid w:val="00AB2F29"/>
    <w:rsid w:val="00AB3036"/>
    <w:rsid w:val="00AB3682"/>
    <w:rsid w:val="00AB381D"/>
    <w:rsid w:val="00AB3992"/>
    <w:rsid w:val="00AB3D92"/>
    <w:rsid w:val="00AB4666"/>
    <w:rsid w:val="00AB484B"/>
    <w:rsid w:val="00AB4D1E"/>
    <w:rsid w:val="00AB5BAD"/>
    <w:rsid w:val="00AB5DC5"/>
    <w:rsid w:val="00AB5EDD"/>
    <w:rsid w:val="00AB6121"/>
    <w:rsid w:val="00AB622E"/>
    <w:rsid w:val="00AB6418"/>
    <w:rsid w:val="00AB66C8"/>
    <w:rsid w:val="00AB6A10"/>
    <w:rsid w:val="00AB6A8D"/>
    <w:rsid w:val="00AB6B1E"/>
    <w:rsid w:val="00AB6C8A"/>
    <w:rsid w:val="00AB705C"/>
    <w:rsid w:val="00AB7066"/>
    <w:rsid w:val="00AB7460"/>
    <w:rsid w:val="00AB7A99"/>
    <w:rsid w:val="00AB7D0E"/>
    <w:rsid w:val="00AB7F80"/>
    <w:rsid w:val="00AC0686"/>
    <w:rsid w:val="00AC082D"/>
    <w:rsid w:val="00AC0897"/>
    <w:rsid w:val="00AC113F"/>
    <w:rsid w:val="00AC142C"/>
    <w:rsid w:val="00AC1499"/>
    <w:rsid w:val="00AC1ADE"/>
    <w:rsid w:val="00AC1CD0"/>
    <w:rsid w:val="00AC1E63"/>
    <w:rsid w:val="00AC23F9"/>
    <w:rsid w:val="00AC24EC"/>
    <w:rsid w:val="00AC2D6F"/>
    <w:rsid w:val="00AC31B4"/>
    <w:rsid w:val="00AC3356"/>
    <w:rsid w:val="00AC371F"/>
    <w:rsid w:val="00AC3B6C"/>
    <w:rsid w:val="00AC3FB0"/>
    <w:rsid w:val="00AC4246"/>
    <w:rsid w:val="00AC4717"/>
    <w:rsid w:val="00AC47CD"/>
    <w:rsid w:val="00AC4950"/>
    <w:rsid w:val="00AC526A"/>
    <w:rsid w:val="00AC5334"/>
    <w:rsid w:val="00AC5A31"/>
    <w:rsid w:val="00AC5DAA"/>
    <w:rsid w:val="00AC6B73"/>
    <w:rsid w:val="00AC6BD7"/>
    <w:rsid w:val="00AC705C"/>
    <w:rsid w:val="00AC71FE"/>
    <w:rsid w:val="00AC7532"/>
    <w:rsid w:val="00AC7542"/>
    <w:rsid w:val="00AC77E3"/>
    <w:rsid w:val="00AC783E"/>
    <w:rsid w:val="00AC7E01"/>
    <w:rsid w:val="00AC7E47"/>
    <w:rsid w:val="00AD0C86"/>
    <w:rsid w:val="00AD13E2"/>
    <w:rsid w:val="00AD1404"/>
    <w:rsid w:val="00AD1ADC"/>
    <w:rsid w:val="00AD1AF9"/>
    <w:rsid w:val="00AD1EF6"/>
    <w:rsid w:val="00AD1FA9"/>
    <w:rsid w:val="00AD230C"/>
    <w:rsid w:val="00AD2889"/>
    <w:rsid w:val="00AD2BCF"/>
    <w:rsid w:val="00AD2E9D"/>
    <w:rsid w:val="00AD3008"/>
    <w:rsid w:val="00AD33A4"/>
    <w:rsid w:val="00AD349D"/>
    <w:rsid w:val="00AD38A3"/>
    <w:rsid w:val="00AD3F59"/>
    <w:rsid w:val="00AD5081"/>
    <w:rsid w:val="00AD53CA"/>
    <w:rsid w:val="00AD55F6"/>
    <w:rsid w:val="00AD5963"/>
    <w:rsid w:val="00AD5E8A"/>
    <w:rsid w:val="00AD5ED6"/>
    <w:rsid w:val="00AD5FB7"/>
    <w:rsid w:val="00AD60C1"/>
    <w:rsid w:val="00AD64CC"/>
    <w:rsid w:val="00AD6753"/>
    <w:rsid w:val="00AD6764"/>
    <w:rsid w:val="00AD67D0"/>
    <w:rsid w:val="00AD6C60"/>
    <w:rsid w:val="00AD6D6B"/>
    <w:rsid w:val="00AD79E6"/>
    <w:rsid w:val="00AD7E0D"/>
    <w:rsid w:val="00AE02B2"/>
    <w:rsid w:val="00AE18DE"/>
    <w:rsid w:val="00AE1C29"/>
    <w:rsid w:val="00AE23B8"/>
    <w:rsid w:val="00AE2443"/>
    <w:rsid w:val="00AE29AD"/>
    <w:rsid w:val="00AE2AA5"/>
    <w:rsid w:val="00AE3177"/>
    <w:rsid w:val="00AE36DE"/>
    <w:rsid w:val="00AE3E93"/>
    <w:rsid w:val="00AE3F21"/>
    <w:rsid w:val="00AE4001"/>
    <w:rsid w:val="00AE45F6"/>
    <w:rsid w:val="00AE46B6"/>
    <w:rsid w:val="00AE4F91"/>
    <w:rsid w:val="00AE5311"/>
    <w:rsid w:val="00AE539A"/>
    <w:rsid w:val="00AE6187"/>
    <w:rsid w:val="00AE621C"/>
    <w:rsid w:val="00AE668A"/>
    <w:rsid w:val="00AE6951"/>
    <w:rsid w:val="00AE69DA"/>
    <w:rsid w:val="00AE6B62"/>
    <w:rsid w:val="00AE71C4"/>
    <w:rsid w:val="00AF006E"/>
    <w:rsid w:val="00AF04F5"/>
    <w:rsid w:val="00AF0F31"/>
    <w:rsid w:val="00AF1160"/>
    <w:rsid w:val="00AF12A8"/>
    <w:rsid w:val="00AF14B6"/>
    <w:rsid w:val="00AF14E1"/>
    <w:rsid w:val="00AF2AA7"/>
    <w:rsid w:val="00AF3D44"/>
    <w:rsid w:val="00AF4DB2"/>
    <w:rsid w:val="00AF51C3"/>
    <w:rsid w:val="00AF584E"/>
    <w:rsid w:val="00AF5A35"/>
    <w:rsid w:val="00AF60E8"/>
    <w:rsid w:val="00AF6627"/>
    <w:rsid w:val="00AF6BA6"/>
    <w:rsid w:val="00AF7500"/>
    <w:rsid w:val="00AF7761"/>
    <w:rsid w:val="00AF77C7"/>
    <w:rsid w:val="00AF79F1"/>
    <w:rsid w:val="00AF7C18"/>
    <w:rsid w:val="00B00599"/>
    <w:rsid w:val="00B00773"/>
    <w:rsid w:val="00B00D52"/>
    <w:rsid w:val="00B00DEE"/>
    <w:rsid w:val="00B00F8C"/>
    <w:rsid w:val="00B010EF"/>
    <w:rsid w:val="00B011C8"/>
    <w:rsid w:val="00B0127F"/>
    <w:rsid w:val="00B0146F"/>
    <w:rsid w:val="00B01597"/>
    <w:rsid w:val="00B02238"/>
    <w:rsid w:val="00B025FA"/>
    <w:rsid w:val="00B029D9"/>
    <w:rsid w:val="00B02D91"/>
    <w:rsid w:val="00B02F16"/>
    <w:rsid w:val="00B031B1"/>
    <w:rsid w:val="00B03344"/>
    <w:rsid w:val="00B036BC"/>
    <w:rsid w:val="00B03A3E"/>
    <w:rsid w:val="00B03B34"/>
    <w:rsid w:val="00B03D4A"/>
    <w:rsid w:val="00B03EC9"/>
    <w:rsid w:val="00B040B6"/>
    <w:rsid w:val="00B044B0"/>
    <w:rsid w:val="00B04579"/>
    <w:rsid w:val="00B046D3"/>
    <w:rsid w:val="00B04979"/>
    <w:rsid w:val="00B04AD7"/>
    <w:rsid w:val="00B04B14"/>
    <w:rsid w:val="00B04B3C"/>
    <w:rsid w:val="00B04CF8"/>
    <w:rsid w:val="00B04CFC"/>
    <w:rsid w:val="00B052D6"/>
    <w:rsid w:val="00B057DA"/>
    <w:rsid w:val="00B0591D"/>
    <w:rsid w:val="00B05AED"/>
    <w:rsid w:val="00B05E74"/>
    <w:rsid w:val="00B061C9"/>
    <w:rsid w:val="00B063BA"/>
    <w:rsid w:val="00B06A66"/>
    <w:rsid w:val="00B06F33"/>
    <w:rsid w:val="00B073B2"/>
    <w:rsid w:val="00B073E3"/>
    <w:rsid w:val="00B100AF"/>
    <w:rsid w:val="00B10663"/>
    <w:rsid w:val="00B10A0C"/>
    <w:rsid w:val="00B10AE2"/>
    <w:rsid w:val="00B10D7B"/>
    <w:rsid w:val="00B10DAC"/>
    <w:rsid w:val="00B10F44"/>
    <w:rsid w:val="00B10FB7"/>
    <w:rsid w:val="00B112F7"/>
    <w:rsid w:val="00B118F4"/>
    <w:rsid w:val="00B11B9F"/>
    <w:rsid w:val="00B1206A"/>
    <w:rsid w:val="00B123F4"/>
    <w:rsid w:val="00B12562"/>
    <w:rsid w:val="00B125D7"/>
    <w:rsid w:val="00B12908"/>
    <w:rsid w:val="00B12923"/>
    <w:rsid w:val="00B12944"/>
    <w:rsid w:val="00B12D67"/>
    <w:rsid w:val="00B13E22"/>
    <w:rsid w:val="00B142FF"/>
    <w:rsid w:val="00B143CE"/>
    <w:rsid w:val="00B1482E"/>
    <w:rsid w:val="00B14869"/>
    <w:rsid w:val="00B1521F"/>
    <w:rsid w:val="00B152A2"/>
    <w:rsid w:val="00B157F3"/>
    <w:rsid w:val="00B15A1B"/>
    <w:rsid w:val="00B15A29"/>
    <w:rsid w:val="00B15ACA"/>
    <w:rsid w:val="00B15C87"/>
    <w:rsid w:val="00B15E1F"/>
    <w:rsid w:val="00B160AE"/>
    <w:rsid w:val="00B161D9"/>
    <w:rsid w:val="00B1639A"/>
    <w:rsid w:val="00B178B0"/>
    <w:rsid w:val="00B17F6D"/>
    <w:rsid w:val="00B20350"/>
    <w:rsid w:val="00B20CDD"/>
    <w:rsid w:val="00B20F71"/>
    <w:rsid w:val="00B2106E"/>
    <w:rsid w:val="00B21547"/>
    <w:rsid w:val="00B21B45"/>
    <w:rsid w:val="00B21ED3"/>
    <w:rsid w:val="00B225AF"/>
    <w:rsid w:val="00B22D20"/>
    <w:rsid w:val="00B233D5"/>
    <w:rsid w:val="00B23CCB"/>
    <w:rsid w:val="00B23DB7"/>
    <w:rsid w:val="00B2490E"/>
    <w:rsid w:val="00B25AF7"/>
    <w:rsid w:val="00B25F4C"/>
    <w:rsid w:val="00B26194"/>
    <w:rsid w:val="00B269C1"/>
    <w:rsid w:val="00B26DE1"/>
    <w:rsid w:val="00B26ED0"/>
    <w:rsid w:val="00B2738E"/>
    <w:rsid w:val="00B27612"/>
    <w:rsid w:val="00B27662"/>
    <w:rsid w:val="00B27835"/>
    <w:rsid w:val="00B27AB3"/>
    <w:rsid w:val="00B27C7A"/>
    <w:rsid w:val="00B27CE6"/>
    <w:rsid w:val="00B27DB1"/>
    <w:rsid w:val="00B30326"/>
    <w:rsid w:val="00B30401"/>
    <w:rsid w:val="00B30A52"/>
    <w:rsid w:val="00B30DEC"/>
    <w:rsid w:val="00B31B61"/>
    <w:rsid w:val="00B31FA6"/>
    <w:rsid w:val="00B32270"/>
    <w:rsid w:val="00B3235D"/>
    <w:rsid w:val="00B328AF"/>
    <w:rsid w:val="00B33259"/>
    <w:rsid w:val="00B332FA"/>
    <w:rsid w:val="00B335A2"/>
    <w:rsid w:val="00B33792"/>
    <w:rsid w:val="00B33C70"/>
    <w:rsid w:val="00B33DC1"/>
    <w:rsid w:val="00B34A4D"/>
    <w:rsid w:val="00B35571"/>
    <w:rsid w:val="00B35AA6"/>
    <w:rsid w:val="00B35B36"/>
    <w:rsid w:val="00B35CB5"/>
    <w:rsid w:val="00B35DE2"/>
    <w:rsid w:val="00B360B9"/>
    <w:rsid w:val="00B363C4"/>
    <w:rsid w:val="00B366F8"/>
    <w:rsid w:val="00B3674A"/>
    <w:rsid w:val="00B36919"/>
    <w:rsid w:val="00B36957"/>
    <w:rsid w:val="00B36C04"/>
    <w:rsid w:val="00B36E6A"/>
    <w:rsid w:val="00B36EFF"/>
    <w:rsid w:val="00B3750A"/>
    <w:rsid w:val="00B37845"/>
    <w:rsid w:val="00B37FC3"/>
    <w:rsid w:val="00B404F9"/>
    <w:rsid w:val="00B4096B"/>
    <w:rsid w:val="00B40CA2"/>
    <w:rsid w:val="00B40F91"/>
    <w:rsid w:val="00B412AB"/>
    <w:rsid w:val="00B4137A"/>
    <w:rsid w:val="00B41461"/>
    <w:rsid w:val="00B41A09"/>
    <w:rsid w:val="00B41D96"/>
    <w:rsid w:val="00B422C2"/>
    <w:rsid w:val="00B4244E"/>
    <w:rsid w:val="00B42A82"/>
    <w:rsid w:val="00B42F94"/>
    <w:rsid w:val="00B4329E"/>
    <w:rsid w:val="00B43614"/>
    <w:rsid w:val="00B438FA"/>
    <w:rsid w:val="00B43D9C"/>
    <w:rsid w:val="00B441BE"/>
    <w:rsid w:val="00B44303"/>
    <w:rsid w:val="00B44698"/>
    <w:rsid w:val="00B448E5"/>
    <w:rsid w:val="00B44A69"/>
    <w:rsid w:val="00B44C8B"/>
    <w:rsid w:val="00B450E3"/>
    <w:rsid w:val="00B4529B"/>
    <w:rsid w:val="00B453C6"/>
    <w:rsid w:val="00B45829"/>
    <w:rsid w:val="00B46863"/>
    <w:rsid w:val="00B46BF8"/>
    <w:rsid w:val="00B46E28"/>
    <w:rsid w:val="00B46EC6"/>
    <w:rsid w:val="00B46FAD"/>
    <w:rsid w:val="00B470B8"/>
    <w:rsid w:val="00B47ABC"/>
    <w:rsid w:val="00B47B41"/>
    <w:rsid w:val="00B47CCA"/>
    <w:rsid w:val="00B47CDE"/>
    <w:rsid w:val="00B47F65"/>
    <w:rsid w:val="00B50207"/>
    <w:rsid w:val="00B502E4"/>
    <w:rsid w:val="00B50366"/>
    <w:rsid w:val="00B50EB3"/>
    <w:rsid w:val="00B51117"/>
    <w:rsid w:val="00B51139"/>
    <w:rsid w:val="00B51C67"/>
    <w:rsid w:val="00B52255"/>
    <w:rsid w:val="00B522E2"/>
    <w:rsid w:val="00B52506"/>
    <w:rsid w:val="00B52B89"/>
    <w:rsid w:val="00B52F64"/>
    <w:rsid w:val="00B5350E"/>
    <w:rsid w:val="00B5392E"/>
    <w:rsid w:val="00B53CFE"/>
    <w:rsid w:val="00B53D7A"/>
    <w:rsid w:val="00B53F97"/>
    <w:rsid w:val="00B54161"/>
    <w:rsid w:val="00B541F9"/>
    <w:rsid w:val="00B5434B"/>
    <w:rsid w:val="00B544C0"/>
    <w:rsid w:val="00B547A8"/>
    <w:rsid w:val="00B54D31"/>
    <w:rsid w:val="00B54FAB"/>
    <w:rsid w:val="00B55D05"/>
    <w:rsid w:val="00B55EA7"/>
    <w:rsid w:val="00B55FAA"/>
    <w:rsid w:val="00B5630A"/>
    <w:rsid w:val="00B56662"/>
    <w:rsid w:val="00B5759D"/>
    <w:rsid w:val="00B57960"/>
    <w:rsid w:val="00B60182"/>
    <w:rsid w:val="00B606FC"/>
    <w:rsid w:val="00B608DE"/>
    <w:rsid w:val="00B609F0"/>
    <w:rsid w:val="00B61607"/>
    <w:rsid w:val="00B6189F"/>
    <w:rsid w:val="00B61C58"/>
    <w:rsid w:val="00B626D2"/>
    <w:rsid w:val="00B62858"/>
    <w:rsid w:val="00B62B27"/>
    <w:rsid w:val="00B62E33"/>
    <w:rsid w:val="00B633E3"/>
    <w:rsid w:val="00B636CB"/>
    <w:rsid w:val="00B63762"/>
    <w:rsid w:val="00B63E72"/>
    <w:rsid w:val="00B63ED8"/>
    <w:rsid w:val="00B63F9A"/>
    <w:rsid w:val="00B64065"/>
    <w:rsid w:val="00B648E3"/>
    <w:rsid w:val="00B6496E"/>
    <w:rsid w:val="00B64BB4"/>
    <w:rsid w:val="00B64EB4"/>
    <w:rsid w:val="00B650C5"/>
    <w:rsid w:val="00B6511F"/>
    <w:rsid w:val="00B655A2"/>
    <w:rsid w:val="00B655F2"/>
    <w:rsid w:val="00B6585D"/>
    <w:rsid w:val="00B6616C"/>
    <w:rsid w:val="00B661BF"/>
    <w:rsid w:val="00B66446"/>
    <w:rsid w:val="00B668DE"/>
    <w:rsid w:val="00B66B93"/>
    <w:rsid w:val="00B66CEB"/>
    <w:rsid w:val="00B66CF7"/>
    <w:rsid w:val="00B66E5C"/>
    <w:rsid w:val="00B66E70"/>
    <w:rsid w:val="00B67861"/>
    <w:rsid w:val="00B70166"/>
    <w:rsid w:val="00B7041C"/>
    <w:rsid w:val="00B709B0"/>
    <w:rsid w:val="00B70DBD"/>
    <w:rsid w:val="00B70F96"/>
    <w:rsid w:val="00B71018"/>
    <w:rsid w:val="00B713A5"/>
    <w:rsid w:val="00B721C3"/>
    <w:rsid w:val="00B73042"/>
    <w:rsid w:val="00B73102"/>
    <w:rsid w:val="00B73214"/>
    <w:rsid w:val="00B73551"/>
    <w:rsid w:val="00B737AA"/>
    <w:rsid w:val="00B73824"/>
    <w:rsid w:val="00B738A5"/>
    <w:rsid w:val="00B73D36"/>
    <w:rsid w:val="00B741BC"/>
    <w:rsid w:val="00B7448E"/>
    <w:rsid w:val="00B74664"/>
    <w:rsid w:val="00B7492D"/>
    <w:rsid w:val="00B74AB3"/>
    <w:rsid w:val="00B74E07"/>
    <w:rsid w:val="00B750CC"/>
    <w:rsid w:val="00B750D0"/>
    <w:rsid w:val="00B75772"/>
    <w:rsid w:val="00B75C61"/>
    <w:rsid w:val="00B75F85"/>
    <w:rsid w:val="00B76060"/>
    <w:rsid w:val="00B7612F"/>
    <w:rsid w:val="00B76328"/>
    <w:rsid w:val="00B76B62"/>
    <w:rsid w:val="00B76C05"/>
    <w:rsid w:val="00B77192"/>
    <w:rsid w:val="00B778F7"/>
    <w:rsid w:val="00B77BAE"/>
    <w:rsid w:val="00B77BD5"/>
    <w:rsid w:val="00B77CD8"/>
    <w:rsid w:val="00B77EB3"/>
    <w:rsid w:val="00B77F14"/>
    <w:rsid w:val="00B80B3E"/>
    <w:rsid w:val="00B8126E"/>
    <w:rsid w:val="00B819C7"/>
    <w:rsid w:val="00B81BFB"/>
    <w:rsid w:val="00B821A6"/>
    <w:rsid w:val="00B823CB"/>
    <w:rsid w:val="00B82802"/>
    <w:rsid w:val="00B83464"/>
    <w:rsid w:val="00B834DD"/>
    <w:rsid w:val="00B84324"/>
    <w:rsid w:val="00B84954"/>
    <w:rsid w:val="00B84EBD"/>
    <w:rsid w:val="00B8517D"/>
    <w:rsid w:val="00B85755"/>
    <w:rsid w:val="00B863EF"/>
    <w:rsid w:val="00B86BB5"/>
    <w:rsid w:val="00B871B4"/>
    <w:rsid w:val="00B9038B"/>
    <w:rsid w:val="00B904CC"/>
    <w:rsid w:val="00B907E5"/>
    <w:rsid w:val="00B90911"/>
    <w:rsid w:val="00B90AA4"/>
    <w:rsid w:val="00B91BFE"/>
    <w:rsid w:val="00B924CF"/>
    <w:rsid w:val="00B9259A"/>
    <w:rsid w:val="00B9292D"/>
    <w:rsid w:val="00B92A55"/>
    <w:rsid w:val="00B92C7E"/>
    <w:rsid w:val="00B93022"/>
    <w:rsid w:val="00B9334E"/>
    <w:rsid w:val="00B93717"/>
    <w:rsid w:val="00B938E1"/>
    <w:rsid w:val="00B9395E"/>
    <w:rsid w:val="00B93BAB"/>
    <w:rsid w:val="00B941CB"/>
    <w:rsid w:val="00B94954"/>
    <w:rsid w:val="00B94BF0"/>
    <w:rsid w:val="00B94BF5"/>
    <w:rsid w:val="00B94CA2"/>
    <w:rsid w:val="00B95119"/>
    <w:rsid w:val="00B9516B"/>
    <w:rsid w:val="00B95242"/>
    <w:rsid w:val="00B95270"/>
    <w:rsid w:val="00B96048"/>
    <w:rsid w:val="00B9642E"/>
    <w:rsid w:val="00B96BA2"/>
    <w:rsid w:val="00B96FD7"/>
    <w:rsid w:val="00B97214"/>
    <w:rsid w:val="00B974F4"/>
    <w:rsid w:val="00B975B3"/>
    <w:rsid w:val="00B977D4"/>
    <w:rsid w:val="00B97869"/>
    <w:rsid w:val="00B97E5B"/>
    <w:rsid w:val="00B97F0A"/>
    <w:rsid w:val="00BA045E"/>
    <w:rsid w:val="00BA05FB"/>
    <w:rsid w:val="00BA0BE3"/>
    <w:rsid w:val="00BA0C29"/>
    <w:rsid w:val="00BA0C65"/>
    <w:rsid w:val="00BA0D3B"/>
    <w:rsid w:val="00BA0E9E"/>
    <w:rsid w:val="00BA0FE4"/>
    <w:rsid w:val="00BA0FE5"/>
    <w:rsid w:val="00BA1279"/>
    <w:rsid w:val="00BA1443"/>
    <w:rsid w:val="00BA1813"/>
    <w:rsid w:val="00BA18E4"/>
    <w:rsid w:val="00BA1932"/>
    <w:rsid w:val="00BA1B1C"/>
    <w:rsid w:val="00BA1DBF"/>
    <w:rsid w:val="00BA1E03"/>
    <w:rsid w:val="00BA2012"/>
    <w:rsid w:val="00BA2082"/>
    <w:rsid w:val="00BA22DE"/>
    <w:rsid w:val="00BA2498"/>
    <w:rsid w:val="00BA2976"/>
    <w:rsid w:val="00BA2DEE"/>
    <w:rsid w:val="00BA304E"/>
    <w:rsid w:val="00BA31E2"/>
    <w:rsid w:val="00BA35BD"/>
    <w:rsid w:val="00BA35C6"/>
    <w:rsid w:val="00BA36E6"/>
    <w:rsid w:val="00BA381C"/>
    <w:rsid w:val="00BA3A8B"/>
    <w:rsid w:val="00BA3BF3"/>
    <w:rsid w:val="00BA3E5E"/>
    <w:rsid w:val="00BA3E65"/>
    <w:rsid w:val="00BA52E3"/>
    <w:rsid w:val="00BA5452"/>
    <w:rsid w:val="00BA56EC"/>
    <w:rsid w:val="00BA57C8"/>
    <w:rsid w:val="00BA5A4A"/>
    <w:rsid w:val="00BA5B3F"/>
    <w:rsid w:val="00BA5E2F"/>
    <w:rsid w:val="00BA6863"/>
    <w:rsid w:val="00BA69F5"/>
    <w:rsid w:val="00BA7275"/>
    <w:rsid w:val="00BA751D"/>
    <w:rsid w:val="00BA7682"/>
    <w:rsid w:val="00BA7B67"/>
    <w:rsid w:val="00BB09BB"/>
    <w:rsid w:val="00BB0E3E"/>
    <w:rsid w:val="00BB107D"/>
    <w:rsid w:val="00BB1594"/>
    <w:rsid w:val="00BB1AB7"/>
    <w:rsid w:val="00BB1D58"/>
    <w:rsid w:val="00BB1FD8"/>
    <w:rsid w:val="00BB2185"/>
    <w:rsid w:val="00BB228C"/>
    <w:rsid w:val="00BB2CD1"/>
    <w:rsid w:val="00BB2DE6"/>
    <w:rsid w:val="00BB32B0"/>
    <w:rsid w:val="00BB33EE"/>
    <w:rsid w:val="00BB37C1"/>
    <w:rsid w:val="00BB3CBA"/>
    <w:rsid w:val="00BB3DE1"/>
    <w:rsid w:val="00BB4116"/>
    <w:rsid w:val="00BB4404"/>
    <w:rsid w:val="00BB45D2"/>
    <w:rsid w:val="00BB52D6"/>
    <w:rsid w:val="00BB543F"/>
    <w:rsid w:val="00BB59F8"/>
    <w:rsid w:val="00BB61C7"/>
    <w:rsid w:val="00BB64C2"/>
    <w:rsid w:val="00BB687B"/>
    <w:rsid w:val="00BB6DFE"/>
    <w:rsid w:val="00BB6FE1"/>
    <w:rsid w:val="00BB714F"/>
    <w:rsid w:val="00BB74A3"/>
    <w:rsid w:val="00BB76DE"/>
    <w:rsid w:val="00BB7838"/>
    <w:rsid w:val="00BB7BA0"/>
    <w:rsid w:val="00BB7CB3"/>
    <w:rsid w:val="00BC0576"/>
    <w:rsid w:val="00BC0F2B"/>
    <w:rsid w:val="00BC117F"/>
    <w:rsid w:val="00BC120C"/>
    <w:rsid w:val="00BC122F"/>
    <w:rsid w:val="00BC1707"/>
    <w:rsid w:val="00BC185E"/>
    <w:rsid w:val="00BC1CED"/>
    <w:rsid w:val="00BC21C3"/>
    <w:rsid w:val="00BC223A"/>
    <w:rsid w:val="00BC27D1"/>
    <w:rsid w:val="00BC2CED"/>
    <w:rsid w:val="00BC392F"/>
    <w:rsid w:val="00BC3A65"/>
    <w:rsid w:val="00BC3BF9"/>
    <w:rsid w:val="00BC3FCA"/>
    <w:rsid w:val="00BC48CC"/>
    <w:rsid w:val="00BC56A4"/>
    <w:rsid w:val="00BC5C22"/>
    <w:rsid w:val="00BC6302"/>
    <w:rsid w:val="00BC645A"/>
    <w:rsid w:val="00BC6D75"/>
    <w:rsid w:val="00BC7843"/>
    <w:rsid w:val="00BC7ACC"/>
    <w:rsid w:val="00BC7C09"/>
    <w:rsid w:val="00BC7C96"/>
    <w:rsid w:val="00BC7CB0"/>
    <w:rsid w:val="00BC7F8E"/>
    <w:rsid w:val="00BC7FF9"/>
    <w:rsid w:val="00BD0E70"/>
    <w:rsid w:val="00BD1150"/>
    <w:rsid w:val="00BD13D4"/>
    <w:rsid w:val="00BD18FA"/>
    <w:rsid w:val="00BD1FAE"/>
    <w:rsid w:val="00BD27CF"/>
    <w:rsid w:val="00BD29D6"/>
    <w:rsid w:val="00BD306C"/>
    <w:rsid w:val="00BD3777"/>
    <w:rsid w:val="00BD38CC"/>
    <w:rsid w:val="00BD3C3C"/>
    <w:rsid w:val="00BD3D4E"/>
    <w:rsid w:val="00BD3FF0"/>
    <w:rsid w:val="00BD4033"/>
    <w:rsid w:val="00BD4848"/>
    <w:rsid w:val="00BD499F"/>
    <w:rsid w:val="00BD4A2C"/>
    <w:rsid w:val="00BD4F87"/>
    <w:rsid w:val="00BD507B"/>
    <w:rsid w:val="00BD514E"/>
    <w:rsid w:val="00BD5436"/>
    <w:rsid w:val="00BD54DF"/>
    <w:rsid w:val="00BD6042"/>
    <w:rsid w:val="00BD605E"/>
    <w:rsid w:val="00BD6613"/>
    <w:rsid w:val="00BD6D47"/>
    <w:rsid w:val="00BD6EB5"/>
    <w:rsid w:val="00BD7537"/>
    <w:rsid w:val="00BD753D"/>
    <w:rsid w:val="00BE02B5"/>
    <w:rsid w:val="00BE051B"/>
    <w:rsid w:val="00BE0869"/>
    <w:rsid w:val="00BE0B6A"/>
    <w:rsid w:val="00BE102B"/>
    <w:rsid w:val="00BE11D6"/>
    <w:rsid w:val="00BE1909"/>
    <w:rsid w:val="00BE1D7D"/>
    <w:rsid w:val="00BE24F7"/>
    <w:rsid w:val="00BE29A7"/>
    <w:rsid w:val="00BE29CF"/>
    <w:rsid w:val="00BE2A8A"/>
    <w:rsid w:val="00BE2D00"/>
    <w:rsid w:val="00BE2D9E"/>
    <w:rsid w:val="00BE3663"/>
    <w:rsid w:val="00BE38FA"/>
    <w:rsid w:val="00BE39AE"/>
    <w:rsid w:val="00BE3A11"/>
    <w:rsid w:val="00BE452F"/>
    <w:rsid w:val="00BE4618"/>
    <w:rsid w:val="00BE4EE4"/>
    <w:rsid w:val="00BE5539"/>
    <w:rsid w:val="00BE5550"/>
    <w:rsid w:val="00BE6606"/>
    <w:rsid w:val="00BE6943"/>
    <w:rsid w:val="00BE6C7F"/>
    <w:rsid w:val="00BE6F28"/>
    <w:rsid w:val="00BE7221"/>
    <w:rsid w:val="00BE747E"/>
    <w:rsid w:val="00BE7E5B"/>
    <w:rsid w:val="00BF09CC"/>
    <w:rsid w:val="00BF0A78"/>
    <w:rsid w:val="00BF0D5F"/>
    <w:rsid w:val="00BF0E1A"/>
    <w:rsid w:val="00BF12F2"/>
    <w:rsid w:val="00BF141A"/>
    <w:rsid w:val="00BF142E"/>
    <w:rsid w:val="00BF1DE7"/>
    <w:rsid w:val="00BF1FD6"/>
    <w:rsid w:val="00BF25CA"/>
    <w:rsid w:val="00BF29D4"/>
    <w:rsid w:val="00BF2B2D"/>
    <w:rsid w:val="00BF2D95"/>
    <w:rsid w:val="00BF306E"/>
    <w:rsid w:val="00BF3128"/>
    <w:rsid w:val="00BF366D"/>
    <w:rsid w:val="00BF3A94"/>
    <w:rsid w:val="00BF48E5"/>
    <w:rsid w:val="00BF4AC9"/>
    <w:rsid w:val="00BF4B26"/>
    <w:rsid w:val="00BF53F6"/>
    <w:rsid w:val="00BF5438"/>
    <w:rsid w:val="00BF58AB"/>
    <w:rsid w:val="00BF59D4"/>
    <w:rsid w:val="00BF5BFC"/>
    <w:rsid w:val="00BF5DE7"/>
    <w:rsid w:val="00BF5E3D"/>
    <w:rsid w:val="00BF5EA6"/>
    <w:rsid w:val="00BF5F86"/>
    <w:rsid w:val="00BF62BB"/>
    <w:rsid w:val="00BF6632"/>
    <w:rsid w:val="00BF6865"/>
    <w:rsid w:val="00BF6914"/>
    <w:rsid w:val="00BF698C"/>
    <w:rsid w:val="00BF707A"/>
    <w:rsid w:val="00BF7690"/>
    <w:rsid w:val="00C00C47"/>
    <w:rsid w:val="00C00C7C"/>
    <w:rsid w:val="00C01451"/>
    <w:rsid w:val="00C017DE"/>
    <w:rsid w:val="00C018A8"/>
    <w:rsid w:val="00C018FA"/>
    <w:rsid w:val="00C01CDD"/>
    <w:rsid w:val="00C0261D"/>
    <w:rsid w:val="00C03355"/>
    <w:rsid w:val="00C037C4"/>
    <w:rsid w:val="00C03E21"/>
    <w:rsid w:val="00C03EE0"/>
    <w:rsid w:val="00C0400F"/>
    <w:rsid w:val="00C0499C"/>
    <w:rsid w:val="00C055A9"/>
    <w:rsid w:val="00C0631F"/>
    <w:rsid w:val="00C0715F"/>
    <w:rsid w:val="00C0742F"/>
    <w:rsid w:val="00C0763F"/>
    <w:rsid w:val="00C078E5"/>
    <w:rsid w:val="00C07D76"/>
    <w:rsid w:val="00C101EE"/>
    <w:rsid w:val="00C1025A"/>
    <w:rsid w:val="00C10429"/>
    <w:rsid w:val="00C107AB"/>
    <w:rsid w:val="00C109F5"/>
    <w:rsid w:val="00C10B35"/>
    <w:rsid w:val="00C10C23"/>
    <w:rsid w:val="00C11319"/>
    <w:rsid w:val="00C11458"/>
    <w:rsid w:val="00C117C9"/>
    <w:rsid w:val="00C12124"/>
    <w:rsid w:val="00C12944"/>
    <w:rsid w:val="00C12DD5"/>
    <w:rsid w:val="00C12F0E"/>
    <w:rsid w:val="00C13389"/>
    <w:rsid w:val="00C13639"/>
    <w:rsid w:val="00C14371"/>
    <w:rsid w:val="00C14892"/>
    <w:rsid w:val="00C14A4D"/>
    <w:rsid w:val="00C14D9E"/>
    <w:rsid w:val="00C14ECC"/>
    <w:rsid w:val="00C15595"/>
    <w:rsid w:val="00C15B41"/>
    <w:rsid w:val="00C1605E"/>
    <w:rsid w:val="00C16072"/>
    <w:rsid w:val="00C162C8"/>
    <w:rsid w:val="00C164A3"/>
    <w:rsid w:val="00C165CD"/>
    <w:rsid w:val="00C16E71"/>
    <w:rsid w:val="00C173C4"/>
    <w:rsid w:val="00C1779E"/>
    <w:rsid w:val="00C212F8"/>
    <w:rsid w:val="00C21353"/>
    <w:rsid w:val="00C21AF3"/>
    <w:rsid w:val="00C22539"/>
    <w:rsid w:val="00C228F7"/>
    <w:rsid w:val="00C22BE1"/>
    <w:rsid w:val="00C22F8C"/>
    <w:rsid w:val="00C2319E"/>
    <w:rsid w:val="00C23450"/>
    <w:rsid w:val="00C23C3F"/>
    <w:rsid w:val="00C23E21"/>
    <w:rsid w:val="00C24767"/>
    <w:rsid w:val="00C24BA7"/>
    <w:rsid w:val="00C2514C"/>
    <w:rsid w:val="00C251AB"/>
    <w:rsid w:val="00C255D6"/>
    <w:rsid w:val="00C25832"/>
    <w:rsid w:val="00C26682"/>
    <w:rsid w:val="00C26C72"/>
    <w:rsid w:val="00C27366"/>
    <w:rsid w:val="00C274E5"/>
    <w:rsid w:val="00C27536"/>
    <w:rsid w:val="00C27F7C"/>
    <w:rsid w:val="00C27F7F"/>
    <w:rsid w:val="00C303C1"/>
    <w:rsid w:val="00C30B73"/>
    <w:rsid w:val="00C31E1B"/>
    <w:rsid w:val="00C32374"/>
    <w:rsid w:val="00C32585"/>
    <w:rsid w:val="00C32902"/>
    <w:rsid w:val="00C32935"/>
    <w:rsid w:val="00C32ADB"/>
    <w:rsid w:val="00C32B8F"/>
    <w:rsid w:val="00C32CF7"/>
    <w:rsid w:val="00C33482"/>
    <w:rsid w:val="00C33C75"/>
    <w:rsid w:val="00C33CBF"/>
    <w:rsid w:val="00C33ECB"/>
    <w:rsid w:val="00C33F48"/>
    <w:rsid w:val="00C33F97"/>
    <w:rsid w:val="00C34594"/>
    <w:rsid w:val="00C345C4"/>
    <w:rsid w:val="00C34669"/>
    <w:rsid w:val="00C348FA"/>
    <w:rsid w:val="00C349E5"/>
    <w:rsid w:val="00C34AED"/>
    <w:rsid w:val="00C34F4C"/>
    <w:rsid w:val="00C352B2"/>
    <w:rsid w:val="00C35320"/>
    <w:rsid w:val="00C3589F"/>
    <w:rsid w:val="00C35982"/>
    <w:rsid w:val="00C359A8"/>
    <w:rsid w:val="00C35BCF"/>
    <w:rsid w:val="00C35E0B"/>
    <w:rsid w:val="00C3622D"/>
    <w:rsid w:val="00C362BE"/>
    <w:rsid w:val="00C366D9"/>
    <w:rsid w:val="00C36863"/>
    <w:rsid w:val="00C36BCB"/>
    <w:rsid w:val="00C36EEF"/>
    <w:rsid w:val="00C37306"/>
    <w:rsid w:val="00C373E6"/>
    <w:rsid w:val="00C37952"/>
    <w:rsid w:val="00C37B57"/>
    <w:rsid w:val="00C40111"/>
    <w:rsid w:val="00C402B4"/>
    <w:rsid w:val="00C40D1E"/>
    <w:rsid w:val="00C40D40"/>
    <w:rsid w:val="00C40DC4"/>
    <w:rsid w:val="00C414BD"/>
    <w:rsid w:val="00C41B47"/>
    <w:rsid w:val="00C41E89"/>
    <w:rsid w:val="00C41EBF"/>
    <w:rsid w:val="00C41F6E"/>
    <w:rsid w:val="00C42E38"/>
    <w:rsid w:val="00C42EC5"/>
    <w:rsid w:val="00C437E5"/>
    <w:rsid w:val="00C43BE9"/>
    <w:rsid w:val="00C43D62"/>
    <w:rsid w:val="00C44148"/>
    <w:rsid w:val="00C441B9"/>
    <w:rsid w:val="00C44263"/>
    <w:rsid w:val="00C443F2"/>
    <w:rsid w:val="00C446C0"/>
    <w:rsid w:val="00C45023"/>
    <w:rsid w:val="00C457ED"/>
    <w:rsid w:val="00C45BB5"/>
    <w:rsid w:val="00C45DFB"/>
    <w:rsid w:val="00C46E84"/>
    <w:rsid w:val="00C46ED5"/>
    <w:rsid w:val="00C4708D"/>
    <w:rsid w:val="00C4727E"/>
    <w:rsid w:val="00C473C4"/>
    <w:rsid w:val="00C47407"/>
    <w:rsid w:val="00C47453"/>
    <w:rsid w:val="00C47651"/>
    <w:rsid w:val="00C4768D"/>
    <w:rsid w:val="00C4770C"/>
    <w:rsid w:val="00C478B5"/>
    <w:rsid w:val="00C47C74"/>
    <w:rsid w:val="00C47CC7"/>
    <w:rsid w:val="00C50B52"/>
    <w:rsid w:val="00C50D7F"/>
    <w:rsid w:val="00C510F6"/>
    <w:rsid w:val="00C518A0"/>
    <w:rsid w:val="00C51901"/>
    <w:rsid w:val="00C51E73"/>
    <w:rsid w:val="00C51F02"/>
    <w:rsid w:val="00C5233A"/>
    <w:rsid w:val="00C5242C"/>
    <w:rsid w:val="00C530CF"/>
    <w:rsid w:val="00C5394B"/>
    <w:rsid w:val="00C53D09"/>
    <w:rsid w:val="00C5403A"/>
    <w:rsid w:val="00C54501"/>
    <w:rsid w:val="00C54678"/>
    <w:rsid w:val="00C54685"/>
    <w:rsid w:val="00C549C6"/>
    <w:rsid w:val="00C549D8"/>
    <w:rsid w:val="00C5551D"/>
    <w:rsid w:val="00C5572C"/>
    <w:rsid w:val="00C558D3"/>
    <w:rsid w:val="00C55CDC"/>
    <w:rsid w:val="00C56501"/>
    <w:rsid w:val="00C5651E"/>
    <w:rsid w:val="00C56F0A"/>
    <w:rsid w:val="00C5709A"/>
    <w:rsid w:val="00C574E9"/>
    <w:rsid w:val="00C60B07"/>
    <w:rsid w:val="00C60E7D"/>
    <w:rsid w:val="00C6110C"/>
    <w:rsid w:val="00C61197"/>
    <w:rsid w:val="00C61669"/>
    <w:rsid w:val="00C61739"/>
    <w:rsid w:val="00C61A89"/>
    <w:rsid w:val="00C622F4"/>
    <w:rsid w:val="00C62779"/>
    <w:rsid w:val="00C62D3D"/>
    <w:rsid w:val="00C63347"/>
    <w:rsid w:val="00C636BD"/>
    <w:rsid w:val="00C636C4"/>
    <w:rsid w:val="00C63722"/>
    <w:rsid w:val="00C63AC2"/>
    <w:rsid w:val="00C63ADB"/>
    <w:rsid w:val="00C63C86"/>
    <w:rsid w:val="00C63FC0"/>
    <w:rsid w:val="00C646D4"/>
    <w:rsid w:val="00C64C09"/>
    <w:rsid w:val="00C65A34"/>
    <w:rsid w:val="00C65B2E"/>
    <w:rsid w:val="00C65C11"/>
    <w:rsid w:val="00C65C88"/>
    <w:rsid w:val="00C6614F"/>
    <w:rsid w:val="00C661FC"/>
    <w:rsid w:val="00C665C0"/>
    <w:rsid w:val="00C6660D"/>
    <w:rsid w:val="00C66783"/>
    <w:rsid w:val="00C66B3B"/>
    <w:rsid w:val="00C66D66"/>
    <w:rsid w:val="00C67073"/>
    <w:rsid w:val="00C67CE9"/>
    <w:rsid w:val="00C700C7"/>
    <w:rsid w:val="00C70181"/>
    <w:rsid w:val="00C705FD"/>
    <w:rsid w:val="00C70820"/>
    <w:rsid w:val="00C70DDA"/>
    <w:rsid w:val="00C70E13"/>
    <w:rsid w:val="00C71063"/>
    <w:rsid w:val="00C71220"/>
    <w:rsid w:val="00C718E7"/>
    <w:rsid w:val="00C71EBD"/>
    <w:rsid w:val="00C724F5"/>
    <w:rsid w:val="00C73046"/>
    <w:rsid w:val="00C7389B"/>
    <w:rsid w:val="00C74747"/>
    <w:rsid w:val="00C747EB"/>
    <w:rsid w:val="00C74A2D"/>
    <w:rsid w:val="00C74E24"/>
    <w:rsid w:val="00C74F5E"/>
    <w:rsid w:val="00C755D9"/>
    <w:rsid w:val="00C759A9"/>
    <w:rsid w:val="00C75D37"/>
    <w:rsid w:val="00C76857"/>
    <w:rsid w:val="00C76B1F"/>
    <w:rsid w:val="00C76CB9"/>
    <w:rsid w:val="00C76F05"/>
    <w:rsid w:val="00C7711A"/>
    <w:rsid w:val="00C777C8"/>
    <w:rsid w:val="00C779AE"/>
    <w:rsid w:val="00C77C25"/>
    <w:rsid w:val="00C77F5C"/>
    <w:rsid w:val="00C80200"/>
    <w:rsid w:val="00C80322"/>
    <w:rsid w:val="00C803DB"/>
    <w:rsid w:val="00C80526"/>
    <w:rsid w:val="00C80720"/>
    <w:rsid w:val="00C809E3"/>
    <w:rsid w:val="00C80D4C"/>
    <w:rsid w:val="00C8144A"/>
    <w:rsid w:val="00C81715"/>
    <w:rsid w:val="00C81C99"/>
    <w:rsid w:val="00C81F09"/>
    <w:rsid w:val="00C820A6"/>
    <w:rsid w:val="00C825A4"/>
    <w:rsid w:val="00C82CDB"/>
    <w:rsid w:val="00C8325B"/>
    <w:rsid w:val="00C83B1D"/>
    <w:rsid w:val="00C83CF1"/>
    <w:rsid w:val="00C840CD"/>
    <w:rsid w:val="00C8439E"/>
    <w:rsid w:val="00C84A81"/>
    <w:rsid w:val="00C85030"/>
    <w:rsid w:val="00C853E5"/>
    <w:rsid w:val="00C85697"/>
    <w:rsid w:val="00C856D5"/>
    <w:rsid w:val="00C858AE"/>
    <w:rsid w:val="00C85985"/>
    <w:rsid w:val="00C85A42"/>
    <w:rsid w:val="00C85DEC"/>
    <w:rsid w:val="00C85FD6"/>
    <w:rsid w:val="00C861CF"/>
    <w:rsid w:val="00C8666E"/>
    <w:rsid w:val="00C86F31"/>
    <w:rsid w:val="00C87264"/>
    <w:rsid w:val="00C87335"/>
    <w:rsid w:val="00C87B47"/>
    <w:rsid w:val="00C9016B"/>
    <w:rsid w:val="00C901F8"/>
    <w:rsid w:val="00C9078C"/>
    <w:rsid w:val="00C90BD4"/>
    <w:rsid w:val="00C90D71"/>
    <w:rsid w:val="00C91239"/>
    <w:rsid w:val="00C912ED"/>
    <w:rsid w:val="00C91405"/>
    <w:rsid w:val="00C9196F"/>
    <w:rsid w:val="00C9206F"/>
    <w:rsid w:val="00C9227D"/>
    <w:rsid w:val="00C93215"/>
    <w:rsid w:val="00C93996"/>
    <w:rsid w:val="00C93A6E"/>
    <w:rsid w:val="00C94226"/>
    <w:rsid w:val="00C9446C"/>
    <w:rsid w:val="00C94B49"/>
    <w:rsid w:val="00C94EB6"/>
    <w:rsid w:val="00C95467"/>
    <w:rsid w:val="00C95771"/>
    <w:rsid w:val="00C95EAD"/>
    <w:rsid w:val="00C95FBA"/>
    <w:rsid w:val="00C965A2"/>
    <w:rsid w:val="00C96720"/>
    <w:rsid w:val="00C97237"/>
    <w:rsid w:val="00C97290"/>
    <w:rsid w:val="00C975F5"/>
    <w:rsid w:val="00C9787D"/>
    <w:rsid w:val="00C97910"/>
    <w:rsid w:val="00C97B30"/>
    <w:rsid w:val="00C97EF2"/>
    <w:rsid w:val="00CA0377"/>
    <w:rsid w:val="00CA03B3"/>
    <w:rsid w:val="00CA06EC"/>
    <w:rsid w:val="00CA091B"/>
    <w:rsid w:val="00CA0989"/>
    <w:rsid w:val="00CA0E2C"/>
    <w:rsid w:val="00CA0E4C"/>
    <w:rsid w:val="00CA20EE"/>
    <w:rsid w:val="00CA22AC"/>
    <w:rsid w:val="00CA2901"/>
    <w:rsid w:val="00CA2E90"/>
    <w:rsid w:val="00CA331A"/>
    <w:rsid w:val="00CA38B1"/>
    <w:rsid w:val="00CA39C7"/>
    <w:rsid w:val="00CA3A2B"/>
    <w:rsid w:val="00CA3D98"/>
    <w:rsid w:val="00CA4264"/>
    <w:rsid w:val="00CA49D3"/>
    <w:rsid w:val="00CA4A90"/>
    <w:rsid w:val="00CA5043"/>
    <w:rsid w:val="00CA51AB"/>
    <w:rsid w:val="00CA524C"/>
    <w:rsid w:val="00CA528E"/>
    <w:rsid w:val="00CA54D0"/>
    <w:rsid w:val="00CA5543"/>
    <w:rsid w:val="00CA59AD"/>
    <w:rsid w:val="00CA6114"/>
    <w:rsid w:val="00CA66AB"/>
    <w:rsid w:val="00CA6A83"/>
    <w:rsid w:val="00CA70EA"/>
    <w:rsid w:val="00CA738B"/>
    <w:rsid w:val="00CA7419"/>
    <w:rsid w:val="00CB0C5A"/>
    <w:rsid w:val="00CB0D6B"/>
    <w:rsid w:val="00CB24D3"/>
    <w:rsid w:val="00CB27B1"/>
    <w:rsid w:val="00CB2F1C"/>
    <w:rsid w:val="00CB306B"/>
    <w:rsid w:val="00CB3259"/>
    <w:rsid w:val="00CB3583"/>
    <w:rsid w:val="00CB38FB"/>
    <w:rsid w:val="00CB3A36"/>
    <w:rsid w:val="00CB3E2E"/>
    <w:rsid w:val="00CB3EF7"/>
    <w:rsid w:val="00CB409F"/>
    <w:rsid w:val="00CB42DA"/>
    <w:rsid w:val="00CB4519"/>
    <w:rsid w:val="00CB4544"/>
    <w:rsid w:val="00CB47DA"/>
    <w:rsid w:val="00CB4B4C"/>
    <w:rsid w:val="00CB519E"/>
    <w:rsid w:val="00CB524D"/>
    <w:rsid w:val="00CB5542"/>
    <w:rsid w:val="00CB577D"/>
    <w:rsid w:val="00CB5834"/>
    <w:rsid w:val="00CB6796"/>
    <w:rsid w:val="00CB68BB"/>
    <w:rsid w:val="00CB69A6"/>
    <w:rsid w:val="00CB7B23"/>
    <w:rsid w:val="00CB7C19"/>
    <w:rsid w:val="00CB7FB6"/>
    <w:rsid w:val="00CC0099"/>
    <w:rsid w:val="00CC015E"/>
    <w:rsid w:val="00CC01ED"/>
    <w:rsid w:val="00CC03B8"/>
    <w:rsid w:val="00CC071B"/>
    <w:rsid w:val="00CC125F"/>
    <w:rsid w:val="00CC14AC"/>
    <w:rsid w:val="00CC15AE"/>
    <w:rsid w:val="00CC1976"/>
    <w:rsid w:val="00CC1A97"/>
    <w:rsid w:val="00CC1CE6"/>
    <w:rsid w:val="00CC2BFA"/>
    <w:rsid w:val="00CC3053"/>
    <w:rsid w:val="00CC3206"/>
    <w:rsid w:val="00CC32A7"/>
    <w:rsid w:val="00CC3AD1"/>
    <w:rsid w:val="00CC3D58"/>
    <w:rsid w:val="00CC40CC"/>
    <w:rsid w:val="00CC424F"/>
    <w:rsid w:val="00CC42B3"/>
    <w:rsid w:val="00CC432D"/>
    <w:rsid w:val="00CC444F"/>
    <w:rsid w:val="00CC44ED"/>
    <w:rsid w:val="00CC4908"/>
    <w:rsid w:val="00CC4AC2"/>
    <w:rsid w:val="00CC4AE4"/>
    <w:rsid w:val="00CC516E"/>
    <w:rsid w:val="00CC5429"/>
    <w:rsid w:val="00CC568E"/>
    <w:rsid w:val="00CC60E0"/>
    <w:rsid w:val="00CC6510"/>
    <w:rsid w:val="00CC6532"/>
    <w:rsid w:val="00CC6B26"/>
    <w:rsid w:val="00CC6EB1"/>
    <w:rsid w:val="00CC76E5"/>
    <w:rsid w:val="00CC78E0"/>
    <w:rsid w:val="00CC7ABB"/>
    <w:rsid w:val="00CC7AEA"/>
    <w:rsid w:val="00CD05A0"/>
    <w:rsid w:val="00CD0724"/>
    <w:rsid w:val="00CD0DC3"/>
    <w:rsid w:val="00CD121C"/>
    <w:rsid w:val="00CD1454"/>
    <w:rsid w:val="00CD1552"/>
    <w:rsid w:val="00CD21A9"/>
    <w:rsid w:val="00CD224F"/>
    <w:rsid w:val="00CD2598"/>
    <w:rsid w:val="00CD277D"/>
    <w:rsid w:val="00CD29D0"/>
    <w:rsid w:val="00CD2E04"/>
    <w:rsid w:val="00CD2F18"/>
    <w:rsid w:val="00CD2F20"/>
    <w:rsid w:val="00CD2FF6"/>
    <w:rsid w:val="00CD3283"/>
    <w:rsid w:val="00CD33B2"/>
    <w:rsid w:val="00CD3CD7"/>
    <w:rsid w:val="00CD407C"/>
    <w:rsid w:val="00CD40E9"/>
    <w:rsid w:val="00CD49E4"/>
    <w:rsid w:val="00CD56DA"/>
    <w:rsid w:val="00CD5727"/>
    <w:rsid w:val="00CD5D67"/>
    <w:rsid w:val="00CD5E16"/>
    <w:rsid w:val="00CD61EA"/>
    <w:rsid w:val="00CD6251"/>
    <w:rsid w:val="00CD6337"/>
    <w:rsid w:val="00CD6674"/>
    <w:rsid w:val="00CD67D3"/>
    <w:rsid w:val="00CD6C76"/>
    <w:rsid w:val="00CD6CBD"/>
    <w:rsid w:val="00CD6F22"/>
    <w:rsid w:val="00CD769C"/>
    <w:rsid w:val="00CD77B7"/>
    <w:rsid w:val="00CD7DAB"/>
    <w:rsid w:val="00CD7E75"/>
    <w:rsid w:val="00CD7FB0"/>
    <w:rsid w:val="00CE00E5"/>
    <w:rsid w:val="00CE0211"/>
    <w:rsid w:val="00CE04BD"/>
    <w:rsid w:val="00CE149D"/>
    <w:rsid w:val="00CE2378"/>
    <w:rsid w:val="00CE294B"/>
    <w:rsid w:val="00CE2AD3"/>
    <w:rsid w:val="00CE2C55"/>
    <w:rsid w:val="00CE2D55"/>
    <w:rsid w:val="00CE30D7"/>
    <w:rsid w:val="00CE34E2"/>
    <w:rsid w:val="00CE3590"/>
    <w:rsid w:val="00CE35BC"/>
    <w:rsid w:val="00CE35E5"/>
    <w:rsid w:val="00CE3ACD"/>
    <w:rsid w:val="00CE3ADA"/>
    <w:rsid w:val="00CE3BCC"/>
    <w:rsid w:val="00CE4401"/>
    <w:rsid w:val="00CE450E"/>
    <w:rsid w:val="00CE4781"/>
    <w:rsid w:val="00CE4AAB"/>
    <w:rsid w:val="00CE4BB0"/>
    <w:rsid w:val="00CE4BD1"/>
    <w:rsid w:val="00CE4BD4"/>
    <w:rsid w:val="00CE52FD"/>
    <w:rsid w:val="00CE5441"/>
    <w:rsid w:val="00CE5AFE"/>
    <w:rsid w:val="00CE5D19"/>
    <w:rsid w:val="00CE61E2"/>
    <w:rsid w:val="00CE6232"/>
    <w:rsid w:val="00CE6F2D"/>
    <w:rsid w:val="00CE7146"/>
    <w:rsid w:val="00CE73AE"/>
    <w:rsid w:val="00CE75C0"/>
    <w:rsid w:val="00CE7F8B"/>
    <w:rsid w:val="00CF0685"/>
    <w:rsid w:val="00CF14ED"/>
    <w:rsid w:val="00CF1ADF"/>
    <w:rsid w:val="00CF1DD9"/>
    <w:rsid w:val="00CF1EC1"/>
    <w:rsid w:val="00CF2156"/>
    <w:rsid w:val="00CF21EB"/>
    <w:rsid w:val="00CF2A3D"/>
    <w:rsid w:val="00CF30A5"/>
    <w:rsid w:val="00CF3413"/>
    <w:rsid w:val="00CF365C"/>
    <w:rsid w:val="00CF3798"/>
    <w:rsid w:val="00CF3B99"/>
    <w:rsid w:val="00CF3ECA"/>
    <w:rsid w:val="00CF3EFF"/>
    <w:rsid w:val="00CF4350"/>
    <w:rsid w:val="00CF45DC"/>
    <w:rsid w:val="00CF48F9"/>
    <w:rsid w:val="00CF521B"/>
    <w:rsid w:val="00CF564E"/>
    <w:rsid w:val="00CF56D6"/>
    <w:rsid w:val="00CF589F"/>
    <w:rsid w:val="00CF59AA"/>
    <w:rsid w:val="00CF5A6F"/>
    <w:rsid w:val="00CF5B42"/>
    <w:rsid w:val="00CF5C3C"/>
    <w:rsid w:val="00CF60CD"/>
    <w:rsid w:val="00CF6105"/>
    <w:rsid w:val="00CF6179"/>
    <w:rsid w:val="00CF628A"/>
    <w:rsid w:val="00CF7028"/>
    <w:rsid w:val="00CF7119"/>
    <w:rsid w:val="00CF782E"/>
    <w:rsid w:val="00CF7859"/>
    <w:rsid w:val="00CF7DC7"/>
    <w:rsid w:val="00CF7E57"/>
    <w:rsid w:val="00CF7EC1"/>
    <w:rsid w:val="00CF7ECA"/>
    <w:rsid w:val="00CF7F53"/>
    <w:rsid w:val="00CF7FAF"/>
    <w:rsid w:val="00D005CF"/>
    <w:rsid w:val="00D008E9"/>
    <w:rsid w:val="00D009F1"/>
    <w:rsid w:val="00D00EDB"/>
    <w:rsid w:val="00D01190"/>
    <w:rsid w:val="00D0123F"/>
    <w:rsid w:val="00D01288"/>
    <w:rsid w:val="00D0162B"/>
    <w:rsid w:val="00D01ABC"/>
    <w:rsid w:val="00D02CD0"/>
    <w:rsid w:val="00D02DBA"/>
    <w:rsid w:val="00D0315C"/>
    <w:rsid w:val="00D032E4"/>
    <w:rsid w:val="00D034AC"/>
    <w:rsid w:val="00D03508"/>
    <w:rsid w:val="00D037A8"/>
    <w:rsid w:val="00D037D0"/>
    <w:rsid w:val="00D03B51"/>
    <w:rsid w:val="00D0433D"/>
    <w:rsid w:val="00D0441D"/>
    <w:rsid w:val="00D0446E"/>
    <w:rsid w:val="00D045F4"/>
    <w:rsid w:val="00D04AFC"/>
    <w:rsid w:val="00D0504F"/>
    <w:rsid w:val="00D050E6"/>
    <w:rsid w:val="00D05168"/>
    <w:rsid w:val="00D05729"/>
    <w:rsid w:val="00D0573C"/>
    <w:rsid w:val="00D05C6E"/>
    <w:rsid w:val="00D05F34"/>
    <w:rsid w:val="00D06126"/>
    <w:rsid w:val="00D06A98"/>
    <w:rsid w:val="00D07723"/>
    <w:rsid w:val="00D07747"/>
    <w:rsid w:val="00D07C49"/>
    <w:rsid w:val="00D10242"/>
    <w:rsid w:val="00D10EB1"/>
    <w:rsid w:val="00D11011"/>
    <w:rsid w:val="00D11042"/>
    <w:rsid w:val="00D11053"/>
    <w:rsid w:val="00D11269"/>
    <w:rsid w:val="00D113F3"/>
    <w:rsid w:val="00D116C8"/>
    <w:rsid w:val="00D1181E"/>
    <w:rsid w:val="00D11937"/>
    <w:rsid w:val="00D11E1E"/>
    <w:rsid w:val="00D11F17"/>
    <w:rsid w:val="00D12726"/>
    <w:rsid w:val="00D12999"/>
    <w:rsid w:val="00D12A0F"/>
    <w:rsid w:val="00D12AB0"/>
    <w:rsid w:val="00D135F6"/>
    <w:rsid w:val="00D13673"/>
    <w:rsid w:val="00D137C8"/>
    <w:rsid w:val="00D13906"/>
    <w:rsid w:val="00D13D1B"/>
    <w:rsid w:val="00D14104"/>
    <w:rsid w:val="00D142D3"/>
    <w:rsid w:val="00D14802"/>
    <w:rsid w:val="00D14A3B"/>
    <w:rsid w:val="00D14E8A"/>
    <w:rsid w:val="00D14EF2"/>
    <w:rsid w:val="00D15122"/>
    <w:rsid w:val="00D1515B"/>
    <w:rsid w:val="00D1549C"/>
    <w:rsid w:val="00D15615"/>
    <w:rsid w:val="00D16620"/>
    <w:rsid w:val="00D16C7B"/>
    <w:rsid w:val="00D16E56"/>
    <w:rsid w:val="00D17014"/>
    <w:rsid w:val="00D1709F"/>
    <w:rsid w:val="00D175A1"/>
    <w:rsid w:val="00D175F1"/>
    <w:rsid w:val="00D17AB3"/>
    <w:rsid w:val="00D17B2A"/>
    <w:rsid w:val="00D17F3D"/>
    <w:rsid w:val="00D20010"/>
    <w:rsid w:val="00D202A8"/>
    <w:rsid w:val="00D204BC"/>
    <w:rsid w:val="00D209DD"/>
    <w:rsid w:val="00D20C36"/>
    <w:rsid w:val="00D20D39"/>
    <w:rsid w:val="00D20DC3"/>
    <w:rsid w:val="00D2101B"/>
    <w:rsid w:val="00D21077"/>
    <w:rsid w:val="00D21237"/>
    <w:rsid w:val="00D21556"/>
    <w:rsid w:val="00D2239F"/>
    <w:rsid w:val="00D2250B"/>
    <w:rsid w:val="00D22556"/>
    <w:rsid w:val="00D2267B"/>
    <w:rsid w:val="00D2267F"/>
    <w:rsid w:val="00D22A61"/>
    <w:rsid w:val="00D22F61"/>
    <w:rsid w:val="00D2303D"/>
    <w:rsid w:val="00D2308D"/>
    <w:rsid w:val="00D230C3"/>
    <w:rsid w:val="00D2311D"/>
    <w:rsid w:val="00D231BF"/>
    <w:rsid w:val="00D23343"/>
    <w:rsid w:val="00D234AE"/>
    <w:rsid w:val="00D235BF"/>
    <w:rsid w:val="00D23781"/>
    <w:rsid w:val="00D2398C"/>
    <w:rsid w:val="00D23A55"/>
    <w:rsid w:val="00D24AE4"/>
    <w:rsid w:val="00D24C82"/>
    <w:rsid w:val="00D24CB2"/>
    <w:rsid w:val="00D250DE"/>
    <w:rsid w:val="00D25724"/>
    <w:rsid w:val="00D262C5"/>
    <w:rsid w:val="00D266D2"/>
    <w:rsid w:val="00D26879"/>
    <w:rsid w:val="00D268EC"/>
    <w:rsid w:val="00D26FDE"/>
    <w:rsid w:val="00D27683"/>
    <w:rsid w:val="00D277B2"/>
    <w:rsid w:val="00D27865"/>
    <w:rsid w:val="00D2787E"/>
    <w:rsid w:val="00D27F2A"/>
    <w:rsid w:val="00D30029"/>
    <w:rsid w:val="00D30534"/>
    <w:rsid w:val="00D30920"/>
    <w:rsid w:val="00D30E55"/>
    <w:rsid w:val="00D310B7"/>
    <w:rsid w:val="00D3135A"/>
    <w:rsid w:val="00D31B4C"/>
    <w:rsid w:val="00D31C6D"/>
    <w:rsid w:val="00D31D2E"/>
    <w:rsid w:val="00D32D6C"/>
    <w:rsid w:val="00D330CE"/>
    <w:rsid w:val="00D3322F"/>
    <w:rsid w:val="00D332DD"/>
    <w:rsid w:val="00D33308"/>
    <w:rsid w:val="00D33403"/>
    <w:rsid w:val="00D33511"/>
    <w:rsid w:val="00D338FD"/>
    <w:rsid w:val="00D33C68"/>
    <w:rsid w:val="00D33CCA"/>
    <w:rsid w:val="00D34662"/>
    <w:rsid w:val="00D34A56"/>
    <w:rsid w:val="00D34BA2"/>
    <w:rsid w:val="00D355E8"/>
    <w:rsid w:val="00D35A56"/>
    <w:rsid w:val="00D35A68"/>
    <w:rsid w:val="00D35D5B"/>
    <w:rsid w:val="00D35E6C"/>
    <w:rsid w:val="00D36140"/>
    <w:rsid w:val="00D361FF"/>
    <w:rsid w:val="00D363F0"/>
    <w:rsid w:val="00D364FC"/>
    <w:rsid w:val="00D3654C"/>
    <w:rsid w:val="00D36592"/>
    <w:rsid w:val="00D36AD7"/>
    <w:rsid w:val="00D36B10"/>
    <w:rsid w:val="00D36C48"/>
    <w:rsid w:val="00D373BC"/>
    <w:rsid w:val="00D3763F"/>
    <w:rsid w:val="00D377DC"/>
    <w:rsid w:val="00D37DE3"/>
    <w:rsid w:val="00D37EA3"/>
    <w:rsid w:val="00D4002F"/>
    <w:rsid w:val="00D40095"/>
    <w:rsid w:val="00D406D0"/>
    <w:rsid w:val="00D406FE"/>
    <w:rsid w:val="00D413C6"/>
    <w:rsid w:val="00D4143A"/>
    <w:rsid w:val="00D41639"/>
    <w:rsid w:val="00D419E6"/>
    <w:rsid w:val="00D41D1D"/>
    <w:rsid w:val="00D41E74"/>
    <w:rsid w:val="00D41EF2"/>
    <w:rsid w:val="00D42375"/>
    <w:rsid w:val="00D42659"/>
    <w:rsid w:val="00D42BE6"/>
    <w:rsid w:val="00D42D04"/>
    <w:rsid w:val="00D42E48"/>
    <w:rsid w:val="00D42FF8"/>
    <w:rsid w:val="00D432D8"/>
    <w:rsid w:val="00D43A10"/>
    <w:rsid w:val="00D43AB4"/>
    <w:rsid w:val="00D43AD0"/>
    <w:rsid w:val="00D43B14"/>
    <w:rsid w:val="00D4434A"/>
    <w:rsid w:val="00D448EB"/>
    <w:rsid w:val="00D44FB6"/>
    <w:rsid w:val="00D452C9"/>
    <w:rsid w:val="00D4571D"/>
    <w:rsid w:val="00D4577F"/>
    <w:rsid w:val="00D457F9"/>
    <w:rsid w:val="00D4681E"/>
    <w:rsid w:val="00D46DBB"/>
    <w:rsid w:val="00D46F20"/>
    <w:rsid w:val="00D4711E"/>
    <w:rsid w:val="00D4720C"/>
    <w:rsid w:val="00D47765"/>
    <w:rsid w:val="00D47B4F"/>
    <w:rsid w:val="00D47E17"/>
    <w:rsid w:val="00D50152"/>
    <w:rsid w:val="00D50160"/>
    <w:rsid w:val="00D503CD"/>
    <w:rsid w:val="00D506F3"/>
    <w:rsid w:val="00D50BBF"/>
    <w:rsid w:val="00D50CD6"/>
    <w:rsid w:val="00D51393"/>
    <w:rsid w:val="00D513EF"/>
    <w:rsid w:val="00D514B9"/>
    <w:rsid w:val="00D5190C"/>
    <w:rsid w:val="00D51936"/>
    <w:rsid w:val="00D51F3E"/>
    <w:rsid w:val="00D52044"/>
    <w:rsid w:val="00D52406"/>
    <w:rsid w:val="00D5287F"/>
    <w:rsid w:val="00D52A36"/>
    <w:rsid w:val="00D52CCE"/>
    <w:rsid w:val="00D52CD0"/>
    <w:rsid w:val="00D52D59"/>
    <w:rsid w:val="00D52E09"/>
    <w:rsid w:val="00D53CCB"/>
    <w:rsid w:val="00D548AA"/>
    <w:rsid w:val="00D54BB9"/>
    <w:rsid w:val="00D54C66"/>
    <w:rsid w:val="00D54FAE"/>
    <w:rsid w:val="00D55614"/>
    <w:rsid w:val="00D55B7F"/>
    <w:rsid w:val="00D55CA2"/>
    <w:rsid w:val="00D55D3B"/>
    <w:rsid w:val="00D560AB"/>
    <w:rsid w:val="00D561D6"/>
    <w:rsid w:val="00D56923"/>
    <w:rsid w:val="00D56DB0"/>
    <w:rsid w:val="00D5737F"/>
    <w:rsid w:val="00D573D4"/>
    <w:rsid w:val="00D57454"/>
    <w:rsid w:val="00D57465"/>
    <w:rsid w:val="00D57546"/>
    <w:rsid w:val="00D57763"/>
    <w:rsid w:val="00D57E10"/>
    <w:rsid w:val="00D60427"/>
    <w:rsid w:val="00D609B7"/>
    <w:rsid w:val="00D60A3F"/>
    <w:rsid w:val="00D60AD5"/>
    <w:rsid w:val="00D61045"/>
    <w:rsid w:val="00D6184C"/>
    <w:rsid w:val="00D61875"/>
    <w:rsid w:val="00D61FED"/>
    <w:rsid w:val="00D626E8"/>
    <w:rsid w:val="00D629C7"/>
    <w:rsid w:val="00D63188"/>
    <w:rsid w:val="00D639C9"/>
    <w:rsid w:val="00D63CBE"/>
    <w:rsid w:val="00D64135"/>
    <w:rsid w:val="00D64330"/>
    <w:rsid w:val="00D64337"/>
    <w:rsid w:val="00D64446"/>
    <w:rsid w:val="00D648C7"/>
    <w:rsid w:val="00D6497C"/>
    <w:rsid w:val="00D65188"/>
    <w:rsid w:val="00D65293"/>
    <w:rsid w:val="00D658DE"/>
    <w:rsid w:val="00D66222"/>
    <w:rsid w:val="00D665E3"/>
    <w:rsid w:val="00D67004"/>
    <w:rsid w:val="00D671EF"/>
    <w:rsid w:val="00D67CEA"/>
    <w:rsid w:val="00D70235"/>
    <w:rsid w:val="00D70B07"/>
    <w:rsid w:val="00D70FE6"/>
    <w:rsid w:val="00D71125"/>
    <w:rsid w:val="00D71923"/>
    <w:rsid w:val="00D71C50"/>
    <w:rsid w:val="00D71E9B"/>
    <w:rsid w:val="00D7233A"/>
    <w:rsid w:val="00D7257B"/>
    <w:rsid w:val="00D72973"/>
    <w:rsid w:val="00D738A6"/>
    <w:rsid w:val="00D73D25"/>
    <w:rsid w:val="00D74D8D"/>
    <w:rsid w:val="00D7509B"/>
    <w:rsid w:val="00D75629"/>
    <w:rsid w:val="00D75EE8"/>
    <w:rsid w:val="00D7646F"/>
    <w:rsid w:val="00D76FB7"/>
    <w:rsid w:val="00D77724"/>
    <w:rsid w:val="00D7787D"/>
    <w:rsid w:val="00D77CE8"/>
    <w:rsid w:val="00D800E8"/>
    <w:rsid w:val="00D8015E"/>
    <w:rsid w:val="00D8063F"/>
    <w:rsid w:val="00D806E9"/>
    <w:rsid w:val="00D80BE8"/>
    <w:rsid w:val="00D80CFD"/>
    <w:rsid w:val="00D80D83"/>
    <w:rsid w:val="00D81089"/>
    <w:rsid w:val="00D8154D"/>
    <w:rsid w:val="00D81605"/>
    <w:rsid w:val="00D8163A"/>
    <w:rsid w:val="00D81992"/>
    <w:rsid w:val="00D81AFA"/>
    <w:rsid w:val="00D81FA5"/>
    <w:rsid w:val="00D82343"/>
    <w:rsid w:val="00D82841"/>
    <w:rsid w:val="00D830CF"/>
    <w:rsid w:val="00D833FE"/>
    <w:rsid w:val="00D83787"/>
    <w:rsid w:val="00D83982"/>
    <w:rsid w:val="00D83DDE"/>
    <w:rsid w:val="00D83F43"/>
    <w:rsid w:val="00D83FC4"/>
    <w:rsid w:val="00D840F3"/>
    <w:rsid w:val="00D843C0"/>
    <w:rsid w:val="00D84921"/>
    <w:rsid w:val="00D84EBE"/>
    <w:rsid w:val="00D85035"/>
    <w:rsid w:val="00D850E2"/>
    <w:rsid w:val="00D8585A"/>
    <w:rsid w:val="00D85ADC"/>
    <w:rsid w:val="00D861D3"/>
    <w:rsid w:val="00D8634F"/>
    <w:rsid w:val="00D867ED"/>
    <w:rsid w:val="00D87041"/>
    <w:rsid w:val="00D8768E"/>
    <w:rsid w:val="00D87A2E"/>
    <w:rsid w:val="00D87C75"/>
    <w:rsid w:val="00D90066"/>
    <w:rsid w:val="00D9041E"/>
    <w:rsid w:val="00D90D1C"/>
    <w:rsid w:val="00D90DC7"/>
    <w:rsid w:val="00D910EF"/>
    <w:rsid w:val="00D914EF"/>
    <w:rsid w:val="00D9188C"/>
    <w:rsid w:val="00D91F86"/>
    <w:rsid w:val="00D9247A"/>
    <w:rsid w:val="00D92A45"/>
    <w:rsid w:val="00D92AD1"/>
    <w:rsid w:val="00D92C6B"/>
    <w:rsid w:val="00D92DD5"/>
    <w:rsid w:val="00D93192"/>
    <w:rsid w:val="00D932D0"/>
    <w:rsid w:val="00D9335E"/>
    <w:rsid w:val="00D936D2"/>
    <w:rsid w:val="00D937C8"/>
    <w:rsid w:val="00D9399A"/>
    <w:rsid w:val="00D93C35"/>
    <w:rsid w:val="00D93C37"/>
    <w:rsid w:val="00D943A3"/>
    <w:rsid w:val="00D94458"/>
    <w:rsid w:val="00D94C46"/>
    <w:rsid w:val="00D94F19"/>
    <w:rsid w:val="00D94F2E"/>
    <w:rsid w:val="00D95014"/>
    <w:rsid w:val="00D95704"/>
    <w:rsid w:val="00D95BFB"/>
    <w:rsid w:val="00D96049"/>
    <w:rsid w:val="00D961B7"/>
    <w:rsid w:val="00D966C3"/>
    <w:rsid w:val="00D967C0"/>
    <w:rsid w:val="00D97492"/>
    <w:rsid w:val="00D97743"/>
    <w:rsid w:val="00DA06E3"/>
    <w:rsid w:val="00DA0ABE"/>
    <w:rsid w:val="00DA154C"/>
    <w:rsid w:val="00DA1A33"/>
    <w:rsid w:val="00DA1C9D"/>
    <w:rsid w:val="00DA1E57"/>
    <w:rsid w:val="00DA24F2"/>
    <w:rsid w:val="00DA2808"/>
    <w:rsid w:val="00DA28FF"/>
    <w:rsid w:val="00DA2DB5"/>
    <w:rsid w:val="00DA2EE7"/>
    <w:rsid w:val="00DA2FA9"/>
    <w:rsid w:val="00DA3767"/>
    <w:rsid w:val="00DA3CF2"/>
    <w:rsid w:val="00DA3D61"/>
    <w:rsid w:val="00DA3E79"/>
    <w:rsid w:val="00DA46DD"/>
    <w:rsid w:val="00DA4907"/>
    <w:rsid w:val="00DA4EF2"/>
    <w:rsid w:val="00DA5112"/>
    <w:rsid w:val="00DA56A4"/>
    <w:rsid w:val="00DA5C07"/>
    <w:rsid w:val="00DA5CA3"/>
    <w:rsid w:val="00DA5D41"/>
    <w:rsid w:val="00DA5FB6"/>
    <w:rsid w:val="00DA62DF"/>
    <w:rsid w:val="00DA6BC1"/>
    <w:rsid w:val="00DA6F91"/>
    <w:rsid w:val="00DA7676"/>
    <w:rsid w:val="00DA785D"/>
    <w:rsid w:val="00DA7CD4"/>
    <w:rsid w:val="00DB0153"/>
    <w:rsid w:val="00DB0901"/>
    <w:rsid w:val="00DB0E9E"/>
    <w:rsid w:val="00DB1354"/>
    <w:rsid w:val="00DB1725"/>
    <w:rsid w:val="00DB1A51"/>
    <w:rsid w:val="00DB1BE0"/>
    <w:rsid w:val="00DB2B97"/>
    <w:rsid w:val="00DB2DCC"/>
    <w:rsid w:val="00DB315A"/>
    <w:rsid w:val="00DB370B"/>
    <w:rsid w:val="00DB41D7"/>
    <w:rsid w:val="00DB44E1"/>
    <w:rsid w:val="00DB47CE"/>
    <w:rsid w:val="00DB486E"/>
    <w:rsid w:val="00DB4ABC"/>
    <w:rsid w:val="00DB4C2E"/>
    <w:rsid w:val="00DB5287"/>
    <w:rsid w:val="00DB552E"/>
    <w:rsid w:val="00DB5577"/>
    <w:rsid w:val="00DB5A1F"/>
    <w:rsid w:val="00DB5B8F"/>
    <w:rsid w:val="00DB5BC9"/>
    <w:rsid w:val="00DB5F33"/>
    <w:rsid w:val="00DB6277"/>
    <w:rsid w:val="00DB6575"/>
    <w:rsid w:val="00DB6951"/>
    <w:rsid w:val="00DB7108"/>
    <w:rsid w:val="00DB74F8"/>
    <w:rsid w:val="00DB754F"/>
    <w:rsid w:val="00DB7635"/>
    <w:rsid w:val="00DB78FE"/>
    <w:rsid w:val="00DB793B"/>
    <w:rsid w:val="00DC0673"/>
    <w:rsid w:val="00DC0A14"/>
    <w:rsid w:val="00DC1111"/>
    <w:rsid w:val="00DC13C7"/>
    <w:rsid w:val="00DC1CBE"/>
    <w:rsid w:val="00DC1E2B"/>
    <w:rsid w:val="00DC24E4"/>
    <w:rsid w:val="00DC2512"/>
    <w:rsid w:val="00DC3B68"/>
    <w:rsid w:val="00DC4479"/>
    <w:rsid w:val="00DC4A58"/>
    <w:rsid w:val="00DC4D5A"/>
    <w:rsid w:val="00DC57F0"/>
    <w:rsid w:val="00DC5B36"/>
    <w:rsid w:val="00DC5BE7"/>
    <w:rsid w:val="00DC5BF0"/>
    <w:rsid w:val="00DC5DBC"/>
    <w:rsid w:val="00DC60C3"/>
    <w:rsid w:val="00DC60C7"/>
    <w:rsid w:val="00DC669C"/>
    <w:rsid w:val="00DC6798"/>
    <w:rsid w:val="00DC68C0"/>
    <w:rsid w:val="00DC6914"/>
    <w:rsid w:val="00DC6984"/>
    <w:rsid w:val="00DC6B2B"/>
    <w:rsid w:val="00DC6E7F"/>
    <w:rsid w:val="00DC73D1"/>
    <w:rsid w:val="00DC78DE"/>
    <w:rsid w:val="00DC7C68"/>
    <w:rsid w:val="00DC7C8B"/>
    <w:rsid w:val="00DC7E23"/>
    <w:rsid w:val="00DC7E7A"/>
    <w:rsid w:val="00DC7F68"/>
    <w:rsid w:val="00DC7F9F"/>
    <w:rsid w:val="00DD0103"/>
    <w:rsid w:val="00DD0195"/>
    <w:rsid w:val="00DD04FB"/>
    <w:rsid w:val="00DD088C"/>
    <w:rsid w:val="00DD098C"/>
    <w:rsid w:val="00DD0D26"/>
    <w:rsid w:val="00DD18B9"/>
    <w:rsid w:val="00DD18D4"/>
    <w:rsid w:val="00DD1978"/>
    <w:rsid w:val="00DD205E"/>
    <w:rsid w:val="00DD23FF"/>
    <w:rsid w:val="00DD27DC"/>
    <w:rsid w:val="00DD2AA1"/>
    <w:rsid w:val="00DD3506"/>
    <w:rsid w:val="00DD36E4"/>
    <w:rsid w:val="00DD3970"/>
    <w:rsid w:val="00DD3A2C"/>
    <w:rsid w:val="00DD3ADC"/>
    <w:rsid w:val="00DD3E69"/>
    <w:rsid w:val="00DD4BBB"/>
    <w:rsid w:val="00DD4DAC"/>
    <w:rsid w:val="00DD5335"/>
    <w:rsid w:val="00DD63DC"/>
    <w:rsid w:val="00DD6955"/>
    <w:rsid w:val="00DD6B71"/>
    <w:rsid w:val="00DD6FBC"/>
    <w:rsid w:val="00DD7057"/>
    <w:rsid w:val="00DD793B"/>
    <w:rsid w:val="00DE00A7"/>
    <w:rsid w:val="00DE0675"/>
    <w:rsid w:val="00DE09F1"/>
    <w:rsid w:val="00DE0B40"/>
    <w:rsid w:val="00DE0BB3"/>
    <w:rsid w:val="00DE0CAB"/>
    <w:rsid w:val="00DE117B"/>
    <w:rsid w:val="00DE1304"/>
    <w:rsid w:val="00DE1B47"/>
    <w:rsid w:val="00DE1F60"/>
    <w:rsid w:val="00DE2012"/>
    <w:rsid w:val="00DE2123"/>
    <w:rsid w:val="00DE2148"/>
    <w:rsid w:val="00DE21C1"/>
    <w:rsid w:val="00DE28AE"/>
    <w:rsid w:val="00DE2B64"/>
    <w:rsid w:val="00DE2B6A"/>
    <w:rsid w:val="00DE2BDB"/>
    <w:rsid w:val="00DE2DBF"/>
    <w:rsid w:val="00DE2F16"/>
    <w:rsid w:val="00DE35DE"/>
    <w:rsid w:val="00DE3B72"/>
    <w:rsid w:val="00DE3C55"/>
    <w:rsid w:val="00DE3D3C"/>
    <w:rsid w:val="00DE3EFD"/>
    <w:rsid w:val="00DE4061"/>
    <w:rsid w:val="00DE40D8"/>
    <w:rsid w:val="00DE43EE"/>
    <w:rsid w:val="00DE444B"/>
    <w:rsid w:val="00DE4592"/>
    <w:rsid w:val="00DE4F94"/>
    <w:rsid w:val="00DE526A"/>
    <w:rsid w:val="00DE52A7"/>
    <w:rsid w:val="00DE5880"/>
    <w:rsid w:val="00DE60DE"/>
    <w:rsid w:val="00DE65BA"/>
    <w:rsid w:val="00DE697C"/>
    <w:rsid w:val="00DE719A"/>
    <w:rsid w:val="00DE76AA"/>
    <w:rsid w:val="00DE7816"/>
    <w:rsid w:val="00DF027B"/>
    <w:rsid w:val="00DF08E6"/>
    <w:rsid w:val="00DF0A76"/>
    <w:rsid w:val="00DF0F0C"/>
    <w:rsid w:val="00DF0FBA"/>
    <w:rsid w:val="00DF16DE"/>
    <w:rsid w:val="00DF1DB9"/>
    <w:rsid w:val="00DF203B"/>
    <w:rsid w:val="00DF223A"/>
    <w:rsid w:val="00DF2315"/>
    <w:rsid w:val="00DF25F6"/>
    <w:rsid w:val="00DF2B35"/>
    <w:rsid w:val="00DF2CB1"/>
    <w:rsid w:val="00DF31E5"/>
    <w:rsid w:val="00DF34A8"/>
    <w:rsid w:val="00DF38AB"/>
    <w:rsid w:val="00DF399F"/>
    <w:rsid w:val="00DF3BE5"/>
    <w:rsid w:val="00DF438C"/>
    <w:rsid w:val="00DF440D"/>
    <w:rsid w:val="00DF476F"/>
    <w:rsid w:val="00DF477A"/>
    <w:rsid w:val="00DF4998"/>
    <w:rsid w:val="00DF4F47"/>
    <w:rsid w:val="00DF512B"/>
    <w:rsid w:val="00DF6078"/>
    <w:rsid w:val="00DF638C"/>
    <w:rsid w:val="00DF657E"/>
    <w:rsid w:val="00DF65CA"/>
    <w:rsid w:val="00DF66CA"/>
    <w:rsid w:val="00DF678B"/>
    <w:rsid w:val="00DF74FA"/>
    <w:rsid w:val="00DF7579"/>
    <w:rsid w:val="00DF7D0C"/>
    <w:rsid w:val="00DF7D20"/>
    <w:rsid w:val="00DF7F9B"/>
    <w:rsid w:val="00E00092"/>
    <w:rsid w:val="00E00925"/>
    <w:rsid w:val="00E0103C"/>
    <w:rsid w:val="00E010E6"/>
    <w:rsid w:val="00E0152D"/>
    <w:rsid w:val="00E01A28"/>
    <w:rsid w:val="00E01DE7"/>
    <w:rsid w:val="00E01E0F"/>
    <w:rsid w:val="00E0206E"/>
    <w:rsid w:val="00E026C5"/>
    <w:rsid w:val="00E027B2"/>
    <w:rsid w:val="00E02E21"/>
    <w:rsid w:val="00E02FAB"/>
    <w:rsid w:val="00E031A7"/>
    <w:rsid w:val="00E03499"/>
    <w:rsid w:val="00E0358A"/>
    <w:rsid w:val="00E0379B"/>
    <w:rsid w:val="00E0408F"/>
    <w:rsid w:val="00E0424F"/>
    <w:rsid w:val="00E042F1"/>
    <w:rsid w:val="00E04A48"/>
    <w:rsid w:val="00E04D85"/>
    <w:rsid w:val="00E055F5"/>
    <w:rsid w:val="00E05C2F"/>
    <w:rsid w:val="00E06332"/>
    <w:rsid w:val="00E06337"/>
    <w:rsid w:val="00E0682F"/>
    <w:rsid w:val="00E06A2E"/>
    <w:rsid w:val="00E077D4"/>
    <w:rsid w:val="00E0790C"/>
    <w:rsid w:val="00E079EE"/>
    <w:rsid w:val="00E07AFB"/>
    <w:rsid w:val="00E07C54"/>
    <w:rsid w:val="00E07F52"/>
    <w:rsid w:val="00E10136"/>
    <w:rsid w:val="00E1107B"/>
    <w:rsid w:val="00E11391"/>
    <w:rsid w:val="00E114EB"/>
    <w:rsid w:val="00E12283"/>
    <w:rsid w:val="00E12C65"/>
    <w:rsid w:val="00E130E7"/>
    <w:rsid w:val="00E13220"/>
    <w:rsid w:val="00E13AA5"/>
    <w:rsid w:val="00E13AE6"/>
    <w:rsid w:val="00E14144"/>
    <w:rsid w:val="00E1482C"/>
    <w:rsid w:val="00E149A6"/>
    <w:rsid w:val="00E14A15"/>
    <w:rsid w:val="00E14CBB"/>
    <w:rsid w:val="00E157DC"/>
    <w:rsid w:val="00E15C21"/>
    <w:rsid w:val="00E16355"/>
    <w:rsid w:val="00E164DC"/>
    <w:rsid w:val="00E16614"/>
    <w:rsid w:val="00E16DC9"/>
    <w:rsid w:val="00E1730E"/>
    <w:rsid w:val="00E17312"/>
    <w:rsid w:val="00E173EA"/>
    <w:rsid w:val="00E202A7"/>
    <w:rsid w:val="00E202F3"/>
    <w:rsid w:val="00E20337"/>
    <w:rsid w:val="00E20575"/>
    <w:rsid w:val="00E2067E"/>
    <w:rsid w:val="00E20A37"/>
    <w:rsid w:val="00E20B74"/>
    <w:rsid w:val="00E20B92"/>
    <w:rsid w:val="00E20C6E"/>
    <w:rsid w:val="00E21331"/>
    <w:rsid w:val="00E213C3"/>
    <w:rsid w:val="00E2143E"/>
    <w:rsid w:val="00E2168A"/>
    <w:rsid w:val="00E21C54"/>
    <w:rsid w:val="00E21C61"/>
    <w:rsid w:val="00E21DC8"/>
    <w:rsid w:val="00E220B5"/>
    <w:rsid w:val="00E2259D"/>
    <w:rsid w:val="00E229A1"/>
    <w:rsid w:val="00E229C6"/>
    <w:rsid w:val="00E22A31"/>
    <w:rsid w:val="00E22A97"/>
    <w:rsid w:val="00E22F06"/>
    <w:rsid w:val="00E235A6"/>
    <w:rsid w:val="00E23707"/>
    <w:rsid w:val="00E23A60"/>
    <w:rsid w:val="00E23BB4"/>
    <w:rsid w:val="00E23E24"/>
    <w:rsid w:val="00E24302"/>
    <w:rsid w:val="00E24323"/>
    <w:rsid w:val="00E24982"/>
    <w:rsid w:val="00E24986"/>
    <w:rsid w:val="00E249D0"/>
    <w:rsid w:val="00E24A3F"/>
    <w:rsid w:val="00E250B4"/>
    <w:rsid w:val="00E250D5"/>
    <w:rsid w:val="00E25373"/>
    <w:rsid w:val="00E25A58"/>
    <w:rsid w:val="00E25A7A"/>
    <w:rsid w:val="00E260E6"/>
    <w:rsid w:val="00E26147"/>
    <w:rsid w:val="00E261BB"/>
    <w:rsid w:val="00E26381"/>
    <w:rsid w:val="00E2640D"/>
    <w:rsid w:val="00E268F8"/>
    <w:rsid w:val="00E269CB"/>
    <w:rsid w:val="00E26C2B"/>
    <w:rsid w:val="00E270E5"/>
    <w:rsid w:val="00E271CB"/>
    <w:rsid w:val="00E27337"/>
    <w:rsid w:val="00E27769"/>
    <w:rsid w:val="00E278B5"/>
    <w:rsid w:val="00E27997"/>
    <w:rsid w:val="00E27D5C"/>
    <w:rsid w:val="00E27DCA"/>
    <w:rsid w:val="00E300E7"/>
    <w:rsid w:val="00E30621"/>
    <w:rsid w:val="00E30731"/>
    <w:rsid w:val="00E30C3A"/>
    <w:rsid w:val="00E30D24"/>
    <w:rsid w:val="00E30E69"/>
    <w:rsid w:val="00E30F87"/>
    <w:rsid w:val="00E31117"/>
    <w:rsid w:val="00E311A1"/>
    <w:rsid w:val="00E3162F"/>
    <w:rsid w:val="00E318A5"/>
    <w:rsid w:val="00E319CC"/>
    <w:rsid w:val="00E31B28"/>
    <w:rsid w:val="00E32018"/>
    <w:rsid w:val="00E32244"/>
    <w:rsid w:val="00E325BA"/>
    <w:rsid w:val="00E326AF"/>
    <w:rsid w:val="00E32BCD"/>
    <w:rsid w:val="00E33002"/>
    <w:rsid w:val="00E330AD"/>
    <w:rsid w:val="00E3334C"/>
    <w:rsid w:val="00E333CB"/>
    <w:rsid w:val="00E346FC"/>
    <w:rsid w:val="00E34767"/>
    <w:rsid w:val="00E34A39"/>
    <w:rsid w:val="00E34ACB"/>
    <w:rsid w:val="00E34C65"/>
    <w:rsid w:val="00E34D20"/>
    <w:rsid w:val="00E34F4D"/>
    <w:rsid w:val="00E3532F"/>
    <w:rsid w:val="00E353E6"/>
    <w:rsid w:val="00E359AA"/>
    <w:rsid w:val="00E36533"/>
    <w:rsid w:val="00E36980"/>
    <w:rsid w:val="00E36C26"/>
    <w:rsid w:val="00E3725A"/>
    <w:rsid w:val="00E373CD"/>
    <w:rsid w:val="00E37699"/>
    <w:rsid w:val="00E37CC0"/>
    <w:rsid w:val="00E401B0"/>
    <w:rsid w:val="00E40249"/>
    <w:rsid w:val="00E40B09"/>
    <w:rsid w:val="00E40BEA"/>
    <w:rsid w:val="00E410CC"/>
    <w:rsid w:val="00E41181"/>
    <w:rsid w:val="00E4168F"/>
    <w:rsid w:val="00E41ECE"/>
    <w:rsid w:val="00E420F8"/>
    <w:rsid w:val="00E42364"/>
    <w:rsid w:val="00E424D8"/>
    <w:rsid w:val="00E42591"/>
    <w:rsid w:val="00E42814"/>
    <w:rsid w:val="00E4288B"/>
    <w:rsid w:val="00E42A40"/>
    <w:rsid w:val="00E42C85"/>
    <w:rsid w:val="00E42DD7"/>
    <w:rsid w:val="00E4306C"/>
    <w:rsid w:val="00E432F6"/>
    <w:rsid w:val="00E434B6"/>
    <w:rsid w:val="00E435E1"/>
    <w:rsid w:val="00E43B17"/>
    <w:rsid w:val="00E43FF5"/>
    <w:rsid w:val="00E442F6"/>
    <w:rsid w:val="00E44F33"/>
    <w:rsid w:val="00E45452"/>
    <w:rsid w:val="00E456CE"/>
    <w:rsid w:val="00E456D4"/>
    <w:rsid w:val="00E45721"/>
    <w:rsid w:val="00E45973"/>
    <w:rsid w:val="00E45CAC"/>
    <w:rsid w:val="00E45CD4"/>
    <w:rsid w:val="00E45DD0"/>
    <w:rsid w:val="00E4611B"/>
    <w:rsid w:val="00E46157"/>
    <w:rsid w:val="00E46B2B"/>
    <w:rsid w:val="00E46FD6"/>
    <w:rsid w:val="00E47606"/>
    <w:rsid w:val="00E47B02"/>
    <w:rsid w:val="00E47D42"/>
    <w:rsid w:val="00E5034A"/>
    <w:rsid w:val="00E5091D"/>
    <w:rsid w:val="00E50BC8"/>
    <w:rsid w:val="00E50C26"/>
    <w:rsid w:val="00E5139B"/>
    <w:rsid w:val="00E51B5B"/>
    <w:rsid w:val="00E51EC7"/>
    <w:rsid w:val="00E51EDD"/>
    <w:rsid w:val="00E52712"/>
    <w:rsid w:val="00E52B54"/>
    <w:rsid w:val="00E52B8C"/>
    <w:rsid w:val="00E53E87"/>
    <w:rsid w:val="00E5451C"/>
    <w:rsid w:val="00E54572"/>
    <w:rsid w:val="00E54D32"/>
    <w:rsid w:val="00E54FC8"/>
    <w:rsid w:val="00E55270"/>
    <w:rsid w:val="00E55406"/>
    <w:rsid w:val="00E55685"/>
    <w:rsid w:val="00E55BB0"/>
    <w:rsid w:val="00E562E0"/>
    <w:rsid w:val="00E56AA6"/>
    <w:rsid w:val="00E56E05"/>
    <w:rsid w:val="00E56F9D"/>
    <w:rsid w:val="00E57610"/>
    <w:rsid w:val="00E5785E"/>
    <w:rsid w:val="00E579F1"/>
    <w:rsid w:val="00E60328"/>
    <w:rsid w:val="00E60353"/>
    <w:rsid w:val="00E603C0"/>
    <w:rsid w:val="00E60644"/>
    <w:rsid w:val="00E60EBD"/>
    <w:rsid w:val="00E60FCE"/>
    <w:rsid w:val="00E61139"/>
    <w:rsid w:val="00E613D7"/>
    <w:rsid w:val="00E613FC"/>
    <w:rsid w:val="00E615B2"/>
    <w:rsid w:val="00E615D5"/>
    <w:rsid w:val="00E61F13"/>
    <w:rsid w:val="00E61F60"/>
    <w:rsid w:val="00E62459"/>
    <w:rsid w:val="00E629B2"/>
    <w:rsid w:val="00E62AB2"/>
    <w:rsid w:val="00E62DDC"/>
    <w:rsid w:val="00E62F0C"/>
    <w:rsid w:val="00E632FB"/>
    <w:rsid w:val="00E63743"/>
    <w:rsid w:val="00E63B3E"/>
    <w:rsid w:val="00E64535"/>
    <w:rsid w:val="00E647C1"/>
    <w:rsid w:val="00E6483B"/>
    <w:rsid w:val="00E64BBC"/>
    <w:rsid w:val="00E64CE8"/>
    <w:rsid w:val="00E64D9B"/>
    <w:rsid w:val="00E652B9"/>
    <w:rsid w:val="00E6641F"/>
    <w:rsid w:val="00E6642C"/>
    <w:rsid w:val="00E6662A"/>
    <w:rsid w:val="00E66767"/>
    <w:rsid w:val="00E669DF"/>
    <w:rsid w:val="00E6721F"/>
    <w:rsid w:val="00E67632"/>
    <w:rsid w:val="00E676C8"/>
    <w:rsid w:val="00E6774B"/>
    <w:rsid w:val="00E6775C"/>
    <w:rsid w:val="00E6783C"/>
    <w:rsid w:val="00E67BB3"/>
    <w:rsid w:val="00E70508"/>
    <w:rsid w:val="00E70901"/>
    <w:rsid w:val="00E70C35"/>
    <w:rsid w:val="00E70C9B"/>
    <w:rsid w:val="00E7115F"/>
    <w:rsid w:val="00E711CD"/>
    <w:rsid w:val="00E7154D"/>
    <w:rsid w:val="00E716D1"/>
    <w:rsid w:val="00E7195B"/>
    <w:rsid w:val="00E722C2"/>
    <w:rsid w:val="00E72A6B"/>
    <w:rsid w:val="00E735B9"/>
    <w:rsid w:val="00E73891"/>
    <w:rsid w:val="00E7398A"/>
    <w:rsid w:val="00E74C5C"/>
    <w:rsid w:val="00E74D13"/>
    <w:rsid w:val="00E75269"/>
    <w:rsid w:val="00E755E0"/>
    <w:rsid w:val="00E75713"/>
    <w:rsid w:val="00E7639F"/>
    <w:rsid w:val="00E7663E"/>
    <w:rsid w:val="00E772A4"/>
    <w:rsid w:val="00E77C87"/>
    <w:rsid w:val="00E80599"/>
    <w:rsid w:val="00E8064F"/>
    <w:rsid w:val="00E80A57"/>
    <w:rsid w:val="00E80A80"/>
    <w:rsid w:val="00E81223"/>
    <w:rsid w:val="00E81328"/>
    <w:rsid w:val="00E819F0"/>
    <w:rsid w:val="00E81F94"/>
    <w:rsid w:val="00E82094"/>
    <w:rsid w:val="00E82E0D"/>
    <w:rsid w:val="00E83402"/>
    <w:rsid w:val="00E836CC"/>
    <w:rsid w:val="00E83814"/>
    <w:rsid w:val="00E84423"/>
    <w:rsid w:val="00E845A7"/>
    <w:rsid w:val="00E8473D"/>
    <w:rsid w:val="00E84BB6"/>
    <w:rsid w:val="00E84CD0"/>
    <w:rsid w:val="00E85745"/>
    <w:rsid w:val="00E85783"/>
    <w:rsid w:val="00E85B7E"/>
    <w:rsid w:val="00E86914"/>
    <w:rsid w:val="00E8699D"/>
    <w:rsid w:val="00E86E51"/>
    <w:rsid w:val="00E873F7"/>
    <w:rsid w:val="00E876BB"/>
    <w:rsid w:val="00E87855"/>
    <w:rsid w:val="00E878C7"/>
    <w:rsid w:val="00E9007E"/>
    <w:rsid w:val="00E90226"/>
    <w:rsid w:val="00E9065E"/>
    <w:rsid w:val="00E90A11"/>
    <w:rsid w:val="00E90A6D"/>
    <w:rsid w:val="00E90C26"/>
    <w:rsid w:val="00E91035"/>
    <w:rsid w:val="00E911A7"/>
    <w:rsid w:val="00E92231"/>
    <w:rsid w:val="00E923BD"/>
    <w:rsid w:val="00E923C6"/>
    <w:rsid w:val="00E92482"/>
    <w:rsid w:val="00E9249E"/>
    <w:rsid w:val="00E92875"/>
    <w:rsid w:val="00E934B4"/>
    <w:rsid w:val="00E93829"/>
    <w:rsid w:val="00E93AF0"/>
    <w:rsid w:val="00E93B57"/>
    <w:rsid w:val="00E93C12"/>
    <w:rsid w:val="00E93E3F"/>
    <w:rsid w:val="00E940C5"/>
    <w:rsid w:val="00E94A88"/>
    <w:rsid w:val="00E94E96"/>
    <w:rsid w:val="00E94F1C"/>
    <w:rsid w:val="00E94FC5"/>
    <w:rsid w:val="00E95155"/>
    <w:rsid w:val="00E95452"/>
    <w:rsid w:val="00E95457"/>
    <w:rsid w:val="00E954A7"/>
    <w:rsid w:val="00E96205"/>
    <w:rsid w:val="00E962D5"/>
    <w:rsid w:val="00E9642C"/>
    <w:rsid w:val="00E96676"/>
    <w:rsid w:val="00E969FF"/>
    <w:rsid w:val="00E971A8"/>
    <w:rsid w:val="00E97273"/>
    <w:rsid w:val="00E97284"/>
    <w:rsid w:val="00E97817"/>
    <w:rsid w:val="00E97E9E"/>
    <w:rsid w:val="00EA0176"/>
    <w:rsid w:val="00EA0B0D"/>
    <w:rsid w:val="00EA0E04"/>
    <w:rsid w:val="00EA1ACE"/>
    <w:rsid w:val="00EA2053"/>
    <w:rsid w:val="00EA2389"/>
    <w:rsid w:val="00EA3021"/>
    <w:rsid w:val="00EA32C9"/>
    <w:rsid w:val="00EA3A42"/>
    <w:rsid w:val="00EA3B89"/>
    <w:rsid w:val="00EA3E61"/>
    <w:rsid w:val="00EA4605"/>
    <w:rsid w:val="00EA4619"/>
    <w:rsid w:val="00EA4A1C"/>
    <w:rsid w:val="00EA5BC0"/>
    <w:rsid w:val="00EA5C9D"/>
    <w:rsid w:val="00EA5F09"/>
    <w:rsid w:val="00EA6568"/>
    <w:rsid w:val="00EA67E7"/>
    <w:rsid w:val="00EA7452"/>
    <w:rsid w:val="00EA7705"/>
    <w:rsid w:val="00EA7757"/>
    <w:rsid w:val="00EA7960"/>
    <w:rsid w:val="00EB058D"/>
    <w:rsid w:val="00EB0F66"/>
    <w:rsid w:val="00EB148E"/>
    <w:rsid w:val="00EB1620"/>
    <w:rsid w:val="00EB211F"/>
    <w:rsid w:val="00EB2770"/>
    <w:rsid w:val="00EB2C64"/>
    <w:rsid w:val="00EB31FF"/>
    <w:rsid w:val="00EB330E"/>
    <w:rsid w:val="00EB33A9"/>
    <w:rsid w:val="00EB344E"/>
    <w:rsid w:val="00EB34E2"/>
    <w:rsid w:val="00EB36B7"/>
    <w:rsid w:val="00EB3C28"/>
    <w:rsid w:val="00EB3DF8"/>
    <w:rsid w:val="00EB4283"/>
    <w:rsid w:val="00EB4780"/>
    <w:rsid w:val="00EB4D3B"/>
    <w:rsid w:val="00EB52A6"/>
    <w:rsid w:val="00EB601B"/>
    <w:rsid w:val="00EB626B"/>
    <w:rsid w:val="00EB672D"/>
    <w:rsid w:val="00EB6A1B"/>
    <w:rsid w:val="00EB6FDC"/>
    <w:rsid w:val="00EB6FFB"/>
    <w:rsid w:val="00EB75E7"/>
    <w:rsid w:val="00EB7A15"/>
    <w:rsid w:val="00EB7B42"/>
    <w:rsid w:val="00EB7D12"/>
    <w:rsid w:val="00EB7DD7"/>
    <w:rsid w:val="00EC0499"/>
    <w:rsid w:val="00EC04AA"/>
    <w:rsid w:val="00EC0606"/>
    <w:rsid w:val="00EC0D5E"/>
    <w:rsid w:val="00EC0D9D"/>
    <w:rsid w:val="00EC0DC4"/>
    <w:rsid w:val="00EC0EF6"/>
    <w:rsid w:val="00EC1228"/>
    <w:rsid w:val="00EC1526"/>
    <w:rsid w:val="00EC1639"/>
    <w:rsid w:val="00EC238B"/>
    <w:rsid w:val="00EC28F3"/>
    <w:rsid w:val="00EC2996"/>
    <w:rsid w:val="00EC2ACA"/>
    <w:rsid w:val="00EC2D52"/>
    <w:rsid w:val="00EC3A9E"/>
    <w:rsid w:val="00EC3EE5"/>
    <w:rsid w:val="00EC3F39"/>
    <w:rsid w:val="00EC4352"/>
    <w:rsid w:val="00EC4806"/>
    <w:rsid w:val="00EC4B05"/>
    <w:rsid w:val="00EC59BA"/>
    <w:rsid w:val="00EC5A32"/>
    <w:rsid w:val="00EC5E71"/>
    <w:rsid w:val="00EC5EE1"/>
    <w:rsid w:val="00EC64CD"/>
    <w:rsid w:val="00EC666C"/>
    <w:rsid w:val="00EC670B"/>
    <w:rsid w:val="00EC7079"/>
    <w:rsid w:val="00EC72C0"/>
    <w:rsid w:val="00EC74D6"/>
    <w:rsid w:val="00EC76AB"/>
    <w:rsid w:val="00EC7B00"/>
    <w:rsid w:val="00EC7D12"/>
    <w:rsid w:val="00EC7FB5"/>
    <w:rsid w:val="00ED03DF"/>
    <w:rsid w:val="00ED04F4"/>
    <w:rsid w:val="00ED05D1"/>
    <w:rsid w:val="00ED0B81"/>
    <w:rsid w:val="00ED148A"/>
    <w:rsid w:val="00ED1664"/>
    <w:rsid w:val="00ED17E1"/>
    <w:rsid w:val="00ED185A"/>
    <w:rsid w:val="00ED18AF"/>
    <w:rsid w:val="00ED18FD"/>
    <w:rsid w:val="00ED19A6"/>
    <w:rsid w:val="00ED19E7"/>
    <w:rsid w:val="00ED1D68"/>
    <w:rsid w:val="00ED2030"/>
    <w:rsid w:val="00ED21ED"/>
    <w:rsid w:val="00ED2282"/>
    <w:rsid w:val="00ED2692"/>
    <w:rsid w:val="00ED26C0"/>
    <w:rsid w:val="00ED2924"/>
    <w:rsid w:val="00ED2AD2"/>
    <w:rsid w:val="00ED2B37"/>
    <w:rsid w:val="00ED386C"/>
    <w:rsid w:val="00ED386E"/>
    <w:rsid w:val="00ED3CD9"/>
    <w:rsid w:val="00ED3E44"/>
    <w:rsid w:val="00ED466A"/>
    <w:rsid w:val="00ED4F70"/>
    <w:rsid w:val="00ED53FE"/>
    <w:rsid w:val="00ED59C3"/>
    <w:rsid w:val="00ED5C07"/>
    <w:rsid w:val="00ED5FAD"/>
    <w:rsid w:val="00ED672C"/>
    <w:rsid w:val="00ED67C0"/>
    <w:rsid w:val="00ED775C"/>
    <w:rsid w:val="00EE0010"/>
    <w:rsid w:val="00EE00F2"/>
    <w:rsid w:val="00EE0481"/>
    <w:rsid w:val="00EE0611"/>
    <w:rsid w:val="00EE09BF"/>
    <w:rsid w:val="00EE0FCC"/>
    <w:rsid w:val="00EE1138"/>
    <w:rsid w:val="00EE12A5"/>
    <w:rsid w:val="00EE1307"/>
    <w:rsid w:val="00EE1383"/>
    <w:rsid w:val="00EE1478"/>
    <w:rsid w:val="00EE1AA2"/>
    <w:rsid w:val="00EE1BBB"/>
    <w:rsid w:val="00EE1D8D"/>
    <w:rsid w:val="00EE20F3"/>
    <w:rsid w:val="00EE2B20"/>
    <w:rsid w:val="00EE2FAE"/>
    <w:rsid w:val="00EE33C9"/>
    <w:rsid w:val="00EE3882"/>
    <w:rsid w:val="00EE3C12"/>
    <w:rsid w:val="00EE3C76"/>
    <w:rsid w:val="00EE3D00"/>
    <w:rsid w:val="00EE3E34"/>
    <w:rsid w:val="00EE4206"/>
    <w:rsid w:val="00EE44AA"/>
    <w:rsid w:val="00EE468B"/>
    <w:rsid w:val="00EE4879"/>
    <w:rsid w:val="00EE49F0"/>
    <w:rsid w:val="00EE51D3"/>
    <w:rsid w:val="00EE5236"/>
    <w:rsid w:val="00EE5638"/>
    <w:rsid w:val="00EE5BC0"/>
    <w:rsid w:val="00EE5E5C"/>
    <w:rsid w:val="00EE6015"/>
    <w:rsid w:val="00EE6468"/>
    <w:rsid w:val="00EE6954"/>
    <w:rsid w:val="00EE6B71"/>
    <w:rsid w:val="00EE700A"/>
    <w:rsid w:val="00EE7307"/>
    <w:rsid w:val="00EE74B5"/>
    <w:rsid w:val="00EE74D1"/>
    <w:rsid w:val="00EE75AF"/>
    <w:rsid w:val="00EE7664"/>
    <w:rsid w:val="00EE7C4D"/>
    <w:rsid w:val="00EE7DF5"/>
    <w:rsid w:val="00EE7E1F"/>
    <w:rsid w:val="00EE7E74"/>
    <w:rsid w:val="00EF0547"/>
    <w:rsid w:val="00EF0740"/>
    <w:rsid w:val="00EF0C83"/>
    <w:rsid w:val="00EF0D6E"/>
    <w:rsid w:val="00EF0EE7"/>
    <w:rsid w:val="00EF117E"/>
    <w:rsid w:val="00EF1422"/>
    <w:rsid w:val="00EF1718"/>
    <w:rsid w:val="00EF1748"/>
    <w:rsid w:val="00EF17E3"/>
    <w:rsid w:val="00EF1B09"/>
    <w:rsid w:val="00EF1B27"/>
    <w:rsid w:val="00EF1FA2"/>
    <w:rsid w:val="00EF238C"/>
    <w:rsid w:val="00EF2B40"/>
    <w:rsid w:val="00EF2CE0"/>
    <w:rsid w:val="00EF2F5C"/>
    <w:rsid w:val="00EF39D2"/>
    <w:rsid w:val="00EF4352"/>
    <w:rsid w:val="00EF45A4"/>
    <w:rsid w:val="00EF46C3"/>
    <w:rsid w:val="00EF46E6"/>
    <w:rsid w:val="00EF4A8F"/>
    <w:rsid w:val="00EF4FBF"/>
    <w:rsid w:val="00EF51F8"/>
    <w:rsid w:val="00EF591E"/>
    <w:rsid w:val="00EF5E5B"/>
    <w:rsid w:val="00EF61AF"/>
    <w:rsid w:val="00EF637F"/>
    <w:rsid w:val="00EF63DA"/>
    <w:rsid w:val="00EF6AD5"/>
    <w:rsid w:val="00EF6E3A"/>
    <w:rsid w:val="00EF70F7"/>
    <w:rsid w:val="00EF7401"/>
    <w:rsid w:val="00EF78AA"/>
    <w:rsid w:val="00EF7C03"/>
    <w:rsid w:val="00F001B8"/>
    <w:rsid w:val="00F0051E"/>
    <w:rsid w:val="00F00D63"/>
    <w:rsid w:val="00F00DE2"/>
    <w:rsid w:val="00F010FB"/>
    <w:rsid w:val="00F01DCE"/>
    <w:rsid w:val="00F03664"/>
    <w:rsid w:val="00F040C8"/>
    <w:rsid w:val="00F04130"/>
    <w:rsid w:val="00F047D6"/>
    <w:rsid w:val="00F04951"/>
    <w:rsid w:val="00F0560E"/>
    <w:rsid w:val="00F05A3F"/>
    <w:rsid w:val="00F05D9A"/>
    <w:rsid w:val="00F063A1"/>
    <w:rsid w:val="00F067C2"/>
    <w:rsid w:val="00F06924"/>
    <w:rsid w:val="00F06C5F"/>
    <w:rsid w:val="00F06E9F"/>
    <w:rsid w:val="00F070CD"/>
    <w:rsid w:val="00F071B3"/>
    <w:rsid w:val="00F07712"/>
    <w:rsid w:val="00F0774C"/>
    <w:rsid w:val="00F07F65"/>
    <w:rsid w:val="00F07FE9"/>
    <w:rsid w:val="00F1088F"/>
    <w:rsid w:val="00F110C6"/>
    <w:rsid w:val="00F110E8"/>
    <w:rsid w:val="00F112A4"/>
    <w:rsid w:val="00F117D2"/>
    <w:rsid w:val="00F1198E"/>
    <w:rsid w:val="00F11BBA"/>
    <w:rsid w:val="00F11C73"/>
    <w:rsid w:val="00F11CE1"/>
    <w:rsid w:val="00F12543"/>
    <w:rsid w:val="00F1270B"/>
    <w:rsid w:val="00F1282C"/>
    <w:rsid w:val="00F12AD2"/>
    <w:rsid w:val="00F12BAD"/>
    <w:rsid w:val="00F131FC"/>
    <w:rsid w:val="00F13460"/>
    <w:rsid w:val="00F140E4"/>
    <w:rsid w:val="00F142BF"/>
    <w:rsid w:val="00F142FC"/>
    <w:rsid w:val="00F14344"/>
    <w:rsid w:val="00F144C7"/>
    <w:rsid w:val="00F14C59"/>
    <w:rsid w:val="00F15035"/>
    <w:rsid w:val="00F15169"/>
    <w:rsid w:val="00F1591E"/>
    <w:rsid w:val="00F15C89"/>
    <w:rsid w:val="00F15E4B"/>
    <w:rsid w:val="00F15FB8"/>
    <w:rsid w:val="00F161B3"/>
    <w:rsid w:val="00F16553"/>
    <w:rsid w:val="00F168A5"/>
    <w:rsid w:val="00F169BE"/>
    <w:rsid w:val="00F16A64"/>
    <w:rsid w:val="00F17B7C"/>
    <w:rsid w:val="00F2018A"/>
    <w:rsid w:val="00F20751"/>
    <w:rsid w:val="00F20958"/>
    <w:rsid w:val="00F20ADA"/>
    <w:rsid w:val="00F20CB6"/>
    <w:rsid w:val="00F2134B"/>
    <w:rsid w:val="00F22189"/>
    <w:rsid w:val="00F22371"/>
    <w:rsid w:val="00F22788"/>
    <w:rsid w:val="00F22E13"/>
    <w:rsid w:val="00F22FA5"/>
    <w:rsid w:val="00F232AF"/>
    <w:rsid w:val="00F23402"/>
    <w:rsid w:val="00F23580"/>
    <w:rsid w:val="00F23AE9"/>
    <w:rsid w:val="00F23C7A"/>
    <w:rsid w:val="00F2428D"/>
    <w:rsid w:val="00F2457C"/>
    <w:rsid w:val="00F24955"/>
    <w:rsid w:val="00F24C93"/>
    <w:rsid w:val="00F253FD"/>
    <w:rsid w:val="00F25C35"/>
    <w:rsid w:val="00F260AD"/>
    <w:rsid w:val="00F2695C"/>
    <w:rsid w:val="00F272E1"/>
    <w:rsid w:val="00F27608"/>
    <w:rsid w:val="00F2765D"/>
    <w:rsid w:val="00F276E4"/>
    <w:rsid w:val="00F27968"/>
    <w:rsid w:val="00F27E75"/>
    <w:rsid w:val="00F30595"/>
    <w:rsid w:val="00F308B8"/>
    <w:rsid w:val="00F310F9"/>
    <w:rsid w:val="00F31B64"/>
    <w:rsid w:val="00F31DB5"/>
    <w:rsid w:val="00F322C4"/>
    <w:rsid w:val="00F32828"/>
    <w:rsid w:val="00F32B45"/>
    <w:rsid w:val="00F32F18"/>
    <w:rsid w:val="00F32FD8"/>
    <w:rsid w:val="00F3308C"/>
    <w:rsid w:val="00F33110"/>
    <w:rsid w:val="00F33AEB"/>
    <w:rsid w:val="00F33D31"/>
    <w:rsid w:val="00F34263"/>
    <w:rsid w:val="00F349AD"/>
    <w:rsid w:val="00F34CBB"/>
    <w:rsid w:val="00F34E47"/>
    <w:rsid w:val="00F34F51"/>
    <w:rsid w:val="00F350A9"/>
    <w:rsid w:val="00F359E6"/>
    <w:rsid w:val="00F3609E"/>
    <w:rsid w:val="00F363F8"/>
    <w:rsid w:val="00F368D0"/>
    <w:rsid w:val="00F36BF9"/>
    <w:rsid w:val="00F36FCB"/>
    <w:rsid w:val="00F37505"/>
    <w:rsid w:val="00F37604"/>
    <w:rsid w:val="00F3792F"/>
    <w:rsid w:val="00F37AE0"/>
    <w:rsid w:val="00F37C07"/>
    <w:rsid w:val="00F37D59"/>
    <w:rsid w:val="00F37E00"/>
    <w:rsid w:val="00F4001A"/>
    <w:rsid w:val="00F40056"/>
    <w:rsid w:val="00F4053A"/>
    <w:rsid w:val="00F40810"/>
    <w:rsid w:val="00F40A2B"/>
    <w:rsid w:val="00F40C2E"/>
    <w:rsid w:val="00F40DE5"/>
    <w:rsid w:val="00F4154E"/>
    <w:rsid w:val="00F42192"/>
    <w:rsid w:val="00F42938"/>
    <w:rsid w:val="00F431CB"/>
    <w:rsid w:val="00F4331A"/>
    <w:rsid w:val="00F43675"/>
    <w:rsid w:val="00F43D56"/>
    <w:rsid w:val="00F45239"/>
    <w:rsid w:val="00F4583D"/>
    <w:rsid w:val="00F458B1"/>
    <w:rsid w:val="00F45D54"/>
    <w:rsid w:val="00F45F4E"/>
    <w:rsid w:val="00F46356"/>
    <w:rsid w:val="00F463C9"/>
    <w:rsid w:val="00F46413"/>
    <w:rsid w:val="00F46506"/>
    <w:rsid w:val="00F46673"/>
    <w:rsid w:val="00F466A4"/>
    <w:rsid w:val="00F46BA6"/>
    <w:rsid w:val="00F46F8B"/>
    <w:rsid w:val="00F478D5"/>
    <w:rsid w:val="00F5008D"/>
    <w:rsid w:val="00F51206"/>
    <w:rsid w:val="00F51BB9"/>
    <w:rsid w:val="00F52066"/>
    <w:rsid w:val="00F52172"/>
    <w:rsid w:val="00F5218E"/>
    <w:rsid w:val="00F525CA"/>
    <w:rsid w:val="00F52E8B"/>
    <w:rsid w:val="00F53071"/>
    <w:rsid w:val="00F53570"/>
    <w:rsid w:val="00F53714"/>
    <w:rsid w:val="00F53F5C"/>
    <w:rsid w:val="00F53FD7"/>
    <w:rsid w:val="00F543FA"/>
    <w:rsid w:val="00F54999"/>
    <w:rsid w:val="00F549CD"/>
    <w:rsid w:val="00F54C66"/>
    <w:rsid w:val="00F54D91"/>
    <w:rsid w:val="00F54E33"/>
    <w:rsid w:val="00F54E50"/>
    <w:rsid w:val="00F55145"/>
    <w:rsid w:val="00F5516F"/>
    <w:rsid w:val="00F55174"/>
    <w:rsid w:val="00F554CE"/>
    <w:rsid w:val="00F554F7"/>
    <w:rsid w:val="00F55D71"/>
    <w:rsid w:val="00F55DDC"/>
    <w:rsid w:val="00F55E33"/>
    <w:rsid w:val="00F564E2"/>
    <w:rsid w:val="00F57081"/>
    <w:rsid w:val="00F57683"/>
    <w:rsid w:val="00F576DF"/>
    <w:rsid w:val="00F57A60"/>
    <w:rsid w:val="00F57EEF"/>
    <w:rsid w:val="00F6006D"/>
    <w:rsid w:val="00F608B4"/>
    <w:rsid w:val="00F60994"/>
    <w:rsid w:val="00F60E69"/>
    <w:rsid w:val="00F61385"/>
    <w:rsid w:val="00F61BD5"/>
    <w:rsid w:val="00F61E0A"/>
    <w:rsid w:val="00F61F88"/>
    <w:rsid w:val="00F62035"/>
    <w:rsid w:val="00F624A3"/>
    <w:rsid w:val="00F6286F"/>
    <w:rsid w:val="00F6335A"/>
    <w:rsid w:val="00F6361C"/>
    <w:rsid w:val="00F63835"/>
    <w:rsid w:val="00F638FA"/>
    <w:rsid w:val="00F63A0E"/>
    <w:rsid w:val="00F63C15"/>
    <w:rsid w:val="00F63DFB"/>
    <w:rsid w:val="00F6423D"/>
    <w:rsid w:val="00F64847"/>
    <w:rsid w:val="00F64931"/>
    <w:rsid w:val="00F6494A"/>
    <w:rsid w:val="00F64A43"/>
    <w:rsid w:val="00F6582A"/>
    <w:rsid w:val="00F65A74"/>
    <w:rsid w:val="00F65B86"/>
    <w:rsid w:val="00F65C1D"/>
    <w:rsid w:val="00F65F36"/>
    <w:rsid w:val="00F66373"/>
    <w:rsid w:val="00F66408"/>
    <w:rsid w:val="00F66673"/>
    <w:rsid w:val="00F67103"/>
    <w:rsid w:val="00F673F4"/>
    <w:rsid w:val="00F70094"/>
    <w:rsid w:val="00F702CB"/>
    <w:rsid w:val="00F703E1"/>
    <w:rsid w:val="00F70505"/>
    <w:rsid w:val="00F705F1"/>
    <w:rsid w:val="00F70832"/>
    <w:rsid w:val="00F70AA9"/>
    <w:rsid w:val="00F70D7E"/>
    <w:rsid w:val="00F710D1"/>
    <w:rsid w:val="00F71641"/>
    <w:rsid w:val="00F71911"/>
    <w:rsid w:val="00F7338C"/>
    <w:rsid w:val="00F742D9"/>
    <w:rsid w:val="00F74335"/>
    <w:rsid w:val="00F746B4"/>
    <w:rsid w:val="00F74A3C"/>
    <w:rsid w:val="00F74CD7"/>
    <w:rsid w:val="00F74E44"/>
    <w:rsid w:val="00F75108"/>
    <w:rsid w:val="00F75B24"/>
    <w:rsid w:val="00F75C51"/>
    <w:rsid w:val="00F75E6B"/>
    <w:rsid w:val="00F760CC"/>
    <w:rsid w:val="00F76176"/>
    <w:rsid w:val="00F764EC"/>
    <w:rsid w:val="00F76791"/>
    <w:rsid w:val="00F76C50"/>
    <w:rsid w:val="00F7707A"/>
    <w:rsid w:val="00F77E1D"/>
    <w:rsid w:val="00F77FB7"/>
    <w:rsid w:val="00F804E2"/>
    <w:rsid w:val="00F810A6"/>
    <w:rsid w:val="00F810D6"/>
    <w:rsid w:val="00F810DE"/>
    <w:rsid w:val="00F817AB"/>
    <w:rsid w:val="00F82111"/>
    <w:rsid w:val="00F8237B"/>
    <w:rsid w:val="00F82B01"/>
    <w:rsid w:val="00F82B77"/>
    <w:rsid w:val="00F831F7"/>
    <w:rsid w:val="00F835CA"/>
    <w:rsid w:val="00F837DF"/>
    <w:rsid w:val="00F8401C"/>
    <w:rsid w:val="00F84043"/>
    <w:rsid w:val="00F8406E"/>
    <w:rsid w:val="00F84172"/>
    <w:rsid w:val="00F842AD"/>
    <w:rsid w:val="00F845A4"/>
    <w:rsid w:val="00F84742"/>
    <w:rsid w:val="00F84A11"/>
    <w:rsid w:val="00F84F51"/>
    <w:rsid w:val="00F84FBD"/>
    <w:rsid w:val="00F852E5"/>
    <w:rsid w:val="00F854E5"/>
    <w:rsid w:val="00F85C40"/>
    <w:rsid w:val="00F85E6D"/>
    <w:rsid w:val="00F85FD8"/>
    <w:rsid w:val="00F866D5"/>
    <w:rsid w:val="00F86D80"/>
    <w:rsid w:val="00F86DAC"/>
    <w:rsid w:val="00F87493"/>
    <w:rsid w:val="00F87B7F"/>
    <w:rsid w:val="00F87BBE"/>
    <w:rsid w:val="00F87DC3"/>
    <w:rsid w:val="00F87E36"/>
    <w:rsid w:val="00F905D3"/>
    <w:rsid w:val="00F90684"/>
    <w:rsid w:val="00F906D5"/>
    <w:rsid w:val="00F90810"/>
    <w:rsid w:val="00F90F82"/>
    <w:rsid w:val="00F91788"/>
    <w:rsid w:val="00F91BDB"/>
    <w:rsid w:val="00F91CC9"/>
    <w:rsid w:val="00F92012"/>
    <w:rsid w:val="00F921F9"/>
    <w:rsid w:val="00F92235"/>
    <w:rsid w:val="00F92449"/>
    <w:rsid w:val="00F9276F"/>
    <w:rsid w:val="00F92DCE"/>
    <w:rsid w:val="00F92EF9"/>
    <w:rsid w:val="00F9365D"/>
    <w:rsid w:val="00F93739"/>
    <w:rsid w:val="00F9379B"/>
    <w:rsid w:val="00F93C51"/>
    <w:rsid w:val="00F94B0B"/>
    <w:rsid w:val="00F94BAD"/>
    <w:rsid w:val="00F95364"/>
    <w:rsid w:val="00F953E1"/>
    <w:rsid w:val="00F954B5"/>
    <w:rsid w:val="00F9583D"/>
    <w:rsid w:val="00F95A22"/>
    <w:rsid w:val="00F95ECF"/>
    <w:rsid w:val="00F9639B"/>
    <w:rsid w:val="00F969E4"/>
    <w:rsid w:val="00F96AF6"/>
    <w:rsid w:val="00F9765B"/>
    <w:rsid w:val="00F979F9"/>
    <w:rsid w:val="00FA06AF"/>
    <w:rsid w:val="00FA095D"/>
    <w:rsid w:val="00FA0FC8"/>
    <w:rsid w:val="00FA13D9"/>
    <w:rsid w:val="00FA164C"/>
    <w:rsid w:val="00FA29CB"/>
    <w:rsid w:val="00FA36F1"/>
    <w:rsid w:val="00FA38D4"/>
    <w:rsid w:val="00FA3C77"/>
    <w:rsid w:val="00FA424E"/>
    <w:rsid w:val="00FA43DB"/>
    <w:rsid w:val="00FA456F"/>
    <w:rsid w:val="00FA4617"/>
    <w:rsid w:val="00FA52AB"/>
    <w:rsid w:val="00FA52BF"/>
    <w:rsid w:val="00FA54C4"/>
    <w:rsid w:val="00FA54D0"/>
    <w:rsid w:val="00FA5743"/>
    <w:rsid w:val="00FA58CD"/>
    <w:rsid w:val="00FA5A1D"/>
    <w:rsid w:val="00FA5C2D"/>
    <w:rsid w:val="00FA65AB"/>
    <w:rsid w:val="00FA65BB"/>
    <w:rsid w:val="00FA66A0"/>
    <w:rsid w:val="00FA6848"/>
    <w:rsid w:val="00FA6D4B"/>
    <w:rsid w:val="00FA6EBF"/>
    <w:rsid w:val="00FA7325"/>
    <w:rsid w:val="00FA7F7C"/>
    <w:rsid w:val="00FB0048"/>
    <w:rsid w:val="00FB015E"/>
    <w:rsid w:val="00FB04BE"/>
    <w:rsid w:val="00FB054C"/>
    <w:rsid w:val="00FB0627"/>
    <w:rsid w:val="00FB07B4"/>
    <w:rsid w:val="00FB0D4B"/>
    <w:rsid w:val="00FB1171"/>
    <w:rsid w:val="00FB1D6C"/>
    <w:rsid w:val="00FB247F"/>
    <w:rsid w:val="00FB24A0"/>
    <w:rsid w:val="00FB27C7"/>
    <w:rsid w:val="00FB2C13"/>
    <w:rsid w:val="00FB39D7"/>
    <w:rsid w:val="00FB3AB8"/>
    <w:rsid w:val="00FB4268"/>
    <w:rsid w:val="00FB4D87"/>
    <w:rsid w:val="00FB4DA4"/>
    <w:rsid w:val="00FB587A"/>
    <w:rsid w:val="00FB58D2"/>
    <w:rsid w:val="00FB5B25"/>
    <w:rsid w:val="00FB5BB9"/>
    <w:rsid w:val="00FB5E2E"/>
    <w:rsid w:val="00FB6862"/>
    <w:rsid w:val="00FB69EE"/>
    <w:rsid w:val="00FB6D73"/>
    <w:rsid w:val="00FB6DFB"/>
    <w:rsid w:val="00FB730D"/>
    <w:rsid w:val="00FB78DB"/>
    <w:rsid w:val="00FB7CF5"/>
    <w:rsid w:val="00FB7D04"/>
    <w:rsid w:val="00FB7F50"/>
    <w:rsid w:val="00FC0165"/>
    <w:rsid w:val="00FC04C3"/>
    <w:rsid w:val="00FC079F"/>
    <w:rsid w:val="00FC19CD"/>
    <w:rsid w:val="00FC202D"/>
    <w:rsid w:val="00FC205F"/>
    <w:rsid w:val="00FC21CD"/>
    <w:rsid w:val="00FC2850"/>
    <w:rsid w:val="00FC29A6"/>
    <w:rsid w:val="00FC2A91"/>
    <w:rsid w:val="00FC2F83"/>
    <w:rsid w:val="00FC2F96"/>
    <w:rsid w:val="00FC33F0"/>
    <w:rsid w:val="00FC36AE"/>
    <w:rsid w:val="00FC4E23"/>
    <w:rsid w:val="00FC568F"/>
    <w:rsid w:val="00FC5979"/>
    <w:rsid w:val="00FC59F5"/>
    <w:rsid w:val="00FC669D"/>
    <w:rsid w:val="00FC7461"/>
    <w:rsid w:val="00FC747B"/>
    <w:rsid w:val="00FC78BB"/>
    <w:rsid w:val="00FD018A"/>
    <w:rsid w:val="00FD01D3"/>
    <w:rsid w:val="00FD0CCD"/>
    <w:rsid w:val="00FD107B"/>
    <w:rsid w:val="00FD1363"/>
    <w:rsid w:val="00FD1424"/>
    <w:rsid w:val="00FD18DA"/>
    <w:rsid w:val="00FD23A9"/>
    <w:rsid w:val="00FD2423"/>
    <w:rsid w:val="00FD2E10"/>
    <w:rsid w:val="00FD2FBB"/>
    <w:rsid w:val="00FD3187"/>
    <w:rsid w:val="00FD3758"/>
    <w:rsid w:val="00FD386E"/>
    <w:rsid w:val="00FD39E5"/>
    <w:rsid w:val="00FD3BCC"/>
    <w:rsid w:val="00FD4137"/>
    <w:rsid w:val="00FD4234"/>
    <w:rsid w:val="00FD442C"/>
    <w:rsid w:val="00FD4CA1"/>
    <w:rsid w:val="00FD57AB"/>
    <w:rsid w:val="00FD596F"/>
    <w:rsid w:val="00FD5A1A"/>
    <w:rsid w:val="00FD5B51"/>
    <w:rsid w:val="00FD5F82"/>
    <w:rsid w:val="00FD5FC7"/>
    <w:rsid w:val="00FD6526"/>
    <w:rsid w:val="00FD6E26"/>
    <w:rsid w:val="00FD707F"/>
    <w:rsid w:val="00FD709B"/>
    <w:rsid w:val="00FD78EB"/>
    <w:rsid w:val="00FD794E"/>
    <w:rsid w:val="00FD7D7B"/>
    <w:rsid w:val="00FD7DC2"/>
    <w:rsid w:val="00FD7DDB"/>
    <w:rsid w:val="00FE01F1"/>
    <w:rsid w:val="00FE02D8"/>
    <w:rsid w:val="00FE02F6"/>
    <w:rsid w:val="00FE030E"/>
    <w:rsid w:val="00FE1080"/>
    <w:rsid w:val="00FE1591"/>
    <w:rsid w:val="00FE1B94"/>
    <w:rsid w:val="00FE1C67"/>
    <w:rsid w:val="00FE2335"/>
    <w:rsid w:val="00FE2386"/>
    <w:rsid w:val="00FE2435"/>
    <w:rsid w:val="00FE25AA"/>
    <w:rsid w:val="00FE2912"/>
    <w:rsid w:val="00FE2A57"/>
    <w:rsid w:val="00FE2A81"/>
    <w:rsid w:val="00FE3191"/>
    <w:rsid w:val="00FE34A1"/>
    <w:rsid w:val="00FE3853"/>
    <w:rsid w:val="00FE3D43"/>
    <w:rsid w:val="00FE3E28"/>
    <w:rsid w:val="00FE454C"/>
    <w:rsid w:val="00FE4CAB"/>
    <w:rsid w:val="00FE4CD5"/>
    <w:rsid w:val="00FE586F"/>
    <w:rsid w:val="00FE5955"/>
    <w:rsid w:val="00FE5989"/>
    <w:rsid w:val="00FE5D04"/>
    <w:rsid w:val="00FE5D47"/>
    <w:rsid w:val="00FE5F37"/>
    <w:rsid w:val="00FE60FE"/>
    <w:rsid w:val="00FE626F"/>
    <w:rsid w:val="00FE6550"/>
    <w:rsid w:val="00FE67FE"/>
    <w:rsid w:val="00FE68EF"/>
    <w:rsid w:val="00FE6AF1"/>
    <w:rsid w:val="00FE71FC"/>
    <w:rsid w:val="00FE7412"/>
    <w:rsid w:val="00FE7792"/>
    <w:rsid w:val="00FE78F6"/>
    <w:rsid w:val="00FE7D39"/>
    <w:rsid w:val="00FE7F78"/>
    <w:rsid w:val="00FF0005"/>
    <w:rsid w:val="00FF02C0"/>
    <w:rsid w:val="00FF0400"/>
    <w:rsid w:val="00FF05F6"/>
    <w:rsid w:val="00FF0E38"/>
    <w:rsid w:val="00FF0F48"/>
    <w:rsid w:val="00FF1289"/>
    <w:rsid w:val="00FF1481"/>
    <w:rsid w:val="00FF16A0"/>
    <w:rsid w:val="00FF2534"/>
    <w:rsid w:val="00FF25F2"/>
    <w:rsid w:val="00FF2606"/>
    <w:rsid w:val="00FF37FD"/>
    <w:rsid w:val="00FF3936"/>
    <w:rsid w:val="00FF3981"/>
    <w:rsid w:val="00FF41B8"/>
    <w:rsid w:val="00FF4589"/>
    <w:rsid w:val="00FF4DC5"/>
    <w:rsid w:val="00FF53AB"/>
    <w:rsid w:val="00FF5BF9"/>
    <w:rsid w:val="00FF624E"/>
    <w:rsid w:val="00FF635A"/>
    <w:rsid w:val="00FF65FB"/>
    <w:rsid w:val="00FF6725"/>
    <w:rsid w:val="00FF6CEA"/>
    <w:rsid w:val="00FF7497"/>
    <w:rsid w:val="00FF79F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dfd0ab,#f8cfc8"/>
    </o:shapedefaults>
    <o:shapelayout v:ext="edit">
      <o:idmap v:ext="edit" data="1"/>
    </o:shapelayout>
  </w:shapeDefaults>
  <w:decimalSymbol w:val=","/>
  <w:listSeparator w:val=";"/>
  <w15:docId w15:val="{F05F6FD7-1743-46C7-BD88-F3D3289DC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uiPriority="39"/>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nhideWhenUsed="1"/>
    <w:lsdException w:name="endnote reference" w:locked="1" w:semiHidden="1" w:uiPriority="0" w:unhideWhenUsed="1"/>
    <w:lsdException w:name="endnote text" w:locked="1" w:semiHidden="1" w:uiPriority="0"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E1D8D"/>
    <w:pPr>
      <w:spacing w:line="240" w:lineRule="auto"/>
      <w:jc w:val="both"/>
    </w:pPr>
    <w:rPr>
      <w:rFonts w:ascii="Times New Roman" w:hAnsi="Times New Roman"/>
      <w:sz w:val="24"/>
    </w:rPr>
  </w:style>
  <w:style w:type="paragraph" w:styleId="Heading1">
    <w:name w:val="heading 1"/>
    <w:basedOn w:val="Normal"/>
    <w:next w:val="Normal"/>
    <w:link w:val="Heading1Char"/>
    <w:uiPriority w:val="9"/>
    <w:qFormat/>
    <w:rsid w:val="00512FF1"/>
    <w:pPr>
      <w:keepNext/>
      <w:keepLines/>
      <w:numPr>
        <w:numId w:val="3"/>
      </w:numPr>
      <w:spacing w:before="120" w:after="1080"/>
      <w:jc w:val="left"/>
      <w:outlineLvl w:val="0"/>
    </w:pPr>
    <w:rPr>
      <w:rFonts w:asciiTheme="majorHAnsi" w:eastAsiaTheme="majorEastAsia" w:hAnsiTheme="majorHAnsi" w:cstheme="majorBidi"/>
      <w:bCs/>
      <w:color w:val="852010"/>
      <w:spacing w:val="10"/>
      <w:sz w:val="52"/>
      <w:szCs w:val="28"/>
    </w:rPr>
  </w:style>
  <w:style w:type="paragraph" w:styleId="Heading2">
    <w:name w:val="heading 2"/>
    <w:basedOn w:val="Normal"/>
    <w:next w:val="Normal"/>
    <w:link w:val="Heading2Char"/>
    <w:uiPriority w:val="9"/>
    <w:unhideWhenUsed/>
    <w:qFormat/>
    <w:rsid w:val="00DE2BDB"/>
    <w:pPr>
      <w:keepNext/>
      <w:keepLines/>
      <w:numPr>
        <w:ilvl w:val="1"/>
        <w:numId w:val="3"/>
      </w:numPr>
      <w:tabs>
        <w:tab w:val="left" w:pos="426"/>
      </w:tabs>
      <w:spacing w:before="480" w:after="360"/>
      <w:jc w:val="left"/>
      <w:outlineLvl w:val="1"/>
    </w:pPr>
    <w:rPr>
      <w:rFonts w:asciiTheme="majorHAnsi" w:eastAsiaTheme="majorEastAsia" w:hAnsiTheme="majorHAnsi" w:cstheme="majorBidi"/>
      <w:b/>
      <w:bCs/>
      <w:caps/>
      <w:color w:val="852010"/>
      <w:spacing w:val="10"/>
      <w:w w:val="90"/>
      <w:sz w:val="28"/>
      <w:szCs w:val="26"/>
    </w:rPr>
  </w:style>
  <w:style w:type="paragraph" w:styleId="Heading3">
    <w:name w:val="heading 3"/>
    <w:basedOn w:val="Normal"/>
    <w:next w:val="Normal"/>
    <w:link w:val="Heading3Char"/>
    <w:uiPriority w:val="9"/>
    <w:unhideWhenUsed/>
    <w:qFormat/>
    <w:rsid w:val="00422233"/>
    <w:pPr>
      <w:keepNext/>
      <w:keepLines/>
      <w:numPr>
        <w:ilvl w:val="2"/>
        <w:numId w:val="3"/>
      </w:numPr>
      <w:spacing w:before="480" w:after="240"/>
      <w:jc w:val="left"/>
      <w:outlineLvl w:val="2"/>
    </w:pPr>
    <w:rPr>
      <w:rFonts w:asciiTheme="majorHAnsi" w:eastAsiaTheme="majorEastAsia" w:hAnsiTheme="majorHAnsi" w:cstheme="majorBidi"/>
      <w:b/>
      <w:bCs/>
      <w:caps/>
      <w:color w:val="852010"/>
    </w:rPr>
  </w:style>
  <w:style w:type="paragraph" w:styleId="Heading4">
    <w:name w:val="heading 4"/>
    <w:basedOn w:val="Normal"/>
    <w:next w:val="Normal"/>
    <w:link w:val="Heading4Char"/>
    <w:uiPriority w:val="9"/>
    <w:unhideWhenUsed/>
    <w:qFormat/>
    <w:rsid w:val="00585761"/>
    <w:pPr>
      <w:keepNext/>
      <w:keepLines/>
      <w:numPr>
        <w:ilvl w:val="3"/>
        <w:numId w:val="3"/>
      </w:numPr>
      <w:spacing w:before="240" w:after="120"/>
      <w:jc w:val="left"/>
      <w:outlineLvl w:val="3"/>
    </w:pPr>
    <w:rPr>
      <w:rFonts w:asciiTheme="majorHAnsi" w:eastAsiaTheme="majorEastAsia" w:hAnsiTheme="majorHAnsi" w:cstheme="majorBidi"/>
      <w:b/>
      <w:bCs/>
      <w:iCs/>
      <w:color w:val="852010"/>
    </w:rPr>
  </w:style>
  <w:style w:type="paragraph" w:styleId="Heading5">
    <w:name w:val="heading 5"/>
    <w:basedOn w:val="Normal"/>
    <w:next w:val="Normal"/>
    <w:link w:val="Heading5Char"/>
    <w:uiPriority w:val="9"/>
    <w:unhideWhenUsed/>
    <w:qFormat/>
    <w:rsid w:val="00B661BF"/>
    <w:pPr>
      <w:keepNext/>
      <w:keepLines/>
      <w:numPr>
        <w:numId w:val="5"/>
      </w:numPr>
      <w:spacing w:before="240" w:after="120"/>
      <w:outlineLvl w:val="4"/>
    </w:pPr>
    <w:rPr>
      <w:rFonts w:asciiTheme="majorHAnsi" w:eastAsiaTheme="majorEastAsia" w:hAnsiTheme="majorHAnsi" w:cstheme="majorBidi"/>
      <w:b/>
      <w:i/>
    </w:rPr>
  </w:style>
  <w:style w:type="paragraph" w:styleId="Heading6">
    <w:name w:val="heading 6"/>
    <w:basedOn w:val="ListParagraph"/>
    <w:next w:val="Normal"/>
    <w:link w:val="Heading6Char"/>
    <w:uiPriority w:val="9"/>
    <w:unhideWhenUsed/>
    <w:qFormat/>
    <w:rsid w:val="00FC2F83"/>
    <w:pPr>
      <w:numPr>
        <w:numId w:val="7"/>
      </w:numPr>
      <w:tabs>
        <w:tab w:val="left" w:pos="1134"/>
      </w:tabs>
      <w:ind w:left="720"/>
      <w:outlineLvl w:val="5"/>
    </w:pPr>
    <w:rPr>
      <w:rFonts w:eastAsia="Times New Roman"/>
      <w:b/>
      <w:color w:val="852010" w:themeColor="accent3" w:themeShade="BF"/>
    </w:rPr>
  </w:style>
  <w:style w:type="paragraph" w:styleId="Heading7">
    <w:name w:val="heading 7"/>
    <w:basedOn w:val="Normal"/>
    <w:next w:val="Normal"/>
    <w:link w:val="Heading7Char"/>
    <w:uiPriority w:val="9"/>
    <w:unhideWhenUsed/>
    <w:qFormat/>
    <w:rsid w:val="00A52E2F"/>
    <w:pPr>
      <w:keepNext/>
      <w:keepLines/>
      <w:numPr>
        <w:ilvl w:val="6"/>
        <w:numId w:val="3"/>
      </w:numPr>
      <w:spacing w:before="200"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unhideWhenUsed/>
    <w:qFormat/>
    <w:rsid w:val="00A52E2F"/>
    <w:pPr>
      <w:keepNext/>
      <w:keepLines/>
      <w:numPr>
        <w:ilvl w:val="7"/>
        <w:numId w:val="3"/>
      </w:numPr>
      <w:spacing w:before="200" w:after="0"/>
      <w:outlineLvl w:val="7"/>
    </w:pPr>
    <w:rPr>
      <w:rFonts w:asciiTheme="majorHAnsi" w:eastAsiaTheme="majorEastAsia" w:hAnsiTheme="majorHAnsi" w:cstheme="majorBidi"/>
      <w:color w:val="FE8637" w:themeColor="accent1"/>
      <w:sz w:val="20"/>
      <w:szCs w:val="20"/>
    </w:rPr>
  </w:style>
  <w:style w:type="paragraph" w:styleId="Heading9">
    <w:name w:val="heading 9"/>
    <w:basedOn w:val="Normal"/>
    <w:next w:val="Normal"/>
    <w:link w:val="Heading9Char"/>
    <w:uiPriority w:val="9"/>
    <w:semiHidden/>
    <w:unhideWhenUsed/>
    <w:qFormat/>
    <w:rsid w:val="00A52E2F"/>
    <w:pPr>
      <w:keepNext/>
      <w:keepLines/>
      <w:numPr>
        <w:ilvl w:val="8"/>
        <w:numId w:val="1"/>
      </w:numPr>
      <w:spacing w:before="200" w:after="0"/>
      <w:ind w:left="1584" w:hanging="1584"/>
      <w:outlineLvl w:val="8"/>
    </w:pPr>
    <w:rPr>
      <w:rFonts w:asciiTheme="majorHAnsi" w:eastAsiaTheme="majorEastAsia" w:hAnsiTheme="majorHAnsi" w:cstheme="majorBidi"/>
      <w:i/>
      <w:i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512FF1"/>
    <w:rPr>
      <w:rFonts w:asciiTheme="majorHAnsi" w:eastAsiaTheme="majorEastAsia" w:hAnsiTheme="majorHAnsi" w:cstheme="majorBidi"/>
      <w:bCs/>
      <w:color w:val="852010"/>
      <w:spacing w:val="10"/>
      <w:sz w:val="52"/>
      <w:szCs w:val="28"/>
    </w:rPr>
  </w:style>
  <w:style w:type="character" w:customStyle="1" w:styleId="Heading2Char">
    <w:name w:val="Heading 2 Char"/>
    <w:basedOn w:val="DefaultParagraphFont"/>
    <w:link w:val="Heading2"/>
    <w:uiPriority w:val="9"/>
    <w:locked/>
    <w:rsid w:val="00DE2BDB"/>
    <w:rPr>
      <w:rFonts w:asciiTheme="majorHAnsi" w:eastAsiaTheme="majorEastAsia" w:hAnsiTheme="majorHAnsi" w:cstheme="majorBidi"/>
      <w:b/>
      <w:bCs/>
      <w:caps/>
      <w:color w:val="852010"/>
      <w:spacing w:val="10"/>
      <w:w w:val="90"/>
      <w:sz w:val="28"/>
      <w:szCs w:val="26"/>
    </w:rPr>
  </w:style>
  <w:style w:type="character" w:customStyle="1" w:styleId="Heading3Char">
    <w:name w:val="Heading 3 Char"/>
    <w:basedOn w:val="DefaultParagraphFont"/>
    <w:link w:val="Heading3"/>
    <w:uiPriority w:val="9"/>
    <w:locked/>
    <w:rsid w:val="00422233"/>
    <w:rPr>
      <w:rFonts w:asciiTheme="majorHAnsi" w:eastAsiaTheme="majorEastAsia" w:hAnsiTheme="majorHAnsi" w:cstheme="majorBidi"/>
      <w:b/>
      <w:bCs/>
      <w:caps/>
      <w:color w:val="852010"/>
      <w:sz w:val="24"/>
    </w:rPr>
  </w:style>
  <w:style w:type="character" w:customStyle="1" w:styleId="Heading4Char">
    <w:name w:val="Heading 4 Char"/>
    <w:basedOn w:val="DefaultParagraphFont"/>
    <w:link w:val="Heading4"/>
    <w:uiPriority w:val="9"/>
    <w:locked/>
    <w:rsid w:val="00585761"/>
    <w:rPr>
      <w:rFonts w:asciiTheme="majorHAnsi" w:eastAsiaTheme="majorEastAsia" w:hAnsiTheme="majorHAnsi" w:cstheme="majorBidi"/>
      <w:b/>
      <w:bCs/>
      <w:iCs/>
      <w:color w:val="852010"/>
      <w:sz w:val="24"/>
    </w:rPr>
  </w:style>
  <w:style w:type="paragraph" w:customStyle="1" w:styleId="Default">
    <w:name w:val="Default"/>
    <w:rsid w:val="00B76060"/>
    <w:pPr>
      <w:autoSpaceDE w:val="0"/>
      <w:autoSpaceDN w:val="0"/>
      <w:adjustRightInd w:val="0"/>
    </w:pPr>
    <w:rPr>
      <w:rFonts w:eastAsia="Batang" w:cs="Calibri"/>
      <w:color w:val="000000"/>
      <w:sz w:val="24"/>
      <w:szCs w:val="24"/>
      <w:lang w:eastAsia="en-US"/>
    </w:rPr>
  </w:style>
  <w:style w:type="paragraph" w:styleId="BalloonText">
    <w:name w:val="Balloon Text"/>
    <w:basedOn w:val="Normal"/>
    <w:link w:val="BalloonTextChar"/>
    <w:uiPriority w:val="99"/>
    <w:semiHidden/>
    <w:rsid w:val="0072684A"/>
    <w:pPr>
      <w:spacing w:after="0"/>
    </w:pPr>
    <w:rPr>
      <w:rFonts w:ascii="Tahoma" w:hAnsi="Tahoma" w:cs="Tahoma"/>
      <w:sz w:val="16"/>
      <w:szCs w:val="16"/>
    </w:rPr>
  </w:style>
  <w:style w:type="character" w:customStyle="1" w:styleId="BalloonTextChar">
    <w:name w:val="Balloon Text Char"/>
    <w:link w:val="BalloonText"/>
    <w:uiPriority w:val="99"/>
    <w:semiHidden/>
    <w:locked/>
    <w:rsid w:val="0072684A"/>
    <w:rPr>
      <w:rFonts w:ascii="Tahoma" w:hAnsi="Tahoma" w:cs="Tahoma"/>
      <w:sz w:val="16"/>
      <w:szCs w:val="16"/>
    </w:rPr>
  </w:style>
  <w:style w:type="paragraph" w:styleId="FootnoteText">
    <w:name w:val="footnote text"/>
    <w:aliases w:val="Fußnotentext arial,Footnote1,Footnote2,Footnote3,stile 1,Footnote4,Footnote5,Footnote6,Footnote7,Footnote8,Footnote9,Footnote10,Footnote11,Footnote21,Footnote31,Footnote41,Footnote51,Footnote61,Footnote71,Footnote81,Footnote91,single spa"/>
    <w:basedOn w:val="Normal"/>
    <w:link w:val="FootnoteTextChar1"/>
    <w:uiPriority w:val="99"/>
    <w:rsid w:val="008E1EE5"/>
    <w:pPr>
      <w:spacing w:after="40"/>
      <w:ind w:left="284" w:hanging="284"/>
    </w:pPr>
    <w:rPr>
      <w:sz w:val="20"/>
      <w:szCs w:val="20"/>
    </w:rPr>
  </w:style>
  <w:style w:type="character" w:customStyle="1" w:styleId="FootnoteTextChar">
    <w:name w:val="Footnote Text Char"/>
    <w:aliases w:val="Fußnotentext arial Char,Footnote1 Char,Footnote2 Char,Footnote3 Char,stile 1 Char,Footnote4 Char,Footnote5 Char,Footnote6 Char,Footnote7 Char,Footnote8 Char,Footnote9 Char,Footnote10 Char,Footnote11 Char,Footnote21 Char"/>
    <w:uiPriority w:val="99"/>
    <w:locked/>
    <w:rsid w:val="0072684A"/>
    <w:rPr>
      <w:rFonts w:cs="Times New Roman"/>
      <w:sz w:val="20"/>
      <w:szCs w:val="20"/>
    </w:rPr>
  </w:style>
  <w:style w:type="character" w:customStyle="1" w:styleId="FootnoteTextChar1">
    <w:name w:val="Footnote Text Char1"/>
    <w:aliases w:val="Fußnotentext arial Char1,Footnote1 Char1,Footnote2 Char1,Footnote3 Char1,stile 1 Char1,Footnote4 Char1,Footnote5 Char1,Footnote6 Char1,Footnote7 Char1,Footnote8 Char1,Footnote9 Char1,Footnote10 Char1,Footnote11 Char1,Footnote21 Char1"/>
    <w:link w:val="FootnoteText"/>
    <w:locked/>
    <w:rsid w:val="008E1EE5"/>
    <w:rPr>
      <w:rFonts w:ascii="Times New Roman" w:hAnsi="Times New Roman"/>
      <w:sz w:val="20"/>
      <w:szCs w:val="20"/>
    </w:rPr>
  </w:style>
  <w:style w:type="character" w:styleId="FootnoteReference">
    <w:name w:val="footnote reference"/>
    <w:aliases w:val="Footnote,Footnote symbol,SUPERS,BVI fnr,Footnote reference number,Times 10 Point,Exposant 3 Point,Ref,de nota al pie,note TESI,EN Footnote text,EN Footnote Reference,Footnote Reference Number,E FNZ,Appel note de bas de p,Nota"/>
    <w:uiPriority w:val="99"/>
    <w:rsid w:val="0072684A"/>
    <w:rPr>
      <w:rFonts w:ascii="Times New Roman" w:hAnsi="Times New Roman" w:cs="Times New Roman"/>
      <w:color w:val="auto"/>
      <w:spacing w:val="0"/>
      <w:w w:val="100"/>
      <w:kern w:val="0"/>
      <w:position w:val="2"/>
      <w:sz w:val="18"/>
      <w:u w:val="none"/>
      <w:effect w:val="none"/>
      <w:vertAlign w:val="superscript"/>
      <w:lang w:val="bg-BG" w:eastAsia="en-US"/>
    </w:rPr>
  </w:style>
  <w:style w:type="table" w:styleId="TableGrid">
    <w:name w:val="Table Grid"/>
    <w:basedOn w:val="TableNormal"/>
    <w:uiPriority w:val="99"/>
    <w:rsid w:val="0072684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link w:val="CaptionChar"/>
    <w:unhideWhenUsed/>
    <w:qFormat/>
    <w:rsid w:val="00A52E2F"/>
    <w:pPr>
      <w:spacing w:after="120"/>
      <w:ind w:left="1418" w:hanging="1418"/>
      <w:jc w:val="left"/>
    </w:pPr>
    <w:rPr>
      <w:b/>
      <w:bCs/>
      <w:szCs w:val="18"/>
    </w:rPr>
  </w:style>
  <w:style w:type="character" w:customStyle="1" w:styleId="CaptionChar">
    <w:name w:val="Caption Char"/>
    <w:link w:val="Caption"/>
    <w:locked/>
    <w:rsid w:val="00A52E2F"/>
    <w:rPr>
      <w:b/>
      <w:bCs/>
      <w:sz w:val="24"/>
      <w:szCs w:val="18"/>
    </w:rPr>
  </w:style>
  <w:style w:type="paragraph" w:styleId="BodyTextIndent">
    <w:name w:val="Body Text Indent"/>
    <w:basedOn w:val="Normal"/>
    <w:link w:val="BodyTextIndentChar"/>
    <w:uiPriority w:val="99"/>
    <w:rsid w:val="00EA6568"/>
    <w:pPr>
      <w:spacing w:after="120"/>
      <w:ind w:left="283"/>
    </w:pPr>
    <w:rPr>
      <w:rFonts w:eastAsia="Batang"/>
    </w:rPr>
  </w:style>
  <w:style w:type="character" w:customStyle="1" w:styleId="BodyTextIndentChar">
    <w:name w:val="Body Text Indent Char"/>
    <w:link w:val="BodyTextIndent"/>
    <w:uiPriority w:val="99"/>
    <w:locked/>
    <w:rsid w:val="00EA6568"/>
    <w:rPr>
      <w:rFonts w:ascii="Calibri" w:eastAsia="Batang" w:hAnsi="Calibri" w:cs="Times New Roman"/>
    </w:rPr>
  </w:style>
  <w:style w:type="paragraph" w:styleId="ListParagraph">
    <w:name w:val="List Paragraph"/>
    <w:aliases w:val="Recommendatio,Párrafo de lista,Recommendation,OBC Bullet,Dot pt,F5 List Paragraph,No Spacing1,List Paragraph Char Char Char,Indicator Text,Numbered Para 1,Bullet 1,Bullet Points,List Paragraph2,L,3,References,Colorful List - Accent 11"/>
    <w:basedOn w:val="Normal"/>
    <w:link w:val="ListParagraphChar"/>
    <w:uiPriority w:val="34"/>
    <w:qFormat/>
    <w:rsid w:val="00A52E2F"/>
    <w:pPr>
      <w:numPr>
        <w:numId w:val="4"/>
      </w:numPr>
      <w:spacing w:after="120"/>
    </w:pPr>
  </w:style>
  <w:style w:type="paragraph" w:styleId="Header">
    <w:name w:val="header"/>
    <w:aliases w:val="Header Char2 Char,Header Char1 Char1 Char,Header Char Char Char1 Char,Header Char1 Char Char Char Char,Header Char Char Char Char Char Char,Header Char Char1 Char,Header Char1 Char Char1 Char,Header Char Char Char Char1 Char"/>
    <w:basedOn w:val="Normal"/>
    <w:link w:val="HeaderChar1"/>
    <w:uiPriority w:val="99"/>
    <w:rsid w:val="00E42591"/>
    <w:pPr>
      <w:tabs>
        <w:tab w:val="center" w:pos="4153"/>
        <w:tab w:val="right" w:pos="8306"/>
      </w:tabs>
      <w:spacing w:after="0"/>
      <w:jc w:val="left"/>
    </w:pPr>
    <w:rPr>
      <w:rFonts w:ascii="Arial" w:hAnsi="Arial"/>
      <w:smallCaps/>
      <w:noProof/>
      <w:color w:val="404040" w:themeColor="text1" w:themeTint="BF"/>
      <w:spacing w:val="10"/>
      <w:sz w:val="18"/>
      <w:szCs w:val="20"/>
      <w:lang w:val="en-US" w:eastAsia="en-US"/>
    </w:rPr>
  </w:style>
  <w:style w:type="character" w:customStyle="1" w:styleId="HeaderChar">
    <w:name w:val="Header Char"/>
    <w:aliases w:val="Header Char2 Char Char,Header Char1 Char1 Char Char,Header Char Char Char1 Char Char,Header Char1 Char Char Char Char Char,Header Char Char Char Char Char Char Char,Header Char Char1 Char Char,Header Char1 Char Char1 Char Char"/>
    <w:uiPriority w:val="99"/>
    <w:locked/>
    <w:rsid w:val="002824B8"/>
    <w:rPr>
      <w:rFonts w:cs="Times New Roman"/>
    </w:rPr>
  </w:style>
  <w:style w:type="character" w:customStyle="1" w:styleId="HeaderChar1">
    <w:name w:val="Header Char1"/>
    <w:aliases w:val="Header Char2 Char Char2,Header Char1 Char1 Char Char2,Header Char Char Char1 Char Char2,Header Char1 Char Char Char Char Char2,Header Char Char Char Char Char Char Char2,Header Char Char1 Char Char2,Header Char1 Char Char1 Char Char1"/>
    <w:link w:val="Header"/>
    <w:uiPriority w:val="99"/>
    <w:locked/>
    <w:rsid w:val="00E42591"/>
    <w:rPr>
      <w:rFonts w:ascii="Arial" w:hAnsi="Arial"/>
      <w:smallCaps/>
      <w:noProof/>
      <w:color w:val="404040" w:themeColor="text1" w:themeTint="BF"/>
      <w:spacing w:val="10"/>
      <w:sz w:val="18"/>
      <w:szCs w:val="20"/>
      <w:lang w:val="en-US" w:eastAsia="en-US"/>
    </w:rPr>
  </w:style>
  <w:style w:type="paragraph" w:styleId="BodyText">
    <w:name w:val="Body Text"/>
    <w:basedOn w:val="Normal"/>
    <w:link w:val="BodyTextChar"/>
    <w:uiPriority w:val="99"/>
    <w:rsid w:val="002824B8"/>
    <w:pPr>
      <w:spacing w:after="120"/>
    </w:pPr>
    <w:rPr>
      <w:rFonts w:eastAsia="Times New Roman"/>
    </w:rPr>
  </w:style>
  <w:style w:type="character" w:customStyle="1" w:styleId="BodyTextChar">
    <w:name w:val="Body Text Char"/>
    <w:link w:val="BodyText"/>
    <w:uiPriority w:val="99"/>
    <w:locked/>
    <w:rsid w:val="002824B8"/>
    <w:rPr>
      <w:rFonts w:ascii="Calibri" w:hAnsi="Calibri" w:cs="Times New Roman"/>
    </w:rPr>
  </w:style>
  <w:style w:type="paragraph" w:styleId="BodyTextIndent3">
    <w:name w:val="Body Text Indent 3"/>
    <w:basedOn w:val="Normal"/>
    <w:link w:val="BodyTextIndent3Char"/>
    <w:uiPriority w:val="99"/>
    <w:rsid w:val="00AB2F29"/>
    <w:pPr>
      <w:spacing w:after="120"/>
      <w:ind w:left="283"/>
    </w:pPr>
    <w:rPr>
      <w:sz w:val="16"/>
      <w:szCs w:val="16"/>
    </w:rPr>
  </w:style>
  <w:style w:type="character" w:customStyle="1" w:styleId="BodyTextIndent3Char">
    <w:name w:val="Body Text Indent 3 Char"/>
    <w:link w:val="BodyTextIndent3"/>
    <w:uiPriority w:val="99"/>
    <w:semiHidden/>
    <w:locked/>
    <w:rsid w:val="00AB2F29"/>
    <w:rPr>
      <w:rFonts w:cs="Times New Roman"/>
      <w:sz w:val="16"/>
      <w:szCs w:val="16"/>
    </w:rPr>
  </w:style>
  <w:style w:type="paragraph" w:styleId="CommentText">
    <w:name w:val="annotation text"/>
    <w:basedOn w:val="Normal"/>
    <w:link w:val="CommentTextChar"/>
    <w:uiPriority w:val="99"/>
    <w:semiHidden/>
    <w:rsid w:val="00AB2F29"/>
    <w:pPr>
      <w:spacing w:after="0"/>
      <w:jc w:val="left"/>
    </w:pPr>
    <w:rPr>
      <w:rFonts w:eastAsia="Times New Roman"/>
      <w:sz w:val="20"/>
      <w:szCs w:val="20"/>
    </w:rPr>
  </w:style>
  <w:style w:type="character" w:customStyle="1" w:styleId="CommentTextChar">
    <w:name w:val="Comment Text Char"/>
    <w:link w:val="CommentText"/>
    <w:uiPriority w:val="99"/>
    <w:semiHidden/>
    <w:locked/>
    <w:rsid w:val="00AB2F29"/>
    <w:rPr>
      <w:rFonts w:ascii="Times New Roman" w:hAnsi="Times New Roman" w:cs="Times New Roman"/>
      <w:sz w:val="20"/>
      <w:szCs w:val="20"/>
    </w:rPr>
  </w:style>
  <w:style w:type="character" w:styleId="CommentReference">
    <w:name w:val="annotation reference"/>
    <w:semiHidden/>
    <w:rsid w:val="00AB2F29"/>
    <w:rPr>
      <w:rFonts w:cs="Times New Roman"/>
      <w:sz w:val="16"/>
    </w:rPr>
  </w:style>
  <w:style w:type="paragraph" w:customStyle="1" w:styleId="Style">
    <w:name w:val="Style"/>
    <w:link w:val="StyleChar"/>
    <w:uiPriority w:val="99"/>
    <w:rsid w:val="00AB2F29"/>
    <w:pPr>
      <w:widowControl w:val="0"/>
      <w:autoSpaceDE w:val="0"/>
      <w:autoSpaceDN w:val="0"/>
      <w:adjustRightInd w:val="0"/>
      <w:ind w:left="140" w:right="140" w:firstLine="840"/>
      <w:jc w:val="both"/>
    </w:pPr>
    <w:rPr>
      <w:rFonts w:ascii="Arial Narrow" w:hAnsi="Arial Narrow"/>
    </w:rPr>
  </w:style>
  <w:style w:type="character" w:customStyle="1" w:styleId="StyleChar">
    <w:name w:val="Style Char"/>
    <w:link w:val="Style"/>
    <w:uiPriority w:val="99"/>
    <w:locked/>
    <w:rsid w:val="00AB2F29"/>
    <w:rPr>
      <w:rFonts w:ascii="Arial Narrow" w:hAnsi="Arial Narrow"/>
      <w:sz w:val="22"/>
      <w:lang w:eastAsia="bg-BG"/>
    </w:rPr>
  </w:style>
  <w:style w:type="character" w:styleId="Emphasis">
    <w:name w:val="Emphasis"/>
    <w:basedOn w:val="DefaultParagraphFont"/>
    <w:uiPriority w:val="20"/>
    <w:qFormat/>
    <w:rsid w:val="00A52E2F"/>
    <w:rPr>
      <w:i/>
      <w:iCs/>
    </w:rPr>
  </w:style>
  <w:style w:type="paragraph" w:styleId="TOCHeading">
    <w:name w:val="TOC Heading"/>
    <w:basedOn w:val="Heading1"/>
    <w:next w:val="Normal"/>
    <w:uiPriority w:val="39"/>
    <w:qFormat/>
    <w:rsid w:val="00736E30"/>
    <w:pPr>
      <w:numPr>
        <w:numId w:val="0"/>
      </w:numPr>
      <w:spacing w:before="480" w:after="0"/>
      <w:jc w:val="both"/>
      <w:outlineLvl w:val="9"/>
    </w:pPr>
    <w:rPr>
      <w:b/>
      <w:color w:val="E65B01" w:themeColor="accent1" w:themeShade="BF"/>
      <w:spacing w:val="0"/>
      <w:sz w:val="28"/>
    </w:rPr>
  </w:style>
  <w:style w:type="paragraph" w:styleId="TOC2">
    <w:name w:val="toc 2"/>
    <w:basedOn w:val="Normal"/>
    <w:next w:val="Normal"/>
    <w:autoRedefine/>
    <w:uiPriority w:val="39"/>
    <w:rsid w:val="00850F48"/>
    <w:pPr>
      <w:tabs>
        <w:tab w:val="left" w:pos="400"/>
        <w:tab w:val="left" w:pos="687"/>
        <w:tab w:val="right" w:leader="dot" w:pos="9060"/>
      </w:tabs>
      <w:spacing w:before="120" w:after="60"/>
      <w:ind w:left="687" w:hanging="403"/>
      <w:jc w:val="left"/>
    </w:pPr>
    <w:rPr>
      <w:bCs/>
      <w:caps/>
      <w:noProof/>
      <w:sz w:val="18"/>
      <w:lang w:val="en-US"/>
    </w:rPr>
  </w:style>
  <w:style w:type="paragraph" w:styleId="TOC3">
    <w:name w:val="toc 3"/>
    <w:basedOn w:val="Normal"/>
    <w:next w:val="Normal"/>
    <w:autoRedefine/>
    <w:uiPriority w:val="39"/>
    <w:rsid w:val="004C3CD4"/>
    <w:pPr>
      <w:tabs>
        <w:tab w:val="left" w:pos="543"/>
        <w:tab w:val="right" w:leader="dot" w:pos="9060"/>
      </w:tabs>
      <w:spacing w:after="0"/>
      <w:ind w:left="1224" w:hanging="544"/>
      <w:jc w:val="left"/>
    </w:pPr>
    <w:rPr>
      <w:caps/>
      <w:noProof/>
      <w:w w:val="90"/>
      <w:sz w:val="20"/>
      <w:lang w:val="ru-RU" w:eastAsia="zh-CN"/>
    </w:rPr>
  </w:style>
  <w:style w:type="character" w:styleId="Hyperlink">
    <w:name w:val="Hyperlink"/>
    <w:uiPriority w:val="99"/>
    <w:rsid w:val="00736E30"/>
    <w:rPr>
      <w:rFonts w:cs="Times New Roman"/>
      <w:color w:val="0000FF"/>
      <w:u w:val="single"/>
    </w:rPr>
  </w:style>
  <w:style w:type="paragraph" w:styleId="CommentSubject">
    <w:name w:val="annotation subject"/>
    <w:basedOn w:val="CommentText"/>
    <w:next w:val="CommentText"/>
    <w:link w:val="CommentSubjectChar"/>
    <w:uiPriority w:val="99"/>
    <w:rsid w:val="0067451D"/>
    <w:pPr>
      <w:spacing w:before="100" w:beforeAutospacing="1" w:after="100" w:afterAutospacing="1"/>
      <w:ind w:left="1349" w:hanging="357"/>
      <w:jc w:val="both"/>
    </w:pPr>
    <w:rPr>
      <w:rFonts w:ascii="Calibri" w:eastAsia="Calibri" w:hAnsi="Calibri"/>
      <w:b/>
      <w:bCs/>
    </w:rPr>
  </w:style>
  <w:style w:type="character" w:customStyle="1" w:styleId="CommentSubjectChar">
    <w:name w:val="Comment Subject Char"/>
    <w:link w:val="CommentSubject"/>
    <w:uiPriority w:val="99"/>
    <w:locked/>
    <w:rsid w:val="0067451D"/>
    <w:rPr>
      <w:rFonts w:ascii="Times New Roman" w:hAnsi="Times New Roman" w:cs="Times New Roman"/>
      <w:b/>
      <w:bCs/>
      <w:sz w:val="20"/>
      <w:szCs w:val="20"/>
    </w:rPr>
  </w:style>
  <w:style w:type="paragraph" w:styleId="TOC1">
    <w:name w:val="toc 1"/>
    <w:basedOn w:val="Normal"/>
    <w:next w:val="Normal"/>
    <w:uiPriority w:val="39"/>
    <w:unhideWhenUsed/>
    <w:locked/>
    <w:rsid w:val="00850F48"/>
    <w:pPr>
      <w:tabs>
        <w:tab w:val="right" w:leader="dot" w:pos="9060"/>
      </w:tabs>
      <w:spacing w:before="240"/>
      <w:jc w:val="left"/>
      <w:outlineLvl w:val="0"/>
    </w:pPr>
    <w:rPr>
      <w:b/>
      <w:noProof/>
      <w:color w:val="852010" w:themeColor="accent3" w:themeShade="BF"/>
      <w:sz w:val="22"/>
      <w14:scene3d>
        <w14:camera w14:prst="orthographicFront"/>
        <w14:lightRig w14:rig="threePt" w14:dir="t">
          <w14:rot w14:lat="0" w14:lon="0" w14:rev="0"/>
        </w14:lightRig>
      </w14:scene3d>
    </w:rPr>
  </w:style>
  <w:style w:type="paragraph" w:styleId="NormalWeb">
    <w:name w:val="Normal (Web)"/>
    <w:basedOn w:val="Normal"/>
    <w:uiPriority w:val="99"/>
    <w:rsid w:val="00D14104"/>
    <w:pPr>
      <w:jc w:val="left"/>
    </w:pPr>
    <w:rPr>
      <w:rFonts w:eastAsia="Times New Roman"/>
      <w:szCs w:val="24"/>
      <w:lang w:val="en-US"/>
    </w:rPr>
  </w:style>
  <w:style w:type="character" w:customStyle="1" w:styleId="HeaderChar2">
    <w:name w:val="Header Char2"/>
    <w:aliases w:val="Header Char Char1,Header Char2 Char Char1,Header Char1 Char1 Char Char1,Header Char Char Char1 Char Char1,Header Char1 Char Char Char Char Char1,Header Char Char Char Char Char Char Char1,Header Char Char1 Char Char1"/>
    <w:uiPriority w:val="99"/>
    <w:locked/>
    <w:rsid w:val="00F276E4"/>
    <w:rPr>
      <w:sz w:val="24"/>
      <w:lang w:val="bg-BG" w:eastAsia="en-US"/>
    </w:rPr>
  </w:style>
  <w:style w:type="paragraph" w:styleId="Footer">
    <w:name w:val="footer"/>
    <w:basedOn w:val="Normal"/>
    <w:link w:val="FooterChar"/>
    <w:uiPriority w:val="99"/>
    <w:rsid w:val="00F276E4"/>
    <w:pPr>
      <w:tabs>
        <w:tab w:val="center" w:pos="4536"/>
        <w:tab w:val="right" w:pos="9072"/>
      </w:tabs>
    </w:pPr>
    <w:rPr>
      <w:rFonts w:eastAsia="Times New Roman"/>
    </w:rPr>
  </w:style>
  <w:style w:type="character" w:customStyle="1" w:styleId="FooterChar">
    <w:name w:val="Footer Char"/>
    <w:link w:val="Footer"/>
    <w:uiPriority w:val="99"/>
    <w:locked/>
    <w:rsid w:val="00F276E4"/>
    <w:rPr>
      <w:rFonts w:ascii="Calibri" w:hAnsi="Calibri" w:cs="Times New Roman"/>
    </w:rPr>
  </w:style>
  <w:style w:type="character" w:styleId="PageNumber">
    <w:name w:val="page number"/>
    <w:uiPriority w:val="99"/>
    <w:rsid w:val="00F276E4"/>
    <w:rPr>
      <w:rFonts w:cs="Times New Roman"/>
    </w:rPr>
  </w:style>
  <w:style w:type="character" w:customStyle="1" w:styleId="scnt">
    <w:name w:val="scnt"/>
    <w:uiPriority w:val="99"/>
    <w:rsid w:val="00F276E4"/>
    <w:rPr>
      <w:rFonts w:cs="Times New Roman"/>
    </w:rPr>
  </w:style>
  <w:style w:type="paragraph" w:customStyle="1" w:styleId="source">
    <w:name w:val="source"/>
    <w:basedOn w:val="Normal"/>
    <w:uiPriority w:val="99"/>
    <w:rsid w:val="00F276E4"/>
    <w:pPr>
      <w:keepLines/>
      <w:spacing w:before="60" w:after="240"/>
      <w:ind w:right="1134"/>
      <w:contextualSpacing/>
      <w:jc w:val="right"/>
    </w:pPr>
    <w:rPr>
      <w:rFonts w:ascii="Verdana" w:eastAsia="Times New Roman" w:hAnsi="Verdana" w:cs="Arial"/>
      <w:w w:val="90"/>
      <w:sz w:val="16"/>
      <w:szCs w:val="20"/>
    </w:rPr>
  </w:style>
  <w:style w:type="paragraph" w:customStyle="1" w:styleId="tabletextleft">
    <w:name w:val="table text left"/>
    <w:basedOn w:val="Normal"/>
    <w:link w:val="tabletextleftChar"/>
    <w:rsid w:val="00F276E4"/>
    <w:pPr>
      <w:spacing w:after="120"/>
      <w:jc w:val="left"/>
    </w:pPr>
    <w:rPr>
      <w:w w:val="90"/>
      <w:sz w:val="20"/>
      <w:szCs w:val="20"/>
    </w:rPr>
  </w:style>
  <w:style w:type="character" w:customStyle="1" w:styleId="tabletextleftChar">
    <w:name w:val="table text left Char"/>
    <w:link w:val="tabletextleft"/>
    <w:locked/>
    <w:rsid w:val="00F276E4"/>
    <w:rPr>
      <w:rFonts w:ascii="Times New Roman" w:hAnsi="Times New Roman"/>
      <w:w w:val="90"/>
      <w:sz w:val="20"/>
      <w:lang w:eastAsia="bg-BG"/>
    </w:rPr>
  </w:style>
  <w:style w:type="paragraph" w:customStyle="1" w:styleId="Style10ptCentered">
    <w:name w:val="Style 10 pt Centered"/>
    <w:basedOn w:val="Normal"/>
    <w:uiPriority w:val="99"/>
    <w:rsid w:val="00F276E4"/>
    <w:pPr>
      <w:spacing w:after="120"/>
      <w:jc w:val="center"/>
    </w:pPr>
    <w:rPr>
      <w:rFonts w:ascii="Verdana" w:eastAsia="Times New Roman" w:hAnsi="Verdana"/>
      <w:w w:val="90"/>
      <w:sz w:val="20"/>
      <w:szCs w:val="20"/>
    </w:rPr>
  </w:style>
  <w:style w:type="paragraph" w:styleId="BlockText">
    <w:name w:val="Block Text"/>
    <w:basedOn w:val="Normal"/>
    <w:uiPriority w:val="99"/>
    <w:rsid w:val="00F276E4"/>
    <w:pPr>
      <w:spacing w:after="120"/>
      <w:ind w:left="1440" w:right="1440"/>
    </w:pPr>
    <w:rPr>
      <w:rFonts w:eastAsia="Times New Roman"/>
    </w:rPr>
  </w:style>
  <w:style w:type="paragraph" w:customStyle="1" w:styleId="StyleHeading3TimesNewRomanAuto">
    <w:name w:val="Style Heading 3 + Times New Roman Auto"/>
    <w:basedOn w:val="Heading3"/>
    <w:link w:val="StyleHeading3TimesNewRomanAutoChar"/>
    <w:uiPriority w:val="99"/>
    <w:rsid w:val="00F276E4"/>
    <w:pPr>
      <w:keepLines w:val="0"/>
      <w:spacing w:before="240" w:after="180"/>
      <w:ind w:left="-567"/>
    </w:pPr>
    <w:rPr>
      <w:rFonts w:ascii="Times New Roman" w:eastAsia="Calibri" w:hAnsi="Times New Roman"/>
      <w:b w:val="0"/>
      <w:bCs w:val="0"/>
      <w:i/>
      <w:color w:val="auto"/>
      <w:sz w:val="26"/>
      <w:szCs w:val="20"/>
    </w:rPr>
  </w:style>
  <w:style w:type="character" w:customStyle="1" w:styleId="StyleHeading3TimesNewRomanAutoChar">
    <w:name w:val="Style Heading 3 + Times New Roman Auto Char"/>
    <w:link w:val="StyleHeading3TimesNewRomanAuto"/>
    <w:uiPriority w:val="99"/>
    <w:locked/>
    <w:rsid w:val="00F276E4"/>
    <w:rPr>
      <w:rFonts w:ascii="Times New Roman" w:eastAsia="Calibri" w:hAnsi="Times New Roman" w:cstheme="majorBidi"/>
      <w:i/>
      <w:caps/>
      <w:sz w:val="26"/>
      <w:szCs w:val="20"/>
    </w:rPr>
  </w:style>
  <w:style w:type="paragraph" w:styleId="TOC4">
    <w:name w:val="toc 4"/>
    <w:basedOn w:val="Normal"/>
    <w:next w:val="Normal"/>
    <w:autoRedefine/>
    <w:uiPriority w:val="39"/>
    <w:rsid w:val="00280B15"/>
    <w:pPr>
      <w:tabs>
        <w:tab w:val="right" w:leader="dot" w:pos="9070"/>
      </w:tabs>
      <w:spacing w:after="60"/>
      <w:ind w:left="1134" w:hanging="1134"/>
      <w:jc w:val="left"/>
    </w:pPr>
    <w:rPr>
      <w:sz w:val="22"/>
    </w:rPr>
  </w:style>
  <w:style w:type="paragraph" w:styleId="TOC5">
    <w:name w:val="toc 5"/>
    <w:basedOn w:val="Normal"/>
    <w:next w:val="Normal"/>
    <w:autoRedefine/>
    <w:uiPriority w:val="39"/>
    <w:rsid w:val="00F276E4"/>
    <w:pPr>
      <w:spacing w:after="0"/>
      <w:jc w:val="left"/>
    </w:pPr>
  </w:style>
  <w:style w:type="paragraph" w:styleId="TOC6">
    <w:name w:val="toc 6"/>
    <w:basedOn w:val="Normal"/>
    <w:next w:val="Normal"/>
    <w:autoRedefine/>
    <w:uiPriority w:val="39"/>
    <w:rsid w:val="00F276E4"/>
    <w:pPr>
      <w:spacing w:after="0"/>
      <w:jc w:val="left"/>
    </w:pPr>
  </w:style>
  <w:style w:type="paragraph" w:styleId="TOC7">
    <w:name w:val="toc 7"/>
    <w:basedOn w:val="Normal"/>
    <w:next w:val="Normal"/>
    <w:autoRedefine/>
    <w:uiPriority w:val="39"/>
    <w:rsid w:val="00F276E4"/>
    <w:pPr>
      <w:spacing w:after="0"/>
      <w:jc w:val="left"/>
    </w:pPr>
  </w:style>
  <w:style w:type="paragraph" w:styleId="TOC8">
    <w:name w:val="toc 8"/>
    <w:basedOn w:val="Normal"/>
    <w:next w:val="Normal"/>
    <w:autoRedefine/>
    <w:uiPriority w:val="39"/>
    <w:rsid w:val="00F276E4"/>
    <w:pPr>
      <w:spacing w:after="0"/>
      <w:jc w:val="left"/>
    </w:pPr>
  </w:style>
  <w:style w:type="paragraph" w:styleId="TOC9">
    <w:name w:val="toc 9"/>
    <w:basedOn w:val="Normal"/>
    <w:next w:val="Normal"/>
    <w:autoRedefine/>
    <w:uiPriority w:val="39"/>
    <w:rsid w:val="00F276E4"/>
    <w:pPr>
      <w:spacing w:after="0"/>
      <w:jc w:val="left"/>
    </w:pPr>
  </w:style>
  <w:style w:type="paragraph" w:styleId="NoSpacing">
    <w:name w:val="No Spacing"/>
    <w:link w:val="NoSpacingChar"/>
    <w:uiPriority w:val="1"/>
    <w:qFormat/>
    <w:rsid w:val="00A52E2F"/>
    <w:pPr>
      <w:spacing w:after="0" w:line="240" w:lineRule="auto"/>
    </w:pPr>
  </w:style>
  <w:style w:type="character" w:customStyle="1" w:styleId="NoSpacingChar">
    <w:name w:val="No Spacing Char"/>
    <w:basedOn w:val="DefaultParagraphFont"/>
    <w:link w:val="NoSpacing"/>
    <w:uiPriority w:val="1"/>
    <w:locked/>
    <w:rsid w:val="00A52E2F"/>
  </w:style>
  <w:style w:type="paragraph" w:customStyle="1" w:styleId="CharCharCharCharCharChar">
    <w:name w:val="Char Char Char Char Знак Char Char Знак"/>
    <w:basedOn w:val="Normal"/>
    <w:uiPriority w:val="99"/>
    <w:rsid w:val="00F276E4"/>
    <w:pPr>
      <w:tabs>
        <w:tab w:val="left" w:pos="709"/>
      </w:tabs>
      <w:spacing w:after="0"/>
      <w:jc w:val="left"/>
    </w:pPr>
    <w:rPr>
      <w:rFonts w:ascii="Tahoma" w:eastAsia="Times New Roman" w:hAnsi="Tahoma"/>
      <w:szCs w:val="24"/>
      <w:lang w:val="pl-PL" w:eastAsia="pl-PL"/>
    </w:rPr>
  </w:style>
  <w:style w:type="character" w:customStyle="1" w:styleId="apple-style-span">
    <w:name w:val="apple-style-span"/>
    <w:uiPriority w:val="99"/>
    <w:rsid w:val="00F276E4"/>
    <w:rPr>
      <w:rFonts w:cs="Times New Roman"/>
    </w:rPr>
  </w:style>
  <w:style w:type="paragraph" w:customStyle="1" w:styleId="StyleHeading2TimesNewRomanNotBoldUnderlineAfter6pt">
    <w:name w:val="Style Heading 2 + Times New Roman Not Bold Underline After:  6 pt"/>
    <w:basedOn w:val="Heading2"/>
    <w:autoRedefine/>
    <w:uiPriority w:val="99"/>
    <w:rsid w:val="00F276E4"/>
    <w:pPr>
      <w:keepLines w:val="0"/>
      <w:spacing w:before="120" w:after="120"/>
      <w:jc w:val="center"/>
    </w:pPr>
    <w:rPr>
      <w:rFonts w:ascii="Times New Roman" w:hAnsi="Times New Roman"/>
      <w:bCs w:val="0"/>
      <w:iCs/>
      <w:color w:val="000000"/>
      <w:sz w:val="24"/>
      <w:szCs w:val="24"/>
    </w:rPr>
  </w:style>
  <w:style w:type="paragraph" w:customStyle="1" w:styleId="CharCharCharChar">
    <w:name w:val="Char Char Char Char"/>
    <w:basedOn w:val="Normal"/>
    <w:uiPriority w:val="99"/>
    <w:rsid w:val="00F276E4"/>
    <w:pPr>
      <w:spacing w:after="160" w:line="240" w:lineRule="exact"/>
      <w:jc w:val="left"/>
    </w:pPr>
    <w:rPr>
      <w:rFonts w:ascii="Tahoma" w:eastAsia="Times New Roman" w:hAnsi="Tahoma"/>
      <w:sz w:val="20"/>
      <w:szCs w:val="20"/>
      <w:lang w:val="en-US"/>
    </w:rPr>
  </w:style>
  <w:style w:type="character" w:customStyle="1" w:styleId="longtext">
    <w:name w:val="long_text"/>
    <w:uiPriority w:val="99"/>
    <w:rsid w:val="00F276E4"/>
    <w:rPr>
      <w:rFonts w:cs="Times New Roman"/>
    </w:rPr>
  </w:style>
  <w:style w:type="character" w:customStyle="1" w:styleId="hps">
    <w:name w:val="hps"/>
    <w:uiPriority w:val="99"/>
    <w:rsid w:val="00F276E4"/>
    <w:rPr>
      <w:rFonts w:cs="Times New Roman"/>
    </w:rPr>
  </w:style>
  <w:style w:type="table" w:customStyle="1" w:styleId="TableGrid1">
    <w:name w:val="Table Grid1"/>
    <w:uiPriority w:val="99"/>
    <w:rsid w:val="00F276E4"/>
    <w:rPr>
      <w:rFonts w:ascii="Times New Roman" w:eastAsia="Batang"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722CC6"/>
    <w:pPr>
      <w:pBdr>
        <w:bottom w:val="single" w:sz="8" w:space="4" w:color="FE8637" w:themeColor="accent1"/>
      </w:pBdr>
      <w:spacing w:after="300"/>
      <w:contextualSpacing/>
    </w:pPr>
    <w:rPr>
      <w:rFonts w:asciiTheme="majorHAnsi" w:eastAsiaTheme="majorEastAsia" w:hAnsiTheme="majorHAnsi" w:cstheme="majorBidi"/>
      <w:color w:val="852010"/>
      <w:spacing w:val="5"/>
      <w:kern w:val="28"/>
      <w:sz w:val="52"/>
      <w:szCs w:val="52"/>
    </w:rPr>
  </w:style>
  <w:style w:type="character" w:customStyle="1" w:styleId="TitleChar">
    <w:name w:val="Title Char"/>
    <w:basedOn w:val="DefaultParagraphFont"/>
    <w:link w:val="Title"/>
    <w:uiPriority w:val="10"/>
    <w:locked/>
    <w:rsid w:val="00722CC6"/>
    <w:rPr>
      <w:rFonts w:asciiTheme="majorHAnsi" w:eastAsiaTheme="majorEastAsia" w:hAnsiTheme="majorHAnsi" w:cstheme="majorBidi"/>
      <w:color w:val="852010"/>
      <w:spacing w:val="5"/>
      <w:kern w:val="28"/>
      <w:sz w:val="52"/>
      <w:szCs w:val="52"/>
    </w:rPr>
  </w:style>
  <w:style w:type="paragraph" w:customStyle="1" w:styleId="CharCharCharCharCharChar0">
    <w:name w:val="Char Char Char Char Char Char"/>
    <w:basedOn w:val="Normal"/>
    <w:uiPriority w:val="99"/>
    <w:rsid w:val="00F276E4"/>
    <w:pPr>
      <w:spacing w:before="120" w:after="160" w:line="240" w:lineRule="exact"/>
      <w:jc w:val="left"/>
    </w:pPr>
    <w:rPr>
      <w:rFonts w:ascii="Tahoma" w:eastAsia="Times New Roman" w:hAnsi="Tahoma"/>
      <w:sz w:val="20"/>
      <w:szCs w:val="20"/>
      <w:lang w:val="en-US"/>
    </w:rPr>
  </w:style>
  <w:style w:type="paragraph" w:customStyle="1" w:styleId="Char">
    <w:name w:val="Char"/>
    <w:basedOn w:val="Normal"/>
    <w:uiPriority w:val="99"/>
    <w:rsid w:val="00F276E4"/>
    <w:pPr>
      <w:spacing w:after="160" w:line="240" w:lineRule="exact"/>
      <w:jc w:val="left"/>
    </w:pPr>
    <w:rPr>
      <w:rFonts w:ascii="Tahoma" w:eastAsia="Times New Roman" w:hAnsi="Tahoma"/>
      <w:sz w:val="20"/>
      <w:szCs w:val="20"/>
      <w:lang w:val="en-US"/>
    </w:rPr>
  </w:style>
  <w:style w:type="paragraph" w:styleId="BodyText2">
    <w:name w:val="Body Text 2"/>
    <w:basedOn w:val="Normal"/>
    <w:link w:val="BodyText2Char"/>
    <w:uiPriority w:val="99"/>
    <w:rsid w:val="00F276E4"/>
    <w:pPr>
      <w:spacing w:after="120" w:line="480" w:lineRule="auto"/>
    </w:pPr>
    <w:rPr>
      <w:rFonts w:eastAsia="Times New Roman"/>
    </w:rPr>
  </w:style>
  <w:style w:type="character" w:customStyle="1" w:styleId="BodyText2Char">
    <w:name w:val="Body Text 2 Char"/>
    <w:link w:val="BodyText2"/>
    <w:uiPriority w:val="99"/>
    <w:locked/>
    <w:rsid w:val="00F276E4"/>
    <w:rPr>
      <w:rFonts w:ascii="Calibri" w:hAnsi="Calibri" w:cs="Times New Roman"/>
    </w:rPr>
  </w:style>
  <w:style w:type="paragraph" w:customStyle="1" w:styleId="Text1">
    <w:name w:val="Text 1"/>
    <w:basedOn w:val="Normal"/>
    <w:uiPriority w:val="99"/>
    <w:rsid w:val="00F276E4"/>
    <w:pPr>
      <w:spacing w:before="120" w:after="120"/>
      <w:ind w:left="850"/>
    </w:pPr>
    <w:rPr>
      <w:rFonts w:eastAsia="Times New Roman"/>
      <w:szCs w:val="24"/>
    </w:rPr>
  </w:style>
  <w:style w:type="paragraph" w:styleId="BodyText3">
    <w:name w:val="Body Text 3"/>
    <w:basedOn w:val="Normal"/>
    <w:link w:val="BodyText3Char"/>
    <w:uiPriority w:val="99"/>
    <w:rsid w:val="00F276E4"/>
    <w:pPr>
      <w:spacing w:after="120"/>
    </w:pPr>
    <w:rPr>
      <w:rFonts w:eastAsia="Times New Roman"/>
      <w:sz w:val="16"/>
      <w:szCs w:val="16"/>
    </w:rPr>
  </w:style>
  <w:style w:type="character" w:customStyle="1" w:styleId="BodyText3Char">
    <w:name w:val="Body Text 3 Char"/>
    <w:link w:val="BodyText3"/>
    <w:uiPriority w:val="99"/>
    <w:locked/>
    <w:rsid w:val="00F276E4"/>
    <w:rPr>
      <w:rFonts w:ascii="Calibri" w:hAnsi="Calibri" w:cs="Times New Roman"/>
      <w:sz w:val="16"/>
      <w:szCs w:val="16"/>
    </w:rPr>
  </w:style>
  <w:style w:type="paragraph" w:styleId="BodyTextIndent2">
    <w:name w:val="Body Text Indent 2"/>
    <w:basedOn w:val="Normal"/>
    <w:link w:val="BodyTextIndent2Char"/>
    <w:uiPriority w:val="99"/>
    <w:semiHidden/>
    <w:rsid w:val="000C1C21"/>
    <w:pPr>
      <w:spacing w:after="120" w:line="480" w:lineRule="auto"/>
      <w:ind w:left="283"/>
    </w:pPr>
  </w:style>
  <w:style w:type="character" w:customStyle="1" w:styleId="BodyTextIndent2Char">
    <w:name w:val="Body Text Indent 2 Char"/>
    <w:link w:val="BodyTextIndent2"/>
    <w:uiPriority w:val="99"/>
    <w:semiHidden/>
    <w:locked/>
    <w:rsid w:val="000C1C21"/>
    <w:rPr>
      <w:rFonts w:cs="Times New Roman"/>
    </w:rPr>
  </w:style>
  <w:style w:type="paragraph" w:styleId="Revision">
    <w:name w:val="Revision"/>
    <w:hidden/>
    <w:uiPriority w:val="99"/>
    <w:semiHidden/>
    <w:rsid w:val="00520004"/>
    <w:rPr>
      <w:lang w:eastAsia="en-US"/>
    </w:rPr>
  </w:style>
  <w:style w:type="paragraph" w:styleId="PlainText">
    <w:name w:val="Plain Text"/>
    <w:basedOn w:val="Normal"/>
    <w:link w:val="PlainTextChar"/>
    <w:uiPriority w:val="99"/>
    <w:semiHidden/>
    <w:locked/>
    <w:rsid w:val="00F6335A"/>
    <w:pPr>
      <w:spacing w:after="0"/>
      <w:jc w:val="left"/>
    </w:pPr>
    <w:rPr>
      <w:szCs w:val="21"/>
    </w:rPr>
  </w:style>
  <w:style w:type="character" w:customStyle="1" w:styleId="PlainTextChar">
    <w:name w:val="Plain Text Char"/>
    <w:link w:val="PlainText"/>
    <w:uiPriority w:val="99"/>
    <w:semiHidden/>
    <w:locked/>
    <w:rsid w:val="00F6335A"/>
    <w:rPr>
      <w:rFonts w:eastAsia="Times New Roman" w:cs="Times New Roman"/>
      <w:sz w:val="21"/>
      <w:szCs w:val="21"/>
      <w:lang w:eastAsia="en-US"/>
    </w:rPr>
  </w:style>
  <w:style w:type="table" w:styleId="ColorfulList">
    <w:name w:val="Colorful List"/>
    <w:basedOn w:val="TableNormal"/>
    <w:uiPriority w:val="72"/>
    <w:rsid w:val="00255A71"/>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LightShading">
    <w:name w:val="Light Shading"/>
    <w:basedOn w:val="TableNormal"/>
    <w:uiPriority w:val="60"/>
    <w:rsid w:val="00CF5B4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MediumGrid2-Accent42">
    <w:name w:val="Medium Grid 2 - Accent 42"/>
    <w:basedOn w:val="TableNormal"/>
    <w:next w:val="MediumGrid2-Accent4"/>
    <w:uiPriority w:val="68"/>
    <w:rsid w:val="008F4683"/>
    <w:rPr>
      <w:rFonts w:ascii="Cambria" w:eastAsia="Times New Roman" w:hAnsi="Cambria"/>
      <w:color w:val="000000"/>
      <w:lang w:val="en-US" w:eastAsia="ja-JP"/>
    </w:rPr>
    <w:tblPr>
      <w:tblStyleRowBandSize w:val="1"/>
      <w:tblStyleColBandSize w:val="1"/>
      <w:tblBorders>
        <w:top w:val="single" w:sz="8" w:space="0" w:color="838383"/>
        <w:left w:val="single" w:sz="8" w:space="0" w:color="838383"/>
        <w:bottom w:val="single" w:sz="8" w:space="0" w:color="838383"/>
        <w:right w:val="single" w:sz="8" w:space="0" w:color="838383"/>
        <w:insideH w:val="single" w:sz="8" w:space="0" w:color="838383"/>
        <w:insideV w:val="single" w:sz="8" w:space="0" w:color="838383"/>
      </w:tblBorders>
    </w:tblPr>
    <w:tcPr>
      <w:shd w:val="clear" w:color="auto" w:fill="E0E0E0"/>
    </w:tcPr>
    <w:tblStylePr w:type="firstRow">
      <w:rPr>
        <w:b/>
        <w:bCs/>
        <w:color w:val="000000"/>
      </w:rPr>
      <w:tblPr/>
      <w:tcPr>
        <w:shd w:val="clear" w:color="auto" w:fill="F2F2F2"/>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6E6E6"/>
      </w:tcPr>
    </w:tblStylePr>
    <w:tblStylePr w:type="band1Vert">
      <w:tblPr/>
      <w:tcPr>
        <w:shd w:val="clear" w:color="auto" w:fill="C1C1C1"/>
      </w:tcPr>
    </w:tblStylePr>
    <w:tblStylePr w:type="band1Horz">
      <w:tblPr/>
      <w:tcPr>
        <w:tcBorders>
          <w:insideH w:val="single" w:sz="6" w:space="0" w:color="838383"/>
          <w:insideV w:val="single" w:sz="6" w:space="0" w:color="838383"/>
        </w:tcBorders>
        <w:shd w:val="clear" w:color="auto" w:fill="C1C1C1"/>
      </w:tcPr>
    </w:tblStylePr>
    <w:tblStylePr w:type="nwCell">
      <w:tblPr/>
      <w:tcPr>
        <w:shd w:val="clear" w:color="auto" w:fill="FFFFFF"/>
      </w:tcPr>
    </w:tblStylePr>
  </w:style>
  <w:style w:type="table" w:styleId="MediumGrid2-Accent4">
    <w:name w:val="Medium Grid 2 Accent 4"/>
    <w:basedOn w:val="TableNormal"/>
    <w:uiPriority w:val="68"/>
    <w:rsid w:val="008F4683"/>
    <w:rPr>
      <w:rFonts w:ascii="Cambria" w:eastAsia="Times New Roman" w:hAnsi="Cambria"/>
      <w:color w:val="00000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MediumGrid2-Accent41">
    <w:name w:val="Medium Grid 2 - Accent 41"/>
    <w:basedOn w:val="TableNormal"/>
    <w:next w:val="MediumGrid2-Accent4"/>
    <w:uiPriority w:val="68"/>
    <w:rsid w:val="008F4683"/>
    <w:rPr>
      <w:rFonts w:ascii="Cambria" w:eastAsia="Times New Roman" w:hAnsi="Cambria"/>
      <w:color w:val="000000"/>
      <w:lang w:val="en-US" w:eastAsia="ja-JP"/>
    </w:rPr>
    <w:tblPr>
      <w:tblStyleRowBandSize w:val="1"/>
      <w:tblStyleColBandSize w:val="1"/>
      <w:tblBorders>
        <w:top w:val="single" w:sz="8" w:space="0" w:color="838383"/>
        <w:left w:val="single" w:sz="8" w:space="0" w:color="838383"/>
        <w:bottom w:val="single" w:sz="8" w:space="0" w:color="838383"/>
        <w:right w:val="single" w:sz="8" w:space="0" w:color="838383"/>
        <w:insideH w:val="single" w:sz="8" w:space="0" w:color="838383"/>
        <w:insideV w:val="single" w:sz="8" w:space="0" w:color="838383"/>
      </w:tblBorders>
    </w:tblPr>
    <w:tcPr>
      <w:shd w:val="clear" w:color="auto" w:fill="E0E0E0"/>
    </w:tcPr>
    <w:tblStylePr w:type="firstRow">
      <w:rPr>
        <w:b/>
        <w:bCs/>
        <w:color w:val="000000"/>
      </w:rPr>
      <w:tblPr/>
      <w:tcPr>
        <w:shd w:val="clear" w:color="auto" w:fill="F2F2F2"/>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6E6E6"/>
      </w:tcPr>
    </w:tblStylePr>
    <w:tblStylePr w:type="band1Vert">
      <w:tblPr/>
      <w:tcPr>
        <w:shd w:val="clear" w:color="auto" w:fill="C1C1C1"/>
      </w:tcPr>
    </w:tblStylePr>
    <w:tblStylePr w:type="band1Horz">
      <w:tblPr/>
      <w:tcPr>
        <w:tcBorders>
          <w:insideH w:val="single" w:sz="6" w:space="0" w:color="838383"/>
          <w:insideV w:val="single" w:sz="6" w:space="0" w:color="838383"/>
        </w:tcBorders>
        <w:shd w:val="clear" w:color="auto" w:fill="C1C1C1"/>
      </w:tcPr>
    </w:tblStylePr>
    <w:tblStylePr w:type="nwCell">
      <w:tblPr/>
      <w:tcPr>
        <w:shd w:val="clear" w:color="auto" w:fill="FFFFFF"/>
      </w:tcPr>
    </w:tblStylePr>
  </w:style>
  <w:style w:type="table" w:customStyle="1" w:styleId="LightShading-Accent61">
    <w:name w:val="Light Shading - Accent 61"/>
    <w:basedOn w:val="TableNormal"/>
    <w:next w:val="LightShading-Accent6"/>
    <w:uiPriority w:val="99"/>
    <w:rsid w:val="00C173C4"/>
    <w:rPr>
      <w:rFonts w:eastAsia="MS Mincho"/>
      <w:color w:val="000000"/>
      <w:lang w:val="en-GB" w:eastAsia="en-GB" w:bidi="en-GB"/>
    </w:rPr>
    <w:tblPr>
      <w:tblStyleRowBandSize w:val="1"/>
      <w:tblStyleColBandSize w:val="1"/>
      <w:tblInd w:w="113" w:type="dxa"/>
      <w:tblBorders>
        <w:top w:val="single" w:sz="8" w:space="0" w:color="777C84"/>
        <w:bottom w:val="single" w:sz="8" w:space="0" w:color="777C84"/>
      </w:tblBorders>
    </w:tblPr>
    <w:tblStylePr w:type="firstRow">
      <w:pPr>
        <w:spacing w:before="0" w:after="0" w:line="240" w:lineRule="auto"/>
      </w:pPr>
      <w:rPr>
        <w:b/>
        <w:bCs/>
      </w:rPr>
      <w:tblPr/>
      <w:tcPr>
        <w:tcBorders>
          <w:top w:val="single" w:sz="8" w:space="0" w:color="777C84"/>
          <w:left w:val="nil"/>
          <w:bottom w:val="single" w:sz="8" w:space="0" w:color="777C84"/>
          <w:right w:val="nil"/>
          <w:insideH w:val="nil"/>
          <w:insideV w:val="nil"/>
        </w:tcBorders>
      </w:tcPr>
    </w:tblStylePr>
    <w:tblStylePr w:type="lastRow">
      <w:pPr>
        <w:spacing w:before="0" w:after="0" w:line="240" w:lineRule="auto"/>
      </w:pPr>
      <w:rPr>
        <w:b/>
        <w:bCs/>
      </w:rPr>
      <w:tblPr/>
      <w:tcPr>
        <w:tcBorders>
          <w:top w:val="single" w:sz="8" w:space="0" w:color="777C84"/>
          <w:left w:val="nil"/>
          <w:bottom w:val="single" w:sz="8" w:space="0" w:color="777C8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DDEE0"/>
      </w:tcPr>
    </w:tblStylePr>
    <w:tblStylePr w:type="band1Horz">
      <w:tblPr/>
      <w:tcPr>
        <w:tcBorders>
          <w:left w:val="nil"/>
          <w:right w:val="nil"/>
          <w:insideH w:val="nil"/>
          <w:insideV w:val="nil"/>
        </w:tcBorders>
        <w:shd w:val="clear" w:color="auto" w:fill="DDDEE0"/>
      </w:tcPr>
    </w:tblStylePr>
  </w:style>
  <w:style w:type="table" w:styleId="LightShading-Accent6">
    <w:name w:val="Light Shading Accent 6"/>
    <w:basedOn w:val="TableNormal"/>
    <w:uiPriority w:val="60"/>
    <w:rsid w:val="00C173C4"/>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1-Accent21">
    <w:name w:val="Medium Shading 1 - Accent 21"/>
    <w:basedOn w:val="TableNormal"/>
    <w:next w:val="MediumShading1-Accent2"/>
    <w:uiPriority w:val="63"/>
    <w:rsid w:val="004912A3"/>
    <w:rPr>
      <w:rFonts w:eastAsia="Times New Roman"/>
    </w:rPr>
    <w:tblPr>
      <w:tblStyleRowBandSize w:val="1"/>
      <w:tblStyleColBandSize w:val="1"/>
      <w:tblBorders>
        <w:top w:val="single" w:sz="8" w:space="0" w:color="73A2DE"/>
        <w:left w:val="single" w:sz="8" w:space="0" w:color="73A2DE"/>
        <w:bottom w:val="single" w:sz="8" w:space="0" w:color="73A2DE"/>
        <w:right w:val="single" w:sz="8" w:space="0" w:color="73A2DE"/>
        <w:insideH w:val="single" w:sz="8" w:space="0" w:color="73A2DE"/>
      </w:tblBorders>
    </w:tblPr>
    <w:tblStylePr w:type="firstRow">
      <w:pPr>
        <w:spacing w:before="0" w:after="0" w:line="240" w:lineRule="auto"/>
      </w:pPr>
      <w:rPr>
        <w:b/>
        <w:bCs/>
        <w:color w:val="FFFFFF"/>
      </w:rPr>
      <w:tblPr/>
      <w:tcPr>
        <w:tcBorders>
          <w:top w:val="single" w:sz="8" w:space="0" w:color="73A2DE"/>
          <w:left w:val="single" w:sz="8" w:space="0" w:color="73A2DE"/>
          <w:bottom w:val="single" w:sz="8" w:space="0" w:color="73A2DE"/>
          <w:right w:val="single" w:sz="8" w:space="0" w:color="73A2DE"/>
          <w:insideH w:val="nil"/>
          <w:insideV w:val="nil"/>
        </w:tcBorders>
        <w:shd w:val="clear" w:color="auto" w:fill="4584D3"/>
      </w:tcPr>
    </w:tblStylePr>
    <w:tblStylePr w:type="lastRow">
      <w:pPr>
        <w:spacing w:before="0" w:after="0" w:line="240" w:lineRule="auto"/>
      </w:pPr>
      <w:rPr>
        <w:b/>
        <w:bCs/>
      </w:rPr>
      <w:tblPr/>
      <w:tcPr>
        <w:tcBorders>
          <w:top w:val="double" w:sz="6" w:space="0" w:color="73A2DE"/>
          <w:left w:val="single" w:sz="8" w:space="0" w:color="73A2DE"/>
          <w:bottom w:val="single" w:sz="8" w:space="0" w:color="73A2DE"/>
          <w:right w:val="single" w:sz="8" w:space="0" w:color="73A2DE"/>
          <w:insideH w:val="nil"/>
          <w:insideV w:val="nil"/>
        </w:tcBorders>
      </w:tcPr>
    </w:tblStylePr>
    <w:tblStylePr w:type="firstCol">
      <w:rPr>
        <w:b/>
        <w:bCs/>
      </w:rPr>
    </w:tblStylePr>
    <w:tblStylePr w:type="lastCol">
      <w:rPr>
        <w:b/>
        <w:bCs/>
      </w:rPr>
    </w:tblStylePr>
    <w:tblStylePr w:type="band1Vert">
      <w:tblPr/>
      <w:tcPr>
        <w:shd w:val="clear" w:color="auto" w:fill="D0E0F4"/>
      </w:tcPr>
    </w:tblStylePr>
    <w:tblStylePr w:type="band1Horz">
      <w:tblPr/>
      <w:tcPr>
        <w:tcBorders>
          <w:insideH w:val="nil"/>
          <w:insideV w:val="nil"/>
        </w:tcBorders>
        <w:shd w:val="clear" w:color="auto" w:fill="D0E0F4"/>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4912A3"/>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TableGrid2">
    <w:name w:val="Table Grid2"/>
    <w:basedOn w:val="TableNormal"/>
    <w:next w:val="TableGrid"/>
    <w:uiPriority w:val="59"/>
    <w:rsid w:val="00A32DD1"/>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805054"/>
  </w:style>
  <w:style w:type="paragraph" w:styleId="EndnoteText">
    <w:name w:val="endnote text"/>
    <w:basedOn w:val="Normal"/>
    <w:link w:val="EndnoteTextChar"/>
    <w:locked/>
    <w:rsid w:val="007B50A6"/>
    <w:rPr>
      <w:rFonts w:eastAsia="Batang"/>
      <w:sz w:val="20"/>
      <w:szCs w:val="20"/>
    </w:rPr>
  </w:style>
  <w:style w:type="character" w:customStyle="1" w:styleId="EndnoteTextChar">
    <w:name w:val="Endnote Text Char"/>
    <w:link w:val="EndnoteText"/>
    <w:rsid w:val="007B50A6"/>
    <w:rPr>
      <w:rFonts w:eastAsia="Batang"/>
      <w:lang w:eastAsia="en-US"/>
    </w:rPr>
  </w:style>
  <w:style w:type="character" w:styleId="EndnoteReference">
    <w:name w:val="endnote reference"/>
    <w:locked/>
    <w:rsid w:val="007B50A6"/>
    <w:rPr>
      <w:vertAlign w:val="superscript"/>
    </w:rPr>
  </w:style>
  <w:style w:type="table" w:customStyle="1" w:styleId="MediumShading1-Accent211">
    <w:name w:val="Medium Shading 1 - Accent 211"/>
    <w:basedOn w:val="TableNormal"/>
    <w:next w:val="MediumShading1-Accent2"/>
    <w:uiPriority w:val="63"/>
    <w:rsid w:val="00600F10"/>
    <w:rPr>
      <w:rFonts w:eastAsia="Times New Roman"/>
    </w:rPr>
    <w:tblPr>
      <w:tblStyleRowBandSize w:val="1"/>
      <w:tblStyleColBandSize w:val="1"/>
      <w:tblBorders>
        <w:top w:val="single" w:sz="8" w:space="0" w:color="73A2DE"/>
        <w:left w:val="single" w:sz="8" w:space="0" w:color="73A2DE"/>
        <w:bottom w:val="single" w:sz="8" w:space="0" w:color="73A2DE"/>
        <w:right w:val="single" w:sz="8" w:space="0" w:color="73A2DE"/>
        <w:insideH w:val="single" w:sz="8" w:space="0" w:color="73A2DE"/>
      </w:tblBorders>
    </w:tblPr>
    <w:tblStylePr w:type="firstRow">
      <w:pPr>
        <w:spacing w:before="0" w:after="0" w:line="240" w:lineRule="auto"/>
      </w:pPr>
      <w:rPr>
        <w:b/>
        <w:bCs/>
        <w:color w:val="FFFFFF"/>
      </w:rPr>
      <w:tblPr/>
      <w:tcPr>
        <w:tcBorders>
          <w:top w:val="single" w:sz="8" w:space="0" w:color="73A2DE"/>
          <w:left w:val="single" w:sz="8" w:space="0" w:color="73A2DE"/>
          <w:bottom w:val="single" w:sz="8" w:space="0" w:color="73A2DE"/>
          <w:right w:val="single" w:sz="8" w:space="0" w:color="73A2DE"/>
          <w:insideH w:val="nil"/>
          <w:insideV w:val="nil"/>
        </w:tcBorders>
        <w:shd w:val="clear" w:color="auto" w:fill="4584D3"/>
      </w:tcPr>
    </w:tblStylePr>
    <w:tblStylePr w:type="lastRow">
      <w:pPr>
        <w:spacing w:before="0" w:after="0" w:line="240" w:lineRule="auto"/>
      </w:pPr>
      <w:rPr>
        <w:b/>
        <w:bCs/>
      </w:rPr>
      <w:tblPr/>
      <w:tcPr>
        <w:tcBorders>
          <w:top w:val="double" w:sz="6" w:space="0" w:color="73A2DE"/>
          <w:left w:val="single" w:sz="8" w:space="0" w:color="73A2DE"/>
          <w:bottom w:val="single" w:sz="8" w:space="0" w:color="73A2DE"/>
          <w:right w:val="single" w:sz="8" w:space="0" w:color="73A2DE"/>
          <w:insideH w:val="nil"/>
          <w:insideV w:val="nil"/>
        </w:tcBorders>
      </w:tcPr>
    </w:tblStylePr>
    <w:tblStylePr w:type="firstCol">
      <w:rPr>
        <w:b/>
        <w:bCs/>
      </w:rPr>
    </w:tblStylePr>
    <w:tblStylePr w:type="lastCol">
      <w:rPr>
        <w:b/>
        <w:bCs/>
      </w:rPr>
    </w:tblStylePr>
    <w:tblStylePr w:type="band1Vert">
      <w:tblPr/>
      <w:tcPr>
        <w:shd w:val="clear" w:color="auto" w:fill="D0E0F4"/>
      </w:tcPr>
    </w:tblStylePr>
    <w:tblStylePr w:type="band1Horz">
      <w:tblPr/>
      <w:tcPr>
        <w:tcBorders>
          <w:insideH w:val="nil"/>
          <w:insideV w:val="nil"/>
        </w:tcBorders>
        <w:shd w:val="clear" w:color="auto" w:fill="D0E0F4"/>
      </w:tcPr>
    </w:tblStylePr>
    <w:tblStylePr w:type="band2Horz">
      <w:tblPr/>
      <w:tcPr>
        <w:tcBorders>
          <w:insideH w:val="nil"/>
          <w:insideV w:val="nil"/>
        </w:tcBorders>
      </w:tcPr>
    </w:tblStylePr>
  </w:style>
  <w:style w:type="paragraph" w:styleId="TableofFigures">
    <w:name w:val="table of figures"/>
    <w:basedOn w:val="Normal"/>
    <w:next w:val="Normal"/>
    <w:uiPriority w:val="99"/>
    <w:unhideWhenUsed/>
    <w:locked/>
    <w:rsid w:val="002A07D8"/>
    <w:pPr>
      <w:spacing w:after="0"/>
    </w:pPr>
    <w:rPr>
      <w:rFonts w:eastAsia="Times New Roman"/>
      <w:lang w:eastAsia="en-GB"/>
    </w:rPr>
  </w:style>
  <w:style w:type="table" w:customStyle="1" w:styleId="TableGrid3">
    <w:name w:val="Table Grid3"/>
    <w:basedOn w:val="TableNormal"/>
    <w:next w:val="TableGrid"/>
    <w:uiPriority w:val="59"/>
    <w:rsid w:val="00CB3259"/>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CB3259"/>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graf">
    <w:name w:val="text_graf"/>
    <w:basedOn w:val="Normal"/>
    <w:qFormat/>
    <w:rsid w:val="00A52E2F"/>
    <w:pPr>
      <w:spacing w:after="60"/>
      <w:ind w:left="567"/>
    </w:pPr>
    <w:rPr>
      <w:sz w:val="20"/>
    </w:rPr>
  </w:style>
  <w:style w:type="paragraph" w:customStyle="1" w:styleId="Source0">
    <w:name w:val="Source"/>
    <w:basedOn w:val="Normal"/>
    <w:qFormat/>
    <w:rsid w:val="00BA381C"/>
    <w:pPr>
      <w:spacing w:before="60"/>
      <w:jc w:val="right"/>
    </w:pPr>
    <w:rPr>
      <w:rFonts w:eastAsia="Times New Roman"/>
      <w:sz w:val="20"/>
    </w:rPr>
  </w:style>
  <w:style w:type="paragraph" w:customStyle="1" w:styleId="texttable">
    <w:name w:val="text_table"/>
    <w:basedOn w:val="Normal"/>
    <w:qFormat/>
    <w:rsid w:val="00A52E2F"/>
    <w:pPr>
      <w:spacing w:before="40" w:after="40"/>
      <w:jc w:val="left"/>
    </w:pPr>
    <w:rPr>
      <w:rFonts w:eastAsia="Times New Roman"/>
      <w:bCs/>
      <w:sz w:val="20"/>
      <w:szCs w:val="20"/>
    </w:rPr>
  </w:style>
  <w:style w:type="paragraph" w:customStyle="1" w:styleId="a">
    <w:name w:val="Първи ред"/>
    <w:basedOn w:val="Normal"/>
    <w:qFormat/>
    <w:rsid w:val="00A52E2F"/>
    <w:pPr>
      <w:ind w:firstLine="578"/>
    </w:pPr>
    <w:rPr>
      <w:rFonts w:eastAsia="Times New Roman"/>
      <w:lang w:eastAsia="zh-CN"/>
    </w:rPr>
  </w:style>
  <w:style w:type="character" w:customStyle="1" w:styleId="Heading5Char">
    <w:name w:val="Heading 5 Char"/>
    <w:basedOn w:val="DefaultParagraphFont"/>
    <w:link w:val="Heading5"/>
    <w:uiPriority w:val="9"/>
    <w:rsid w:val="00B661BF"/>
    <w:rPr>
      <w:rFonts w:asciiTheme="majorHAnsi" w:eastAsiaTheme="majorEastAsia" w:hAnsiTheme="majorHAnsi" w:cstheme="majorBidi"/>
      <w:b/>
      <w:i/>
      <w:sz w:val="24"/>
    </w:rPr>
  </w:style>
  <w:style w:type="character" w:customStyle="1" w:styleId="Heading6Char">
    <w:name w:val="Heading 6 Char"/>
    <w:basedOn w:val="DefaultParagraphFont"/>
    <w:link w:val="Heading6"/>
    <w:uiPriority w:val="9"/>
    <w:rsid w:val="00FC2F83"/>
    <w:rPr>
      <w:rFonts w:ascii="Times New Roman" w:eastAsia="Times New Roman" w:hAnsi="Times New Roman"/>
      <w:b/>
      <w:color w:val="852010" w:themeColor="accent3" w:themeShade="BF"/>
      <w:sz w:val="24"/>
    </w:rPr>
  </w:style>
  <w:style w:type="character" w:customStyle="1" w:styleId="Heading7Char">
    <w:name w:val="Heading 7 Char"/>
    <w:basedOn w:val="DefaultParagraphFont"/>
    <w:link w:val="Heading7"/>
    <w:uiPriority w:val="9"/>
    <w:rsid w:val="00A52E2F"/>
    <w:rPr>
      <w:rFonts w:asciiTheme="majorHAnsi" w:eastAsiaTheme="majorEastAsia" w:hAnsiTheme="majorHAnsi" w:cstheme="majorBidi"/>
      <w:i/>
      <w:iCs/>
      <w:sz w:val="24"/>
    </w:rPr>
  </w:style>
  <w:style w:type="character" w:customStyle="1" w:styleId="Heading8Char">
    <w:name w:val="Heading 8 Char"/>
    <w:basedOn w:val="DefaultParagraphFont"/>
    <w:link w:val="Heading8"/>
    <w:uiPriority w:val="9"/>
    <w:rsid w:val="00A52E2F"/>
    <w:rPr>
      <w:rFonts w:asciiTheme="majorHAnsi" w:eastAsiaTheme="majorEastAsia" w:hAnsiTheme="majorHAnsi" w:cstheme="majorBidi"/>
      <w:color w:val="FE8637" w:themeColor="accent1"/>
      <w:sz w:val="20"/>
      <w:szCs w:val="20"/>
    </w:rPr>
  </w:style>
  <w:style w:type="character" w:customStyle="1" w:styleId="Heading9Char">
    <w:name w:val="Heading 9 Char"/>
    <w:basedOn w:val="DefaultParagraphFont"/>
    <w:link w:val="Heading9"/>
    <w:uiPriority w:val="9"/>
    <w:semiHidden/>
    <w:rsid w:val="00A52E2F"/>
    <w:rPr>
      <w:rFonts w:asciiTheme="majorHAnsi" w:eastAsiaTheme="majorEastAsia" w:hAnsiTheme="majorHAnsi" w:cstheme="majorBidi"/>
      <w:i/>
      <w:iCs/>
      <w:sz w:val="20"/>
      <w:szCs w:val="20"/>
    </w:rPr>
  </w:style>
  <w:style w:type="paragraph" w:styleId="Subtitle">
    <w:name w:val="Subtitle"/>
    <w:basedOn w:val="Normal"/>
    <w:next w:val="Normal"/>
    <w:link w:val="SubtitleChar"/>
    <w:uiPriority w:val="11"/>
    <w:qFormat/>
    <w:rsid w:val="00A52E2F"/>
    <w:pPr>
      <w:numPr>
        <w:ilvl w:val="1"/>
      </w:numPr>
    </w:pPr>
    <w:rPr>
      <w:rFonts w:asciiTheme="majorHAnsi" w:eastAsiaTheme="majorEastAsia" w:hAnsiTheme="majorHAnsi" w:cstheme="majorBidi"/>
      <w:i/>
      <w:iCs/>
      <w:color w:val="FE8637" w:themeColor="accent1"/>
      <w:spacing w:val="15"/>
      <w:szCs w:val="24"/>
    </w:rPr>
  </w:style>
  <w:style w:type="character" w:customStyle="1" w:styleId="SubtitleChar">
    <w:name w:val="Subtitle Char"/>
    <w:basedOn w:val="DefaultParagraphFont"/>
    <w:link w:val="Subtitle"/>
    <w:uiPriority w:val="11"/>
    <w:rsid w:val="00A52E2F"/>
    <w:rPr>
      <w:rFonts w:asciiTheme="majorHAnsi" w:eastAsiaTheme="majorEastAsia" w:hAnsiTheme="majorHAnsi" w:cstheme="majorBidi"/>
      <w:i/>
      <w:iCs/>
      <w:color w:val="FE8637" w:themeColor="accent1"/>
      <w:spacing w:val="15"/>
      <w:sz w:val="24"/>
      <w:szCs w:val="24"/>
    </w:rPr>
  </w:style>
  <w:style w:type="character" w:styleId="Strong">
    <w:name w:val="Strong"/>
    <w:basedOn w:val="DefaultParagraphFont"/>
    <w:qFormat/>
    <w:rsid w:val="00A52E2F"/>
    <w:rPr>
      <w:b/>
      <w:bCs/>
    </w:rPr>
  </w:style>
  <w:style w:type="paragraph" w:styleId="Quote">
    <w:name w:val="Quote"/>
    <w:basedOn w:val="Normal"/>
    <w:next w:val="Normal"/>
    <w:link w:val="QuoteChar"/>
    <w:uiPriority w:val="29"/>
    <w:qFormat/>
    <w:rsid w:val="00A52E2F"/>
    <w:rPr>
      <w:i/>
      <w:iCs/>
      <w:color w:val="000000" w:themeColor="text1"/>
      <w:sz w:val="22"/>
    </w:rPr>
  </w:style>
  <w:style w:type="character" w:customStyle="1" w:styleId="QuoteChar">
    <w:name w:val="Quote Char"/>
    <w:basedOn w:val="DefaultParagraphFont"/>
    <w:link w:val="Quote"/>
    <w:uiPriority w:val="29"/>
    <w:rsid w:val="00A52E2F"/>
    <w:rPr>
      <w:i/>
      <w:iCs/>
      <w:color w:val="000000" w:themeColor="text1"/>
    </w:rPr>
  </w:style>
  <w:style w:type="paragraph" w:styleId="IntenseQuote">
    <w:name w:val="Intense Quote"/>
    <w:basedOn w:val="Normal"/>
    <w:next w:val="Normal"/>
    <w:link w:val="IntenseQuoteChar"/>
    <w:uiPriority w:val="30"/>
    <w:qFormat/>
    <w:rsid w:val="00A52E2F"/>
    <w:pPr>
      <w:pBdr>
        <w:bottom w:val="single" w:sz="4" w:space="4" w:color="FE8637" w:themeColor="accent1"/>
      </w:pBdr>
      <w:spacing w:before="200" w:after="280"/>
      <w:ind w:left="936" w:right="936"/>
    </w:pPr>
    <w:rPr>
      <w:b/>
      <w:bCs/>
      <w:i/>
      <w:iCs/>
      <w:color w:val="FE8637" w:themeColor="accent1"/>
      <w:sz w:val="22"/>
    </w:rPr>
  </w:style>
  <w:style w:type="character" w:customStyle="1" w:styleId="IntenseQuoteChar">
    <w:name w:val="Intense Quote Char"/>
    <w:basedOn w:val="DefaultParagraphFont"/>
    <w:link w:val="IntenseQuote"/>
    <w:uiPriority w:val="30"/>
    <w:rsid w:val="00A52E2F"/>
    <w:rPr>
      <w:b/>
      <w:bCs/>
      <w:i/>
      <w:iCs/>
      <w:color w:val="FE8637" w:themeColor="accent1"/>
    </w:rPr>
  </w:style>
  <w:style w:type="character" w:styleId="SubtleEmphasis">
    <w:name w:val="Subtle Emphasis"/>
    <w:basedOn w:val="DefaultParagraphFont"/>
    <w:uiPriority w:val="19"/>
    <w:qFormat/>
    <w:rsid w:val="00A52E2F"/>
    <w:rPr>
      <w:i/>
      <w:iCs/>
      <w:color w:val="808080" w:themeColor="text1" w:themeTint="7F"/>
    </w:rPr>
  </w:style>
  <w:style w:type="character" w:styleId="IntenseEmphasis">
    <w:name w:val="Intense Emphasis"/>
    <w:basedOn w:val="DefaultParagraphFont"/>
    <w:uiPriority w:val="21"/>
    <w:qFormat/>
    <w:rsid w:val="00A52E2F"/>
    <w:rPr>
      <w:b/>
      <w:bCs/>
      <w:i/>
      <w:iCs/>
      <w:color w:val="FE8637" w:themeColor="accent1"/>
    </w:rPr>
  </w:style>
  <w:style w:type="character" w:styleId="SubtleReference">
    <w:name w:val="Subtle Reference"/>
    <w:basedOn w:val="DefaultParagraphFont"/>
    <w:uiPriority w:val="31"/>
    <w:qFormat/>
    <w:rsid w:val="00A52E2F"/>
    <w:rPr>
      <w:smallCaps/>
      <w:color w:val="7598D9" w:themeColor="accent2"/>
      <w:u w:val="single"/>
    </w:rPr>
  </w:style>
  <w:style w:type="character" w:styleId="IntenseReference">
    <w:name w:val="Intense Reference"/>
    <w:basedOn w:val="DefaultParagraphFont"/>
    <w:uiPriority w:val="32"/>
    <w:qFormat/>
    <w:rsid w:val="00A52E2F"/>
    <w:rPr>
      <w:b/>
      <w:bCs/>
      <w:smallCaps/>
      <w:color w:val="7598D9" w:themeColor="accent2"/>
      <w:spacing w:val="5"/>
      <w:u w:val="single"/>
    </w:rPr>
  </w:style>
  <w:style w:type="character" w:styleId="BookTitle">
    <w:name w:val="Book Title"/>
    <w:basedOn w:val="DefaultParagraphFont"/>
    <w:uiPriority w:val="33"/>
    <w:qFormat/>
    <w:rsid w:val="00A52E2F"/>
    <w:rPr>
      <w:b/>
      <w:bCs/>
      <w:smallCaps/>
      <w:spacing w:val="5"/>
    </w:rPr>
  </w:style>
  <w:style w:type="character" w:customStyle="1" w:styleId="ListParagraphChar">
    <w:name w:val="List Paragraph Char"/>
    <w:aliases w:val="Recommendatio Char,Párrafo de lista Char,Recommendation Char,OBC Bullet Char,Dot pt Char,F5 List Paragraph Char,No Spacing1 Char,List Paragraph Char Char Char Char,Indicator Text Char,Numbered Para 1 Char,Bullet 1 Char,L Char,3 Char"/>
    <w:link w:val="ListParagraph"/>
    <w:uiPriority w:val="34"/>
    <w:qFormat/>
    <w:locked/>
    <w:rsid w:val="00B03B34"/>
    <w:rPr>
      <w:rFonts w:ascii="Times New Roman" w:hAnsi="Times New Roman"/>
      <w:sz w:val="24"/>
    </w:rPr>
  </w:style>
  <w:style w:type="table" w:styleId="LightGrid-Accent1">
    <w:name w:val="Light Grid Accent 1"/>
    <w:basedOn w:val="TableNormal"/>
    <w:uiPriority w:val="62"/>
    <w:rsid w:val="006974DE"/>
    <w:pPr>
      <w:spacing w:after="0" w:line="240" w:lineRule="auto"/>
    </w:pPr>
    <w:tblPr>
      <w:tblStyleRowBandSize w:val="1"/>
      <w:tblStyleColBandSize w:val="1"/>
      <w:tblBorders>
        <w:top w:val="single" w:sz="8" w:space="0" w:color="FE8637" w:themeColor="accent1"/>
        <w:left w:val="single" w:sz="8" w:space="0" w:color="FE8637" w:themeColor="accent1"/>
        <w:bottom w:val="single" w:sz="8" w:space="0" w:color="FE8637" w:themeColor="accent1"/>
        <w:right w:val="single" w:sz="8" w:space="0" w:color="FE8637" w:themeColor="accent1"/>
        <w:insideH w:val="single" w:sz="8" w:space="0" w:color="FE8637" w:themeColor="accent1"/>
        <w:insideV w:val="single" w:sz="8" w:space="0" w:color="FE8637"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E8637" w:themeColor="accent1"/>
          <w:left w:val="single" w:sz="8" w:space="0" w:color="FE8637" w:themeColor="accent1"/>
          <w:bottom w:val="single" w:sz="18" w:space="0" w:color="FE8637" w:themeColor="accent1"/>
          <w:right w:val="single" w:sz="8" w:space="0" w:color="FE8637" w:themeColor="accent1"/>
          <w:insideH w:val="nil"/>
          <w:insideV w:val="single" w:sz="8" w:space="0" w:color="FE8637"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E8637" w:themeColor="accent1"/>
          <w:left w:val="single" w:sz="8" w:space="0" w:color="FE8637" w:themeColor="accent1"/>
          <w:bottom w:val="single" w:sz="8" w:space="0" w:color="FE8637" w:themeColor="accent1"/>
          <w:right w:val="single" w:sz="8" w:space="0" w:color="FE8637" w:themeColor="accent1"/>
          <w:insideH w:val="nil"/>
          <w:insideV w:val="single" w:sz="8" w:space="0" w:color="FE8637"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E8637" w:themeColor="accent1"/>
          <w:left w:val="single" w:sz="8" w:space="0" w:color="FE8637" w:themeColor="accent1"/>
          <w:bottom w:val="single" w:sz="8" w:space="0" w:color="FE8637" w:themeColor="accent1"/>
          <w:right w:val="single" w:sz="8" w:space="0" w:color="FE8637" w:themeColor="accent1"/>
        </w:tcBorders>
      </w:tcPr>
    </w:tblStylePr>
    <w:tblStylePr w:type="band1Vert">
      <w:tblPr/>
      <w:tcPr>
        <w:tcBorders>
          <w:top w:val="single" w:sz="8" w:space="0" w:color="FE8637" w:themeColor="accent1"/>
          <w:left w:val="single" w:sz="8" w:space="0" w:color="FE8637" w:themeColor="accent1"/>
          <w:bottom w:val="single" w:sz="8" w:space="0" w:color="FE8637" w:themeColor="accent1"/>
          <w:right w:val="single" w:sz="8" w:space="0" w:color="FE8637" w:themeColor="accent1"/>
        </w:tcBorders>
        <w:shd w:val="clear" w:color="auto" w:fill="FEE1CD" w:themeFill="accent1" w:themeFillTint="3F"/>
      </w:tcPr>
    </w:tblStylePr>
    <w:tblStylePr w:type="band1Horz">
      <w:tblPr/>
      <w:tcPr>
        <w:tcBorders>
          <w:top w:val="single" w:sz="8" w:space="0" w:color="FE8637" w:themeColor="accent1"/>
          <w:left w:val="single" w:sz="8" w:space="0" w:color="FE8637" w:themeColor="accent1"/>
          <w:bottom w:val="single" w:sz="8" w:space="0" w:color="FE8637" w:themeColor="accent1"/>
          <w:right w:val="single" w:sz="8" w:space="0" w:color="FE8637" w:themeColor="accent1"/>
          <w:insideV w:val="single" w:sz="8" w:space="0" w:color="FE8637" w:themeColor="accent1"/>
        </w:tcBorders>
        <w:shd w:val="clear" w:color="auto" w:fill="FEE1CD" w:themeFill="accent1" w:themeFillTint="3F"/>
      </w:tcPr>
    </w:tblStylePr>
    <w:tblStylePr w:type="band2Horz">
      <w:tblPr/>
      <w:tcPr>
        <w:tcBorders>
          <w:top w:val="single" w:sz="8" w:space="0" w:color="FE8637" w:themeColor="accent1"/>
          <w:left w:val="single" w:sz="8" w:space="0" w:color="FE8637" w:themeColor="accent1"/>
          <w:bottom w:val="single" w:sz="8" w:space="0" w:color="FE8637" w:themeColor="accent1"/>
          <w:right w:val="single" w:sz="8" w:space="0" w:color="FE8637" w:themeColor="accent1"/>
          <w:insideV w:val="single" w:sz="8" w:space="0" w:color="FE8637" w:themeColor="accent1"/>
        </w:tcBorders>
      </w:tcPr>
    </w:tblStylePr>
  </w:style>
  <w:style w:type="table" w:styleId="MediumList1-Accent3">
    <w:name w:val="Medium List 1 Accent 3"/>
    <w:basedOn w:val="TableNormal"/>
    <w:uiPriority w:val="65"/>
    <w:rsid w:val="00EA7452"/>
    <w:pPr>
      <w:spacing w:after="0" w:line="240" w:lineRule="auto"/>
    </w:pPr>
    <w:rPr>
      <w:color w:val="000000" w:themeColor="text1"/>
    </w:rPr>
    <w:tblPr>
      <w:tblStyleRowBandSize w:val="1"/>
      <w:tblStyleColBandSize w:val="1"/>
      <w:tblBorders>
        <w:top w:val="single" w:sz="8" w:space="0" w:color="B32C16" w:themeColor="accent3"/>
        <w:bottom w:val="single" w:sz="8" w:space="0" w:color="B32C16" w:themeColor="accent3"/>
      </w:tblBorders>
    </w:tblPr>
    <w:tblStylePr w:type="firstRow">
      <w:rPr>
        <w:rFonts w:asciiTheme="majorHAnsi" w:eastAsiaTheme="majorEastAsia" w:hAnsiTheme="majorHAnsi" w:cstheme="majorBidi"/>
      </w:rPr>
      <w:tblPr/>
      <w:tcPr>
        <w:tcBorders>
          <w:top w:val="nil"/>
          <w:bottom w:val="single" w:sz="8" w:space="0" w:color="B32C16" w:themeColor="accent3"/>
        </w:tcBorders>
      </w:tcPr>
    </w:tblStylePr>
    <w:tblStylePr w:type="lastRow">
      <w:rPr>
        <w:b/>
        <w:bCs/>
        <w:color w:val="575F6D" w:themeColor="text2"/>
      </w:rPr>
      <w:tblPr/>
      <w:tcPr>
        <w:tcBorders>
          <w:top w:val="single" w:sz="8" w:space="0" w:color="B32C16" w:themeColor="accent3"/>
          <w:bottom w:val="single" w:sz="8" w:space="0" w:color="B32C16" w:themeColor="accent3"/>
        </w:tcBorders>
      </w:tcPr>
    </w:tblStylePr>
    <w:tblStylePr w:type="firstCol">
      <w:rPr>
        <w:b/>
        <w:bCs/>
      </w:rPr>
    </w:tblStylePr>
    <w:tblStylePr w:type="lastCol">
      <w:rPr>
        <w:b/>
        <w:bCs/>
      </w:rPr>
      <w:tblPr/>
      <w:tcPr>
        <w:tcBorders>
          <w:top w:val="single" w:sz="8" w:space="0" w:color="B32C16" w:themeColor="accent3"/>
          <w:bottom w:val="single" w:sz="8" w:space="0" w:color="B32C16" w:themeColor="accent3"/>
        </w:tcBorders>
      </w:tcPr>
    </w:tblStylePr>
    <w:tblStylePr w:type="band1Vert">
      <w:tblPr/>
      <w:tcPr>
        <w:shd w:val="clear" w:color="auto" w:fill="F6C2BA" w:themeFill="accent3" w:themeFillTint="3F"/>
      </w:tcPr>
    </w:tblStylePr>
    <w:tblStylePr w:type="band1Horz">
      <w:tblPr/>
      <w:tcPr>
        <w:shd w:val="clear" w:color="auto" w:fill="F6C2BA" w:themeFill="accent3" w:themeFillTint="3F"/>
      </w:tcPr>
    </w:tblStylePr>
  </w:style>
  <w:style w:type="table" w:styleId="LightShading-Accent3">
    <w:name w:val="Light Shading Accent 3"/>
    <w:basedOn w:val="TableNormal"/>
    <w:uiPriority w:val="60"/>
    <w:rsid w:val="00F32828"/>
    <w:pPr>
      <w:spacing w:after="0" w:line="240" w:lineRule="auto"/>
    </w:pPr>
    <w:rPr>
      <w:color w:val="852010" w:themeColor="accent3" w:themeShade="BF"/>
    </w:rPr>
    <w:tblPr>
      <w:tblStyleRowBandSize w:val="1"/>
      <w:tblStyleColBandSize w:val="1"/>
      <w:tblBorders>
        <w:top w:val="single" w:sz="8" w:space="0" w:color="B32C16" w:themeColor="accent3"/>
        <w:bottom w:val="single" w:sz="8" w:space="0" w:color="B32C16" w:themeColor="accent3"/>
      </w:tblBorders>
    </w:tblPr>
    <w:tblStylePr w:type="firstRow">
      <w:pPr>
        <w:spacing w:before="0" w:after="0" w:line="240" w:lineRule="auto"/>
      </w:pPr>
      <w:rPr>
        <w:b/>
        <w:bCs/>
      </w:rPr>
      <w:tblPr/>
      <w:tcPr>
        <w:tcBorders>
          <w:top w:val="single" w:sz="8" w:space="0" w:color="B32C16" w:themeColor="accent3"/>
          <w:left w:val="nil"/>
          <w:bottom w:val="single" w:sz="8" w:space="0" w:color="B32C16" w:themeColor="accent3"/>
          <w:right w:val="nil"/>
          <w:insideH w:val="nil"/>
          <w:insideV w:val="nil"/>
        </w:tcBorders>
      </w:tcPr>
    </w:tblStylePr>
    <w:tblStylePr w:type="lastRow">
      <w:pPr>
        <w:spacing w:before="0" w:after="0" w:line="240" w:lineRule="auto"/>
      </w:pPr>
      <w:rPr>
        <w:b/>
        <w:bCs/>
      </w:rPr>
      <w:tblPr/>
      <w:tcPr>
        <w:tcBorders>
          <w:top w:val="single" w:sz="8" w:space="0" w:color="B32C16" w:themeColor="accent3"/>
          <w:left w:val="nil"/>
          <w:bottom w:val="single" w:sz="8" w:space="0" w:color="B32C1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C2BA" w:themeFill="accent3" w:themeFillTint="3F"/>
      </w:tcPr>
    </w:tblStylePr>
    <w:tblStylePr w:type="band1Horz">
      <w:tblPr/>
      <w:tcPr>
        <w:tcBorders>
          <w:left w:val="nil"/>
          <w:right w:val="nil"/>
          <w:insideH w:val="nil"/>
          <w:insideV w:val="nil"/>
        </w:tcBorders>
        <w:shd w:val="clear" w:color="auto" w:fill="F6C2BA" w:themeFill="accent3" w:themeFillTint="3F"/>
      </w:tcPr>
    </w:tblStylePr>
  </w:style>
  <w:style w:type="table" w:customStyle="1" w:styleId="GridTable5Dark-Accent11">
    <w:name w:val="Grid Table 5 Dark - Accent 11"/>
    <w:basedOn w:val="TableNormal"/>
    <w:uiPriority w:val="50"/>
    <w:rsid w:val="001143F9"/>
    <w:pPr>
      <w:spacing w:after="0" w:line="240" w:lineRule="auto"/>
    </w:pPr>
    <w:rPr>
      <w:rFonts w:eastAsiaTheme="minorHAnsi"/>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E6D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E8637"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E8637"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E8637"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E8637" w:themeFill="accent1"/>
      </w:tcPr>
    </w:tblStylePr>
    <w:tblStylePr w:type="band1Vert">
      <w:tblPr/>
      <w:tcPr>
        <w:shd w:val="clear" w:color="auto" w:fill="FECEAE" w:themeFill="accent1" w:themeFillTint="66"/>
      </w:tcPr>
    </w:tblStylePr>
    <w:tblStylePr w:type="band1Horz">
      <w:tblPr/>
      <w:tcPr>
        <w:shd w:val="clear" w:color="auto" w:fill="FECEAE" w:themeFill="accent1" w:themeFillTint="66"/>
      </w:tcPr>
    </w:tblStylePr>
  </w:style>
  <w:style w:type="table" w:customStyle="1" w:styleId="MediumShading1-Accent22">
    <w:name w:val="Medium Shading 1 - Accent 22"/>
    <w:basedOn w:val="TableNormal"/>
    <w:next w:val="MediumShading1-Accent2"/>
    <w:uiPriority w:val="63"/>
    <w:rsid w:val="005A37D3"/>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character" w:styleId="FollowedHyperlink">
    <w:name w:val="FollowedHyperlink"/>
    <w:basedOn w:val="DefaultParagraphFont"/>
    <w:uiPriority w:val="99"/>
    <w:semiHidden/>
    <w:unhideWhenUsed/>
    <w:locked/>
    <w:rsid w:val="006A1558"/>
    <w:rPr>
      <w:color w:val="3B435B"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96834">
      <w:bodyDiv w:val="1"/>
      <w:marLeft w:val="0"/>
      <w:marRight w:val="0"/>
      <w:marTop w:val="0"/>
      <w:marBottom w:val="0"/>
      <w:divBdr>
        <w:top w:val="none" w:sz="0" w:space="0" w:color="auto"/>
        <w:left w:val="none" w:sz="0" w:space="0" w:color="auto"/>
        <w:bottom w:val="none" w:sz="0" w:space="0" w:color="auto"/>
        <w:right w:val="none" w:sz="0" w:space="0" w:color="auto"/>
      </w:divBdr>
    </w:div>
    <w:div w:id="4482480">
      <w:bodyDiv w:val="1"/>
      <w:marLeft w:val="0"/>
      <w:marRight w:val="0"/>
      <w:marTop w:val="0"/>
      <w:marBottom w:val="0"/>
      <w:divBdr>
        <w:top w:val="none" w:sz="0" w:space="0" w:color="auto"/>
        <w:left w:val="none" w:sz="0" w:space="0" w:color="auto"/>
        <w:bottom w:val="none" w:sz="0" w:space="0" w:color="auto"/>
        <w:right w:val="none" w:sz="0" w:space="0" w:color="auto"/>
      </w:divBdr>
    </w:div>
    <w:div w:id="6831625">
      <w:bodyDiv w:val="1"/>
      <w:marLeft w:val="0"/>
      <w:marRight w:val="0"/>
      <w:marTop w:val="0"/>
      <w:marBottom w:val="0"/>
      <w:divBdr>
        <w:top w:val="none" w:sz="0" w:space="0" w:color="auto"/>
        <w:left w:val="none" w:sz="0" w:space="0" w:color="auto"/>
        <w:bottom w:val="none" w:sz="0" w:space="0" w:color="auto"/>
        <w:right w:val="none" w:sz="0" w:space="0" w:color="auto"/>
      </w:divBdr>
    </w:div>
    <w:div w:id="8606226">
      <w:bodyDiv w:val="1"/>
      <w:marLeft w:val="0"/>
      <w:marRight w:val="0"/>
      <w:marTop w:val="0"/>
      <w:marBottom w:val="0"/>
      <w:divBdr>
        <w:top w:val="none" w:sz="0" w:space="0" w:color="auto"/>
        <w:left w:val="none" w:sz="0" w:space="0" w:color="auto"/>
        <w:bottom w:val="none" w:sz="0" w:space="0" w:color="auto"/>
        <w:right w:val="none" w:sz="0" w:space="0" w:color="auto"/>
      </w:divBdr>
    </w:div>
    <w:div w:id="9719210">
      <w:bodyDiv w:val="1"/>
      <w:marLeft w:val="0"/>
      <w:marRight w:val="0"/>
      <w:marTop w:val="0"/>
      <w:marBottom w:val="0"/>
      <w:divBdr>
        <w:top w:val="none" w:sz="0" w:space="0" w:color="auto"/>
        <w:left w:val="none" w:sz="0" w:space="0" w:color="auto"/>
        <w:bottom w:val="none" w:sz="0" w:space="0" w:color="auto"/>
        <w:right w:val="none" w:sz="0" w:space="0" w:color="auto"/>
      </w:divBdr>
    </w:div>
    <w:div w:id="33504774">
      <w:bodyDiv w:val="1"/>
      <w:marLeft w:val="0"/>
      <w:marRight w:val="0"/>
      <w:marTop w:val="0"/>
      <w:marBottom w:val="0"/>
      <w:divBdr>
        <w:top w:val="none" w:sz="0" w:space="0" w:color="auto"/>
        <w:left w:val="none" w:sz="0" w:space="0" w:color="auto"/>
        <w:bottom w:val="none" w:sz="0" w:space="0" w:color="auto"/>
        <w:right w:val="none" w:sz="0" w:space="0" w:color="auto"/>
      </w:divBdr>
    </w:div>
    <w:div w:id="35548132">
      <w:bodyDiv w:val="1"/>
      <w:marLeft w:val="0"/>
      <w:marRight w:val="0"/>
      <w:marTop w:val="0"/>
      <w:marBottom w:val="0"/>
      <w:divBdr>
        <w:top w:val="none" w:sz="0" w:space="0" w:color="auto"/>
        <w:left w:val="none" w:sz="0" w:space="0" w:color="auto"/>
        <w:bottom w:val="none" w:sz="0" w:space="0" w:color="auto"/>
        <w:right w:val="none" w:sz="0" w:space="0" w:color="auto"/>
      </w:divBdr>
    </w:div>
    <w:div w:id="42488722">
      <w:bodyDiv w:val="1"/>
      <w:marLeft w:val="0"/>
      <w:marRight w:val="0"/>
      <w:marTop w:val="0"/>
      <w:marBottom w:val="0"/>
      <w:divBdr>
        <w:top w:val="none" w:sz="0" w:space="0" w:color="auto"/>
        <w:left w:val="none" w:sz="0" w:space="0" w:color="auto"/>
        <w:bottom w:val="none" w:sz="0" w:space="0" w:color="auto"/>
        <w:right w:val="none" w:sz="0" w:space="0" w:color="auto"/>
      </w:divBdr>
    </w:div>
    <w:div w:id="46883033">
      <w:bodyDiv w:val="1"/>
      <w:marLeft w:val="0"/>
      <w:marRight w:val="0"/>
      <w:marTop w:val="0"/>
      <w:marBottom w:val="0"/>
      <w:divBdr>
        <w:top w:val="none" w:sz="0" w:space="0" w:color="auto"/>
        <w:left w:val="none" w:sz="0" w:space="0" w:color="auto"/>
        <w:bottom w:val="none" w:sz="0" w:space="0" w:color="auto"/>
        <w:right w:val="none" w:sz="0" w:space="0" w:color="auto"/>
      </w:divBdr>
    </w:div>
    <w:div w:id="54595509">
      <w:bodyDiv w:val="1"/>
      <w:marLeft w:val="0"/>
      <w:marRight w:val="0"/>
      <w:marTop w:val="0"/>
      <w:marBottom w:val="0"/>
      <w:divBdr>
        <w:top w:val="none" w:sz="0" w:space="0" w:color="auto"/>
        <w:left w:val="none" w:sz="0" w:space="0" w:color="auto"/>
        <w:bottom w:val="none" w:sz="0" w:space="0" w:color="auto"/>
        <w:right w:val="none" w:sz="0" w:space="0" w:color="auto"/>
      </w:divBdr>
    </w:div>
    <w:div w:id="55520316">
      <w:bodyDiv w:val="1"/>
      <w:marLeft w:val="0"/>
      <w:marRight w:val="0"/>
      <w:marTop w:val="0"/>
      <w:marBottom w:val="0"/>
      <w:divBdr>
        <w:top w:val="none" w:sz="0" w:space="0" w:color="auto"/>
        <w:left w:val="none" w:sz="0" w:space="0" w:color="auto"/>
        <w:bottom w:val="none" w:sz="0" w:space="0" w:color="auto"/>
        <w:right w:val="none" w:sz="0" w:space="0" w:color="auto"/>
      </w:divBdr>
    </w:div>
    <w:div w:id="59259335">
      <w:bodyDiv w:val="1"/>
      <w:marLeft w:val="0"/>
      <w:marRight w:val="0"/>
      <w:marTop w:val="0"/>
      <w:marBottom w:val="0"/>
      <w:divBdr>
        <w:top w:val="none" w:sz="0" w:space="0" w:color="auto"/>
        <w:left w:val="none" w:sz="0" w:space="0" w:color="auto"/>
        <w:bottom w:val="none" w:sz="0" w:space="0" w:color="auto"/>
        <w:right w:val="none" w:sz="0" w:space="0" w:color="auto"/>
      </w:divBdr>
    </w:div>
    <w:div w:id="60956377">
      <w:bodyDiv w:val="1"/>
      <w:marLeft w:val="0"/>
      <w:marRight w:val="0"/>
      <w:marTop w:val="0"/>
      <w:marBottom w:val="0"/>
      <w:divBdr>
        <w:top w:val="none" w:sz="0" w:space="0" w:color="auto"/>
        <w:left w:val="none" w:sz="0" w:space="0" w:color="auto"/>
        <w:bottom w:val="none" w:sz="0" w:space="0" w:color="auto"/>
        <w:right w:val="none" w:sz="0" w:space="0" w:color="auto"/>
      </w:divBdr>
    </w:div>
    <w:div w:id="61485056">
      <w:bodyDiv w:val="1"/>
      <w:marLeft w:val="0"/>
      <w:marRight w:val="0"/>
      <w:marTop w:val="0"/>
      <w:marBottom w:val="0"/>
      <w:divBdr>
        <w:top w:val="none" w:sz="0" w:space="0" w:color="auto"/>
        <w:left w:val="none" w:sz="0" w:space="0" w:color="auto"/>
        <w:bottom w:val="none" w:sz="0" w:space="0" w:color="auto"/>
        <w:right w:val="none" w:sz="0" w:space="0" w:color="auto"/>
      </w:divBdr>
    </w:div>
    <w:div w:id="65998485">
      <w:bodyDiv w:val="1"/>
      <w:marLeft w:val="0"/>
      <w:marRight w:val="0"/>
      <w:marTop w:val="0"/>
      <w:marBottom w:val="0"/>
      <w:divBdr>
        <w:top w:val="none" w:sz="0" w:space="0" w:color="auto"/>
        <w:left w:val="none" w:sz="0" w:space="0" w:color="auto"/>
        <w:bottom w:val="none" w:sz="0" w:space="0" w:color="auto"/>
        <w:right w:val="none" w:sz="0" w:space="0" w:color="auto"/>
      </w:divBdr>
    </w:div>
    <w:div w:id="67655246">
      <w:bodyDiv w:val="1"/>
      <w:marLeft w:val="0"/>
      <w:marRight w:val="0"/>
      <w:marTop w:val="0"/>
      <w:marBottom w:val="0"/>
      <w:divBdr>
        <w:top w:val="none" w:sz="0" w:space="0" w:color="auto"/>
        <w:left w:val="none" w:sz="0" w:space="0" w:color="auto"/>
        <w:bottom w:val="none" w:sz="0" w:space="0" w:color="auto"/>
        <w:right w:val="none" w:sz="0" w:space="0" w:color="auto"/>
      </w:divBdr>
    </w:div>
    <w:div w:id="73088647">
      <w:bodyDiv w:val="1"/>
      <w:marLeft w:val="0"/>
      <w:marRight w:val="0"/>
      <w:marTop w:val="0"/>
      <w:marBottom w:val="0"/>
      <w:divBdr>
        <w:top w:val="none" w:sz="0" w:space="0" w:color="auto"/>
        <w:left w:val="none" w:sz="0" w:space="0" w:color="auto"/>
        <w:bottom w:val="none" w:sz="0" w:space="0" w:color="auto"/>
        <w:right w:val="none" w:sz="0" w:space="0" w:color="auto"/>
      </w:divBdr>
    </w:div>
    <w:div w:id="77946382">
      <w:bodyDiv w:val="1"/>
      <w:marLeft w:val="0"/>
      <w:marRight w:val="0"/>
      <w:marTop w:val="0"/>
      <w:marBottom w:val="0"/>
      <w:divBdr>
        <w:top w:val="none" w:sz="0" w:space="0" w:color="auto"/>
        <w:left w:val="none" w:sz="0" w:space="0" w:color="auto"/>
        <w:bottom w:val="none" w:sz="0" w:space="0" w:color="auto"/>
        <w:right w:val="none" w:sz="0" w:space="0" w:color="auto"/>
      </w:divBdr>
    </w:div>
    <w:div w:id="79642638">
      <w:bodyDiv w:val="1"/>
      <w:marLeft w:val="0"/>
      <w:marRight w:val="0"/>
      <w:marTop w:val="0"/>
      <w:marBottom w:val="0"/>
      <w:divBdr>
        <w:top w:val="none" w:sz="0" w:space="0" w:color="auto"/>
        <w:left w:val="none" w:sz="0" w:space="0" w:color="auto"/>
        <w:bottom w:val="none" w:sz="0" w:space="0" w:color="auto"/>
        <w:right w:val="none" w:sz="0" w:space="0" w:color="auto"/>
      </w:divBdr>
    </w:div>
    <w:div w:id="90050875">
      <w:bodyDiv w:val="1"/>
      <w:marLeft w:val="0"/>
      <w:marRight w:val="0"/>
      <w:marTop w:val="0"/>
      <w:marBottom w:val="0"/>
      <w:divBdr>
        <w:top w:val="none" w:sz="0" w:space="0" w:color="auto"/>
        <w:left w:val="none" w:sz="0" w:space="0" w:color="auto"/>
        <w:bottom w:val="none" w:sz="0" w:space="0" w:color="auto"/>
        <w:right w:val="none" w:sz="0" w:space="0" w:color="auto"/>
      </w:divBdr>
    </w:div>
    <w:div w:id="92173006">
      <w:bodyDiv w:val="1"/>
      <w:marLeft w:val="0"/>
      <w:marRight w:val="0"/>
      <w:marTop w:val="0"/>
      <w:marBottom w:val="0"/>
      <w:divBdr>
        <w:top w:val="none" w:sz="0" w:space="0" w:color="auto"/>
        <w:left w:val="none" w:sz="0" w:space="0" w:color="auto"/>
        <w:bottom w:val="none" w:sz="0" w:space="0" w:color="auto"/>
        <w:right w:val="none" w:sz="0" w:space="0" w:color="auto"/>
      </w:divBdr>
    </w:div>
    <w:div w:id="96293363">
      <w:bodyDiv w:val="1"/>
      <w:marLeft w:val="0"/>
      <w:marRight w:val="0"/>
      <w:marTop w:val="0"/>
      <w:marBottom w:val="0"/>
      <w:divBdr>
        <w:top w:val="none" w:sz="0" w:space="0" w:color="auto"/>
        <w:left w:val="none" w:sz="0" w:space="0" w:color="auto"/>
        <w:bottom w:val="none" w:sz="0" w:space="0" w:color="auto"/>
        <w:right w:val="none" w:sz="0" w:space="0" w:color="auto"/>
      </w:divBdr>
    </w:div>
    <w:div w:id="110828535">
      <w:bodyDiv w:val="1"/>
      <w:marLeft w:val="0"/>
      <w:marRight w:val="0"/>
      <w:marTop w:val="0"/>
      <w:marBottom w:val="0"/>
      <w:divBdr>
        <w:top w:val="none" w:sz="0" w:space="0" w:color="auto"/>
        <w:left w:val="none" w:sz="0" w:space="0" w:color="auto"/>
        <w:bottom w:val="none" w:sz="0" w:space="0" w:color="auto"/>
        <w:right w:val="none" w:sz="0" w:space="0" w:color="auto"/>
      </w:divBdr>
    </w:div>
    <w:div w:id="126778073">
      <w:bodyDiv w:val="1"/>
      <w:marLeft w:val="0"/>
      <w:marRight w:val="0"/>
      <w:marTop w:val="0"/>
      <w:marBottom w:val="0"/>
      <w:divBdr>
        <w:top w:val="none" w:sz="0" w:space="0" w:color="auto"/>
        <w:left w:val="none" w:sz="0" w:space="0" w:color="auto"/>
        <w:bottom w:val="none" w:sz="0" w:space="0" w:color="auto"/>
        <w:right w:val="none" w:sz="0" w:space="0" w:color="auto"/>
      </w:divBdr>
    </w:div>
    <w:div w:id="132142883">
      <w:bodyDiv w:val="1"/>
      <w:marLeft w:val="0"/>
      <w:marRight w:val="0"/>
      <w:marTop w:val="0"/>
      <w:marBottom w:val="0"/>
      <w:divBdr>
        <w:top w:val="none" w:sz="0" w:space="0" w:color="auto"/>
        <w:left w:val="none" w:sz="0" w:space="0" w:color="auto"/>
        <w:bottom w:val="none" w:sz="0" w:space="0" w:color="auto"/>
        <w:right w:val="none" w:sz="0" w:space="0" w:color="auto"/>
      </w:divBdr>
    </w:div>
    <w:div w:id="134223892">
      <w:bodyDiv w:val="1"/>
      <w:marLeft w:val="0"/>
      <w:marRight w:val="0"/>
      <w:marTop w:val="0"/>
      <w:marBottom w:val="0"/>
      <w:divBdr>
        <w:top w:val="none" w:sz="0" w:space="0" w:color="auto"/>
        <w:left w:val="none" w:sz="0" w:space="0" w:color="auto"/>
        <w:bottom w:val="none" w:sz="0" w:space="0" w:color="auto"/>
        <w:right w:val="none" w:sz="0" w:space="0" w:color="auto"/>
      </w:divBdr>
    </w:div>
    <w:div w:id="139659902">
      <w:bodyDiv w:val="1"/>
      <w:marLeft w:val="0"/>
      <w:marRight w:val="0"/>
      <w:marTop w:val="0"/>
      <w:marBottom w:val="0"/>
      <w:divBdr>
        <w:top w:val="none" w:sz="0" w:space="0" w:color="auto"/>
        <w:left w:val="none" w:sz="0" w:space="0" w:color="auto"/>
        <w:bottom w:val="none" w:sz="0" w:space="0" w:color="auto"/>
        <w:right w:val="none" w:sz="0" w:space="0" w:color="auto"/>
      </w:divBdr>
    </w:div>
    <w:div w:id="142239758">
      <w:bodyDiv w:val="1"/>
      <w:marLeft w:val="0"/>
      <w:marRight w:val="0"/>
      <w:marTop w:val="0"/>
      <w:marBottom w:val="0"/>
      <w:divBdr>
        <w:top w:val="none" w:sz="0" w:space="0" w:color="auto"/>
        <w:left w:val="none" w:sz="0" w:space="0" w:color="auto"/>
        <w:bottom w:val="none" w:sz="0" w:space="0" w:color="auto"/>
        <w:right w:val="none" w:sz="0" w:space="0" w:color="auto"/>
      </w:divBdr>
    </w:div>
    <w:div w:id="144668098">
      <w:bodyDiv w:val="1"/>
      <w:marLeft w:val="0"/>
      <w:marRight w:val="0"/>
      <w:marTop w:val="0"/>
      <w:marBottom w:val="0"/>
      <w:divBdr>
        <w:top w:val="none" w:sz="0" w:space="0" w:color="auto"/>
        <w:left w:val="none" w:sz="0" w:space="0" w:color="auto"/>
        <w:bottom w:val="none" w:sz="0" w:space="0" w:color="auto"/>
        <w:right w:val="none" w:sz="0" w:space="0" w:color="auto"/>
      </w:divBdr>
    </w:div>
    <w:div w:id="151071326">
      <w:bodyDiv w:val="1"/>
      <w:marLeft w:val="0"/>
      <w:marRight w:val="0"/>
      <w:marTop w:val="0"/>
      <w:marBottom w:val="0"/>
      <w:divBdr>
        <w:top w:val="none" w:sz="0" w:space="0" w:color="auto"/>
        <w:left w:val="none" w:sz="0" w:space="0" w:color="auto"/>
        <w:bottom w:val="none" w:sz="0" w:space="0" w:color="auto"/>
        <w:right w:val="none" w:sz="0" w:space="0" w:color="auto"/>
      </w:divBdr>
    </w:div>
    <w:div w:id="155734591">
      <w:bodyDiv w:val="1"/>
      <w:marLeft w:val="0"/>
      <w:marRight w:val="0"/>
      <w:marTop w:val="0"/>
      <w:marBottom w:val="0"/>
      <w:divBdr>
        <w:top w:val="none" w:sz="0" w:space="0" w:color="auto"/>
        <w:left w:val="none" w:sz="0" w:space="0" w:color="auto"/>
        <w:bottom w:val="none" w:sz="0" w:space="0" w:color="auto"/>
        <w:right w:val="none" w:sz="0" w:space="0" w:color="auto"/>
      </w:divBdr>
    </w:div>
    <w:div w:id="156071657">
      <w:bodyDiv w:val="1"/>
      <w:marLeft w:val="0"/>
      <w:marRight w:val="0"/>
      <w:marTop w:val="0"/>
      <w:marBottom w:val="0"/>
      <w:divBdr>
        <w:top w:val="none" w:sz="0" w:space="0" w:color="auto"/>
        <w:left w:val="none" w:sz="0" w:space="0" w:color="auto"/>
        <w:bottom w:val="none" w:sz="0" w:space="0" w:color="auto"/>
        <w:right w:val="none" w:sz="0" w:space="0" w:color="auto"/>
      </w:divBdr>
    </w:div>
    <w:div w:id="156191865">
      <w:bodyDiv w:val="1"/>
      <w:marLeft w:val="0"/>
      <w:marRight w:val="0"/>
      <w:marTop w:val="0"/>
      <w:marBottom w:val="0"/>
      <w:divBdr>
        <w:top w:val="none" w:sz="0" w:space="0" w:color="auto"/>
        <w:left w:val="none" w:sz="0" w:space="0" w:color="auto"/>
        <w:bottom w:val="none" w:sz="0" w:space="0" w:color="auto"/>
        <w:right w:val="none" w:sz="0" w:space="0" w:color="auto"/>
      </w:divBdr>
    </w:div>
    <w:div w:id="157580748">
      <w:bodyDiv w:val="1"/>
      <w:marLeft w:val="0"/>
      <w:marRight w:val="0"/>
      <w:marTop w:val="0"/>
      <w:marBottom w:val="0"/>
      <w:divBdr>
        <w:top w:val="none" w:sz="0" w:space="0" w:color="auto"/>
        <w:left w:val="none" w:sz="0" w:space="0" w:color="auto"/>
        <w:bottom w:val="none" w:sz="0" w:space="0" w:color="auto"/>
        <w:right w:val="none" w:sz="0" w:space="0" w:color="auto"/>
      </w:divBdr>
    </w:div>
    <w:div w:id="160004600">
      <w:bodyDiv w:val="1"/>
      <w:marLeft w:val="0"/>
      <w:marRight w:val="0"/>
      <w:marTop w:val="0"/>
      <w:marBottom w:val="0"/>
      <w:divBdr>
        <w:top w:val="none" w:sz="0" w:space="0" w:color="auto"/>
        <w:left w:val="none" w:sz="0" w:space="0" w:color="auto"/>
        <w:bottom w:val="none" w:sz="0" w:space="0" w:color="auto"/>
        <w:right w:val="none" w:sz="0" w:space="0" w:color="auto"/>
      </w:divBdr>
    </w:div>
    <w:div w:id="165362991">
      <w:bodyDiv w:val="1"/>
      <w:marLeft w:val="0"/>
      <w:marRight w:val="0"/>
      <w:marTop w:val="0"/>
      <w:marBottom w:val="0"/>
      <w:divBdr>
        <w:top w:val="none" w:sz="0" w:space="0" w:color="auto"/>
        <w:left w:val="none" w:sz="0" w:space="0" w:color="auto"/>
        <w:bottom w:val="none" w:sz="0" w:space="0" w:color="auto"/>
        <w:right w:val="none" w:sz="0" w:space="0" w:color="auto"/>
      </w:divBdr>
    </w:div>
    <w:div w:id="167910285">
      <w:bodyDiv w:val="1"/>
      <w:marLeft w:val="0"/>
      <w:marRight w:val="0"/>
      <w:marTop w:val="0"/>
      <w:marBottom w:val="0"/>
      <w:divBdr>
        <w:top w:val="none" w:sz="0" w:space="0" w:color="auto"/>
        <w:left w:val="none" w:sz="0" w:space="0" w:color="auto"/>
        <w:bottom w:val="none" w:sz="0" w:space="0" w:color="auto"/>
        <w:right w:val="none" w:sz="0" w:space="0" w:color="auto"/>
      </w:divBdr>
    </w:div>
    <w:div w:id="174149885">
      <w:bodyDiv w:val="1"/>
      <w:marLeft w:val="0"/>
      <w:marRight w:val="0"/>
      <w:marTop w:val="0"/>
      <w:marBottom w:val="0"/>
      <w:divBdr>
        <w:top w:val="none" w:sz="0" w:space="0" w:color="auto"/>
        <w:left w:val="none" w:sz="0" w:space="0" w:color="auto"/>
        <w:bottom w:val="none" w:sz="0" w:space="0" w:color="auto"/>
        <w:right w:val="none" w:sz="0" w:space="0" w:color="auto"/>
      </w:divBdr>
    </w:div>
    <w:div w:id="174929458">
      <w:bodyDiv w:val="1"/>
      <w:marLeft w:val="0"/>
      <w:marRight w:val="0"/>
      <w:marTop w:val="0"/>
      <w:marBottom w:val="0"/>
      <w:divBdr>
        <w:top w:val="none" w:sz="0" w:space="0" w:color="auto"/>
        <w:left w:val="none" w:sz="0" w:space="0" w:color="auto"/>
        <w:bottom w:val="none" w:sz="0" w:space="0" w:color="auto"/>
        <w:right w:val="none" w:sz="0" w:space="0" w:color="auto"/>
      </w:divBdr>
    </w:div>
    <w:div w:id="175577555">
      <w:bodyDiv w:val="1"/>
      <w:marLeft w:val="0"/>
      <w:marRight w:val="0"/>
      <w:marTop w:val="0"/>
      <w:marBottom w:val="0"/>
      <w:divBdr>
        <w:top w:val="none" w:sz="0" w:space="0" w:color="auto"/>
        <w:left w:val="none" w:sz="0" w:space="0" w:color="auto"/>
        <w:bottom w:val="none" w:sz="0" w:space="0" w:color="auto"/>
        <w:right w:val="none" w:sz="0" w:space="0" w:color="auto"/>
      </w:divBdr>
    </w:div>
    <w:div w:id="178932940">
      <w:bodyDiv w:val="1"/>
      <w:marLeft w:val="0"/>
      <w:marRight w:val="0"/>
      <w:marTop w:val="0"/>
      <w:marBottom w:val="0"/>
      <w:divBdr>
        <w:top w:val="none" w:sz="0" w:space="0" w:color="auto"/>
        <w:left w:val="none" w:sz="0" w:space="0" w:color="auto"/>
        <w:bottom w:val="none" w:sz="0" w:space="0" w:color="auto"/>
        <w:right w:val="none" w:sz="0" w:space="0" w:color="auto"/>
      </w:divBdr>
    </w:div>
    <w:div w:id="179392954">
      <w:bodyDiv w:val="1"/>
      <w:marLeft w:val="0"/>
      <w:marRight w:val="0"/>
      <w:marTop w:val="0"/>
      <w:marBottom w:val="0"/>
      <w:divBdr>
        <w:top w:val="none" w:sz="0" w:space="0" w:color="auto"/>
        <w:left w:val="none" w:sz="0" w:space="0" w:color="auto"/>
        <w:bottom w:val="none" w:sz="0" w:space="0" w:color="auto"/>
        <w:right w:val="none" w:sz="0" w:space="0" w:color="auto"/>
      </w:divBdr>
    </w:div>
    <w:div w:id="182090241">
      <w:bodyDiv w:val="1"/>
      <w:marLeft w:val="0"/>
      <w:marRight w:val="0"/>
      <w:marTop w:val="0"/>
      <w:marBottom w:val="0"/>
      <w:divBdr>
        <w:top w:val="none" w:sz="0" w:space="0" w:color="auto"/>
        <w:left w:val="none" w:sz="0" w:space="0" w:color="auto"/>
        <w:bottom w:val="none" w:sz="0" w:space="0" w:color="auto"/>
        <w:right w:val="none" w:sz="0" w:space="0" w:color="auto"/>
      </w:divBdr>
    </w:div>
    <w:div w:id="183447324">
      <w:bodyDiv w:val="1"/>
      <w:marLeft w:val="0"/>
      <w:marRight w:val="0"/>
      <w:marTop w:val="0"/>
      <w:marBottom w:val="0"/>
      <w:divBdr>
        <w:top w:val="none" w:sz="0" w:space="0" w:color="auto"/>
        <w:left w:val="none" w:sz="0" w:space="0" w:color="auto"/>
        <w:bottom w:val="none" w:sz="0" w:space="0" w:color="auto"/>
        <w:right w:val="none" w:sz="0" w:space="0" w:color="auto"/>
      </w:divBdr>
    </w:div>
    <w:div w:id="191264159">
      <w:bodyDiv w:val="1"/>
      <w:marLeft w:val="0"/>
      <w:marRight w:val="0"/>
      <w:marTop w:val="0"/>
      <w:marBottom w:val="0"/>
      <w:divBdr>
        <w:top w:val="none" w:sz="0" w:space="0" w:color="auto"/>
        <w:left w:val="none" w:sz="0" w:space="0" w:color="auto"/>
        <w:bottom w:val="none" w:sz="0" w:space="0" w:color="auto"/>
        <w:right w:val="none" w:sz="0" w:space="0" w:color="auto"/>
      </w:divBdr>
    </w:div>
    <w:div w:id="192115807">
      <w:bodyDiv w:val="1"/>
      <w:marLeft w:val="0"/>
      <w:marRight w:val="0"/>
      <w:marTop w:val="0"/>
      <w:marBottom w:val="0"/>
      <w:divBdr>
        <w:top w:val="none" w:sz="0" w:space="0" w:color="auto"/>
        <w:left w:val="none" w:sz="0" w:space="0" w:color="auto"/>
        <w:bottom w:val="none" w:sz="0" w:space="0" w:color="auto"/>
        <w:right w:val="none" w:sz="0" w:space="0" w:color="auto"/>
      </w:divBdr>
    </w:div>
    <w:div w:id="197208606">
      <w:bodyDiv w:val="1"/>
      <w:marLeft w:val="0"/>
      <w:marRight w:val="0"/>
      <w:marTop w:val="0"/>
      <w:marBottom w:val="0"/>
      <w:divBdr>
        <w:top w:val="none" w:sz="0" w:space="0" w:color="auto"/>
        <w:left w:val="none" w:sz="0" w:space="0" w:color="auto"/>
        <w:bottom w:val="none" w:sz="0" w:space="0" w:color="auto"/>
        <w:right w:val="none" w:sz="0" w:space="0" w:color="auto"/>
      </w:divBdr>
    </w:div>
    <w:div w:id="200898650">
      <w:bodyDiv w:val="1"/>
      <w:marLeft w:val="0"/>
      <w:marRight w:val="0"/>
      <w:marTop w:val="0"/>
      <w:marBottom w:val="0"/>
      <w:divBdr>
        <w:top w:val="none" w:sz="0" w:space="0" w:color="auto"/>
        <w:left w:val="none" w:sz="0" w:space="0" w:color="auto"/>
        <w:bottom w:val="none" w:sz="0" w:space="0" w:color="auto"/>
        <w:right w:val="none" w:sz="0" w:space="0" w:color="auto"/>
      </w:divBdr>
    </w:div>
    <w:div w:id="203368685">
      <w:bodyDiv w:val="1"/>
      <w:marLeft w:val="0"/>
      <w:marRight w:val="0"/>
      <w:marTop w:val="0"/>
      <w:marBottom w:val="0"/>
      <w:divBdr>
        <w:top w:val="none" w:sz="0" w:space="0" w:color="auto"/>
        <w:left w:val="none" w:sz="0" w:space="0" w:color="auto"/>
        <w:bottom w:val="none" w:sz="0" w:space="0" w:color="auto"/>
        <w:right w:val="none" w:sz="0" w:space="0" w:color="auto"/>
      </w:divBdr>
    </w:div>
    <w:div w:id="213808535">
      <w:bodyDiv w:val="1"/>
      <w:marLeft w:val="0"/>
      <w:marRight w:val="0"/>
      <w:marTop w:val="0"/>
      <w:marBottom w:val="0"/>
      <w:divBdr>
        <w:top w:val="none" w:sz="0" w:space="0" w:color="auto"/>
        <w:left w:val="none" w:sz="0" w:space="0" w:color="auto"/>
        <w:bottom w:val="none" w:sz="0" w:space="0" w:color="auto"/>
        <w:right w:val="none" w:sz="0" w:space="0" w:color="auto"/>
      </w:divBdr>
    </w:div>
    <w:div w:id="213930075">
      <w:bodyDiv w:val="1"/>
      <w:marLeft w:val="0"/>
      <w:marRight w:val="0"/>
      <w:marTop w:val="0"/>
      <w:marBottom w:val="0"/>
      <w:divBdr>
        <w:top w:val="none" w:sz="0" w:space="0" w:color="auto"/>
        <w:left w:val="none" w:sz="0" w:space="0" w:color="auto"/>
        <w:bottom w:val="none" w:sz="0" w:space="0" w:color="auto"/>
        <w:right w:val="none" w:sz="0" w:space="0" w:color="auto"/>
      </w:divBdr>
    </w:div>
    <w:div w:id="214631514">
      <w:bodyDiv w:val="1"/>
      <w:marLeft w:val="0"/>
      <w:marRight w:val="0"/>
      <w:marTop w:val="0"/>
      <w:marBottom w:val="0"/>
      <w:divBdr>
        <w:top w:val="none" w:sz="0" w:space="0" w:color="auto"/>
        <w:left w:val="none" w:sz="0" w:space="0" w:color="auto"/>
        <w:bottom w:val="none" w:sz="0" w:space="0" w:color="auto"/>
        <w:right w:val="none" w:sz="0" w:space="0" w:color="auto"/>
      </w:divBdr>
    </w:div>
    <w:div w:id="218979474">
      <w:bodyDiv w:val="1"/>
      <w:marLeft w:val="0"/>
      <w:marRight w:val="0"/>
      <w:marTop w:val="0"/>
      <w:marBottom w:val="0"/>
      <w:divBdr>
        <w:top w:val="none" w:sz="0" w:space="0" w:color="auto"/>
        <w:left w:val="none" w:sz="0" w:space="0" w:color="auto"/>
        <w:bottom w:val="none" w:sz="0" w:space="0" w:color="auto"/>
        <w:right w:val="none" w:sz="0" w:space="0" w:color="auto"/>
      </w:divBdr>
    </w:div>
    <w:div w:id="222370617">
      <w:bodyDiv w:val="1"/>
      <w:marLeft w:val="0"/>
      <w:marRight w:val="0"/>
      <w:marTop w:val="0"/>
      <w:marBottom w:val="0"/>
      <w:divBdr>
        <w:top w:val="none" w:sz="0" w:space="0" w:color="auto"/>
        <w:left w:val="none" w:sz="0" w:space="0" w:color="auto"/>
        <w:bottom w:val="none" w:sz="0" w:space="0" w:color="auto"/>
        <w:right w:val="none" w:sz="0" w:space="0" w:color="auto"/>
      </w:divBdr>
    </w:div>
    <w:div w:id="224343236">
      <w:bodyDiv w:val="1"/>
      <w:marLeft w:val="0"/>
      <w:marRight w:val="0"/>
      <w:marTop w:val="0"/>
      <w:marBottom w:val="0"/>
      <w:divBdr>
        <w:top w:val="none" w:sz="0" w:space="0" w:color="auto"/>
        <w:left w:val="none" w:sz="0" w:space="0" w:color="auto"/>
        <w:bottom w:val="none" w:sz="0" w:space="0" w:color="auto"/>
        <w:right w:val="none" w:sz="0" w:space="0" w:color="auto"/>
      </w:divBdr>
    </w:div>
    <w:div w:id="230043281">
      <w:bodyDiv w:val="1"/>
      <w:marLeft w:val="0"/>
      <w:marRight w:val="0"/>
      <w:marTop w:val="0"/>
      <w:marBottom w:val="0"/>
      <w:divBdr>
        <w:top w:val="none" w:sz="0" w:space="0" w:color="auto"/>
        <w:left w:val="none" w:sz="0" w:space="0" w:color="auto"/>
        <w:bottom w:val="none" w:sz="0" w:space="0" w:color="auto"/>
        <w:right w:val="none" w:sz="0" w:space="0" w:color="auto"/>
      </w:divBdr>
    </w:div>
    <w:div w:id="232207247">
      <w:bodyDiv w:val="1"/>
      <w:marLeft w:val="0"/>
      <w:marRight w:val="0"/>
      <w:marTop w:val="0"/>
      <w:marBottom w:val="0"/>
      <w:divBdr>
        <w:top w:val="none" w:sz="0" w:space="0" w:color="auto"/>
        <w:left w:val="none" w:sz="0" w:space="0" w:color="auto"/>
        <w:bottom w:val="none" w:sz="0" w:space="0" w:color="auto"/>
        <w:right w:val="none" w:sz="0" w:space="0" w:color="auto"/>
      </w:divBdr>
    </w:div>
    <w:div w:id="256602893">
      <w:bodyDiv w:val="1"/>
      <w:marLeft w:val="0"/>
      <w:marRight w:val="0"/>
      <w:marTop w:val="0"/>
      <w:marBottom w:val="0"/>
      <w:divBdr>
        <w:top w:val="none" w:sz="0" w:space="0" w:color="auto"/>
        <w:left w:val="none" w:sz="0" w:space="0" w:color="auto"/>
        <w:bottom w:val="none" w:sz="0" w:space="0" w:color="auto"/>
        <w:right w:val="none" w:sz="0" w:space="0" w:color="auto"/>
      </w:divBdr>
    </w:div>
    <w:div w:id="264576197">
      <w:bodyDiv w:val="1"/>
      <w:marLeft w:val="0"/>
      <w:marRight w:val="0"/>
      <w:marTop w:val="0"/>
      <w:marBottom w:val="0"/>
      <w:divBdr>
        <w:top w:val="none" w:sz="0" w:space="0" w:color="auto"/>
        <w:left w:val="none" w:sz="0" w:space="0" w:color="auto"/>
        <w:bottom w:val="none" w:sz="0" w:space="0" w:color="auto"/>
        <w:right w:val="none" w:sz="0" w:space="0" w:color="auto"/>
      </w:divBdr>
    </w:div>
    <w:div w:id="264928008">
      <w:bodyDiv w:val="1"/>
      <w:marLeft w:val="0"/>
      <w:marRight w:val="0"/>
      <w:marTop w:val="0"/>
      <w:marBottom w:val="0"/>
      <w:divBdr>
        <w:top w:val="none" w:sz="0" w:space="0" w:color="auto"/>
        <w:left w:val="none" w:sz="0" w:space="0" w:color="auto"/>
        <w:bottom w:val="none" w:sz="0" w:space="0" w:color="auto"/>
        <w:right w:val="none" w:sz="0" w:space="0" w:color="auto"/>
      </w:divBdr>
    </w:div>
    <w:div w:id="267810088">
      <w:bodyDiv w:val="1"/>
      <w:marLeft w:val="0"/>
      <w:marRight w:val="0"/>
      <w:marTop w:val="0"/>
      <w:marBottom w:val="0"/>
      <w:divBdr>
        <w:top w:val="none" w:sz="0" w:space="0" w:color="auto"/>
        <w:left w:val="none" w:sz="0" w:space="0" w:color="auto"/>
        <w:bottom w:val="none" w:sz="0" w:space="0" w:color="auto"/>
        <w:right w:val="none" w:sz="0" w:space="0" w:color="auto"/>
      </w:divBdr>
    </w:div>
    <w:div w:id="268708866">
      <w:bodyDiv w:val="1"/>
      <w:marLeft w:val="0"/>
      <w:marRight w:val="0"/>
      <w:marTop w:val="0"/>
      <w:marBottom w:val="0"/>
      <w:divBdr>
        <w:top w:val="none" w:sz="0" w:space="0" w:color="auto"/>
        <w:left w:val="none" w:sz="0" w:space="0" w:color="auto"/>
        <w:bottom w:val="none" w:sz="0" w:space="0" w:color="auto"/>
        <w:right w:val="none" w:sz="0" w:space="0" w:color="auto"/>
      </w:divBdr>
    </w:div>
    <w:div w:id="269582134">
      <w:bodyDiv w:val="1"/>
      <w:marLeft w:val="0"/>
      <w:marRight w:val="0"/>
      <w:marTop w:val="0"/>
      <w:marBottom w:val="0"/>
      <w:divBdr>
        <w:top w:val="none" w:sz="0" w:space="0" w:color="auto"/>
        <w:left w:val="none" w:sz="0" w:space="0" w:color="auto"/>
        <w:bottom w:val="none" w:sz="0" w:space="0" w:color="auto"/>
        <w:right w:val="none" w:sz="0" w:space="0" w:color="auto"/>
      </w:divBdr>
    </w:div>
    <w:div w:id="279075714">
      <w:bodyDiv w:val="1"/>
      <w:marLeft w:val="0"/>
      <w:marRight w:val="0"/>
      <w:marTop w:val="0"/>
      <w:marBottom w:val="0"/>
      <w:divBdr>
        <w:top w:val="none" w:sz="0" w:space="0" w:color="auto"/>
        <w:left w:val="none" w:sz="0" w:space="0" w:color="auto"/>
        <w:bottom w:val="none" w:sz="0" w:space="0" w:color="auto"/>
        <w:right w:val="none" w:sz="0" w:space="0" w:color="auto"/>
      </w:divBdr>
    </w:div>
    <w:div w:id="280570406">
      <w:bodyDiv w:val="1"/>
      <w:marLeft w:val="0"/>
      <w:marRight w:val="0"/>
      <w:marTop w:val="0"/>
      <w:marBottom w:val="0"/>
      <w:divBdr>
        <w:top w:val="none" w:sz="0" w:space="0" w:color="auto"/>
        <w:left w:val="none" w:sz="0" w:space="0" w:color="auto"/>
        <w:bottom w:val="none" w:sz="0" w:space="0" w:color="auto"/>
        <w:right w:val="none" w:sz="0" w:space="0" w:color="auto"/>
      </w:divBdr>
    </w:div>
    <w:div w:id="282001464">
      <w:bodyDiv w:val="1"/>
      <w:marLeft w:val="0"/>
      <w:marRight w:val="0"/>
      <w:marTop w:val="0"/>
      <w:marBottom w:val="0"/>
      <w:divBdr>
        <w:top w:val="none" w:sz="0" w:space="0" w:color="auto"/>
        <w:left w:val="none" w:sz="0" w:space="0" w:color="auto"/>
        <w:bottom w:val="none" w:sz="0" w:space="0" w:color="auto"/>
        <w:right w:val="none" w:sz="0" w:space="0" w:color="auto"/>
      </w:divBdr>
    </w:div>
    <w:div w:id="285894113">
      <w:bodyDiv w:val="1"/>
      <w:marLeft w:val="0"/>
      <w:marRight w:val="0"/>
      <w:marTop w:val="0"/>
      <w:marBottom w:val="0"/>
      <w:divBdr>
        <w:top w:val="none" w:sz="0" w:space="0" w:color="auto"/>
        <w:left w:val="none" w:sz="0" w:space="0" w:color="auto"/>
        <w:bottom w:val="none" w:sz="0" w:space="0" w:color="auto"/>
        <w:right w:val="none" w:sz="0" w:space="0" w:color="auto"/>
      </w:divBdr>
    </w:div>
    <w:div w:id="286475436">
      <w:bodyDiv w:val="1"/>
      <w:marLeft w:val="0"/>
      <w:marRight w:val="0"/>
      <w:marTop w:val="0"/>
      <w:marBottom w:val="0"/>
      <w:divBdr>
        <w:top w:val="none" w:sz="0" w:space="0" w:color="auto"/>
        <w:left w:val="none" w:sz="0" w:space="0" w:color="auto"/>
        <w:bottom w:val="none" w:sz="0" w:space="0" w:color="auto"/>
        <w:right w:val="none" w:sz="0" w:space="0" w:color="auto"/>
      </w:divBdr>
      <w:divsChild>
        <w:div w:id="2051295057">
          <w:marLeft w:val="0"/>
          <w:marRight w:val="0"/>
          <w:marTop w:val="0"/>
          <w:marBottom w:val="0"/>
          <w:divBdr>
            <w:top w:val="none" w:sz="0" w:space="0" w:color="auto"/>
            <w:left w:val="none" w:sz="0" w:space="0" w:color="auto"/>
            <w:bottom w:val="none" w:sz="0" w:space="0" w:color="auto"/>
            <w:right w:val="none" w:sz="0" w:space="0" w:color="auto"/>
          </w:divBdr>
          <w:divsChild>
            <w:div w:id="820080541">
              <w:marLeft w:val="0"/>
              <w:marRight w:val="0"/>
              <w:marTop w:val="0"/>
              <w:marBottom w:val="0"/>
              <w:divBdr>
                <w:top w:val="none" w:sz="0" w:space="0" w:color="auto"/>
                <w:left w:val="none" w:sz="0" w:space="0" w:color="auto"/>
                <w:bottom w:val="none" w:sz="0" w:space="0" w:color="auto"/>
                <w:right w:val="none" w:sz="0" w:space="0" w:color="auto"/>
              </w:divBdr>
              <w:divsChild>
                <w:div w:id="508758858">
                  <w:marLeft w:val="0"/>
                  <w:marRight w:val="0"/>
                  <w:marTop w:val="0"/>
                  <w:marBottom w:val="0"/>
                  <w:divBdr>
                    <w:top w:val="none" w:sz="0" w:space="0" w:color="auto"/>
                    <w:left w:val="none" w:sz="0" w:space="0" w:color="auto"/>
                    <w:bottom w:val="none" w:sz="0" w:space="0" w:color="auto"/>
                    <w:right w:val="none" w:sz="0" w:space="0" w:color="auto"/>
                  </w:divBdr>
                  <w:divsChild>
                    <w:div w:id="1713653178">
                      <w:marLeft w:val="0"/>
                      <w:marRight w:val="0"/>
                      <w:marTop w:val="0"/>
                      <w:marBottom w:val="0"/>
                      <w:divBdr>
                        <w:top w:val="none" w:sz="0" w:space="0" w:color="auto"/>
                        <w:left w:val="none" w:sz="0" w:space="0" w:color="auto"/>
                        <w:bottom w:val="none" w:sz="0" w:space="0" w:color="auto"/>
                        <w:right w:val="none" w:sz="0" w:space="0" w:color="auto"/>
                      </w:divBdr>
                      <w:divsChild>
                        <w:div w:id="61293739">
                          <w:marLeft w:val="0"/>
                          <w:marRight w:val="0"/>
                          <w:marTop w:val="0"/>
                          <w:marBottom w:val="0"/>
                          <w:divBdr>
                            <w:top w:val="none" w:sz="0" w:space="0" w:color="auto"/>
                            <w:left w:val="none" w:sz="0" w:space="0" w:color="auto"/>
                            <w:bottom w:val="none" w:sz="0" w:space="0" w:color="auto"/>
                            <w:right w:val="none" w:sz="0" w:space="0" w:color="auto"/>
                          </w:divBdr>
                          <w:divsChild>
                            <w:div w:id="236407550">
                              <w:marLeft w:val="0"/>
                              <w:marRight w:val="0"/>
                              <w:marTop w:val="0"/>
                              <w:marBottom w:val="0"/>
                              <w:divBdr>
                                <w:top w:val="none" w:sz="0" w:space="0" w:color="auto"/>
                                <w:left w:val="none" w:sz="0" w:space="0" w:color="auto"/>
                                <w:bottom w:val="none" w:sz="0" w:space="0" w:color="auto"/>
                                <w:right w:val="none" w:sz="0" w:space="0" w:color="auto"/>
                              </w:divBdr>
                              <w:divsChild>
                                <w:div w:id="1786121157">
                                  <w:marLeft w:val="0"/>
                                  <w:marRight w:val="0"/>
                                  <w:marTop w:val="0"/>
                                  <w:marBottom w:val="0"/>
                                  <w:divBdr>
                                    <w:top w:val="none" w:sz="0" w:space="0" w:color="auto"/>
                                    <w:left w:val="none" w:sz="0" w:space="0" w:color="auto"/>
                                    <w:bottom w:val="none" w:sz="0" w:space="0" w:color="auto"/>
                                    <w:right w:val="none" w:sz="0" w:space="0" w:color="auto"/>
                                  </w:divBdr>
                                  <w:divsChild>
                                    <w:div w:id="1274442813">
                                      <w:marLeft w:val="0"/>
                                      <w:marRight w:val="0"/>
                                      <w:marTop w:val="0"/>
                                      <w:marBottom w:val="0"/>
                                      <w:divBdr>
                                        <w:top w:val="none" w:sz="0" w:space="0" w:color="auto"/>
                                        <w:left w:val="none" w:sz="0" w:space="0" w:color="auto"/>
                                        <w:bottom w:val="none" w:sz="0" w:space="0" w:color="auto"/>
                                        <w:right w:val="none" w:sz="0" w:space="0" w:color="auto"/>
                                      </w:divBdr>
                                      <w:divsChild>
                                        <w:div w:id="2039961868">
                                          <w:marLeft w:val="0"/>
                                          <w:marRight w:val="0"/>
                                          <w:marTop w:val="0"/>
                                          <w:marBottom w:val="495"/>
                                          <w:divBdr>
                                            <w:top w:val="none" w:sz="0" w:space="0" w:color="auto"/>
                                            <w:left w:val="none" w:sz="0" w:space="0" w:color="auto"/>
                                            <w:bottom w:val="none" w:sz="0" w:space="0" w:color="auto"/>
                                            <w:right w:val="none" w:sz="0" w:space="0" w:color="auto"/>
                                          </w:divBdr>
                                          <w:divsChild>
                                            <w:div w:id="1045372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88442896">
      <w:bodyDiv w:val="1"/>
      <w:marLeft w:val="0"/>
      <w:marRight w:val="0"/>
      <w:marTop w:val="0"/>
      <w:marBottom w:val="0"/>
      <w:divBdr>
        <w:top w:val="none" w:sz="0" w:space="0" w:color="auto"/>
        <w:left w:val="none" w:sz="0" w:space="0" w:color="auto"/>
        <w:bottom w:val="none" w:sz="0" w:space="0" w:color="auto"/>
        <w:right w:val="none" w:sz="0" w:space="0" w:color="auto"/>
      </w:divBdr>
    </w:div>
    <w:div w:id="296372579">
      <w:bodyDiv w:val="1"/>
      <w:marLeft w:val="0"/>
      <w:marRight w:val="0"/>
      <w:marTop w:val="0"/>
      <w:marBottom w:val="0"/>
      <w:divBdr>
        <w:top w:val="none" w:sz="0" w:space="0" w:color="auto"/>
        <w:left w:val="none" w:sz="0" w:space="0" w:color="auto"/>
        <w:bottom w:val="none" w:sz="0" w:space="0" w:color="auto"/>
        <w:right w:val="none" w:sz="0" w:space="0" w:color="auto"/>
      </w:divBdr>
    </w:div>
    <w:div w:id="297609151">
      <w:bodyDiv w:val="1"/>
      <w:marLeft w:val="0"/>
      <w:marRight w:val="0"/>
      <w:marTop w:val="0"/>
      <w:marBottom w:val="0"/>
      <w:divBdr>
        <w:top w:val="none" w:sz="0" w:space="0" w:color="auto"/>
        <w:left w:val="none" w:sz="0" w:space="0" w:color="auto"/>
        <w:bottom w:val="none" w:sz="0" w:space="0" w:color="auto"/>
        <w:right w:val="none" w:sz="0" w:space="0" w:color="auto"/>
      </w:divBdr>
    </w:div>
    <w:div w:id="299963776">
      <w:bodyDiv w:val="1"/>
      <w:marLeft w:val="0"/>
      <w:marRight w:val="0"/>
      <w:marTop w:val="0"/>
      <w:marBottom w:val="0"/>
      <w:divBdr>
        <w:top w:val="none" w:sz="0" w:space="0" w:color="auto"/>
        <w:left w:val="none" w:sz="0" w:space="0" w:color="auto"/>
        <w:bottom w:val="none" w:sz="0" w:space="0" w:color="auto"/>
        <w:right w:val="none" w:sz="0" w:space="0" w:color="auto"/>
      </w:divBdr>
    </w:div>
    <w:div w:id="301230771">
      <w:bodyDiv w:val="1"/>
      <w:marLeft w:val="0"/>
      <w:marRight w:val="0"/>
      <w:marTop w:val="0"/>
      <w:marBottom w:val="0"/>
      <w:divBdr>
        <w:top w:val="none" w:sz="0" w:space="0" w:color="auto"/>
        <w:left w:val="none" w:sz="0" w:space="0" w:color="auto"/>
        <w:bottom w:val="none" w:sz="0" w:space="0" w:color="auto"/>
        <w:right w:val="none" w:sz="0" w:space="0" w:color="auto"/>
      </w:divBdr>
    </w:div>
    <w:div w:id="305473029">
      <w:bodyDiv w:val="1"/>
      <w:marLeft w:val="0"/>
      <w:marRight w:val="0"/>
      <w:marTop w:val="0"/>
      <w:marBottom w:val="0"/>
      <w:divBdr>
        <w:top w:val="none" w:sz="0" w:space="0" w:color="auto"/>
        <w:left w:val="none" w:sz="0" w:space="0" w:color="auto"/>
        <w:bottom w:val="none" w:sz="0" w:space="0" w:color="auto"/>
        <w:right w:val="none" w:sz="0" w:space="0" w:color="auto"/>
      </w:divBdr>
    </w:div>
    <w:div w:id="306277858">
      <w:bodyDiv w:val="1"/>
      <w:marLeft w:val="0"/>
      <w:marRight w:val="0"/>
      <w:marTop w:val="0"/>
      <w:marBottom w:val="0"/>
      <w:divBdr>
        <w:top w:val="none" w:sz="0" w:space="0" w:color="auto"/>
        <w:left w:val="none" w:sz="0" w:space="0" w:color="auto"/>
        <w:bottom w:val="none" w:sz="0" w:space="0" w:color="auto"/>
        <w:right w:val="none" w:sz="0" w:space="0" w:color="auto"/>
      </w:divBdr>
    </w:div>
    <w:div w:id="306590753">
      <w:bodyDiv w:val="1"/>
      <w:marLeft w:val="0"/>
      <w:marRight w:val="0"/>
      <w:marTop w:val="0"/>
      <w:marBottom w:val="0"/>
      <w:divBdr>
        <w:top w:val="none" w:sz="0" w:space="0" w:color="auto"/>
        <w:left w:val="none" w:sz="0" w:space="0" w:color="auto"/>
        <w:bottom w:val="none" w:sz="0" w:space="0" w:color="auto"/>
        <w:right w:val="none" w:sz="0" w:space="0" w:color="auto"/>
      </w:divBdr>
    </w:div>
    <w:div w:id="321853562">
      <w:bodyDiv w:val="1"/>
      <w:marLeft w:val="0"/>
      <w:marRight w:val="0"/>
      <w:marTop w:val="0"/>
      <w:marBottom w:val="0"/>
      <w:divBdr>
        <w:top w:val="none" w:sz="0" w:space="0" w:color="auto"/>
        <w:left w:val="none" w:sz="0" w:space="0" w:color="auto"/>
        <w:bottom w:val="none" w:sz="0" w:space="0" w:color="auto"/>
        <w:right w:val="none" w:sz="0" w:space="0" w:color="auto"/>
      </w:divBdr>
    </w:div>
    <w:div w:id="327055393">
      <w:bodyDiv w:val="1"/>
      <w:marLeft w:val="0"/>
      <w:marRight w:val="0"/>
      <w:marTop w:val="0"/>
      <w:marBottom w:val="0"/>
      <w:divBdr>
        <w:top w:val="none" w:sz="0" w:space="0" w:color="auto"/>
        <w:left w:val="none" w:sz="0" w:space="0" w:color="auto"/>
        <w:bottom w:val="none" w:sz="0" w:space="0" w:color="auto"/>
        <w:right w:val="none" w:sz="0" w:space="0" w:color="auto"/>
      </w:divBdr>
    </w:div>
    <w:div w:id="332681120">
      <w:bodyDiv w:val="1"/>
      <w:marLeft w:val="0"/>
      <w:marRight w:val="0"/>
      <w:marTop w:val="0"/>
      <w:marBottom w:val="0"/>
      <w:divBdr>
        <w:top w:val="none" w:sz="0" w:space="0" w:color="auto"/>
        <w:left w:val="none" w:sz="0" w:space="0" w:color="auto"/>
        <w:bottom w:val="none" w:sz="0" w:space="0" w:color="auto"/>
        <w:right w:val="none" w:sz="0" w:space="0" w:color="auto"/>
      </w:divBdr>
    </w:div>
    <w:div w:id="343754380">
      <w:bodyDiv w:val="1"/>
      <w:marLeft w:val="0"/>
      <w:marRight w:val="0"/>
      <w:marTop w:val="0"/>
      <w:marBottom w:val="0"/>
      <w:divBdr>
        <w:top w:val="none" w:sz="0" w:space="0" w:color="auto"/>
        <w:left w:val="none" w:sz="0" w:space="0" w:color="auto"/>
        <w:bottom w:val="none" w:sz="0" w:space="0" w:color="auto"/>
        <w:right w:val="none" w:sz="0" w:space="0" w:color="auto"/>
      </w:divBdr>
      <w:divsChild>
        <w:div w:id="337850442">
          <w:marLeft w:val="706"/>
          <w:marRight w:val="0"/>
          <w:marTop w:val="96"/>
          <w:marBottom w:val="144"/>
          <w:divBdr>
            <w:top w:val="none" w:sz="0" w:space="0" w:color="auto"/>
            <w:left w:val="none" w:sz="0" w:space="0" w:color="auto"/>
            <w:bottom w:val="none" w:sz="0" w:space="0" w:color="auto"/>
            <w:right w:val="none" w:sz="0" w:space="0" w:color="auto"/>
          </w:divBdr>
        </w:div>
        <w:div w:id="1867789119">
          <w:marLeft w:val="706"/>
          <w:marRight w:val="0"/>
          <w:marTop w:val="96"/>
          <w:marBottom w:val="144"/>
          <w:divBdr>
            <w:top w:val="none" w:sz="0" w:space="0" w:color="auto"/>
            <w:left w:val="none" w:sz="0" w:space="0" w:color="auto"/>
            <w:bottom w:val="none" w:sz="0" w:space="0" w:color="auto"/>
            <w:right w:val="none" w:sz="0" w:space="0" w:color="auto"/>
          </w:divBdr>
        </w:div>
      </w:divsChild>
    </w:div>
    <w:div w:id="344207305">
      <w:bodyDiv w:val="1"/>
      <w:marLeft w:val="0"/>
      <w:marRight w:val="0"/>
      <w:marTop w:val="0"/>
      <w:marBottom w:val="0"/>
      <w:divBdr>
        <w:top w:val="none" w:sz="0" w:space="0" w:color="auto"/>
        <w:left w:val="none" w:sz="0" w:space="0" w:color="auto"/>
        <w:bottom w:val="none" w:sz="0" w:space="0" w:color="auto"/>
        <w:right w:val="none" w:sz="0" w:space="0" w:color="auto"/>
      </w:divBdr>
    </w:div>
    <w:div w:id="350227748">
      <w:bodyDiv w:val="1"/>
      <w:marLeft w:val="0"/>
      <w:marRight w:val="0"/>
      <w:marTop w:val="0"/>
      <w:marBottom w:val="0"/>
      <w:divBdr>
        <w:top w:val="none" w:sz="0" w:space="0" w:color="auto"/>
        <w:left w:val="none" w:sz="0" w:space="0" w:color="auto"/>
        <w:bottom w:val="none" w:sz="0" w:space="0" w:color="auto"/>
        <w:right w:val="none" w:sz="0" w:space="0" w:color="auto"/>
      </w:divBdr>
    </w:div>
    <w:div w:id="351541242">
      <w:bodyDiv w:val="1"/>
      <w:marLeft w:val="0"/>
      <w:marRight w:val="0"/>
      <w:marTop w:val="0"/>
      <w:marBottom w:val="0"/>
      <w:divBdr>
        <w:top w:val="none" w:sz="0" w:space="0" w:color="auto"/>
        <w:left w:val="none" w:sz="0" w:space="0" w:color="auto"/>
        <w:bottom w:val="none" w:sz="0" w:space="0" w:color="auto"/>
        <w:right w:val="none" w:sz="0" w:space="0" w:color="auto"/>
      </w:divBdr>
    </w:div>
    <w:div w:id="363214378">
      <w:bodyDiv w:val="1"/>
      <w:marLeft w:val="0"/>
      <w:marRight w:val="0"/>
      <w:marTop w:val="0"/>
      <w:marBottom w:val="0"/>
      <w:divBdr>
        <w:top w:val="none" w:sz="0" w:space="0" w:color="auto"/>
        <w:left w:val="none" w:sz="0" w:space="0" w:color="auto"/>
        <w:bottom w:val="none" w:sz="0" w:space="0" w:color="auto"/>
        <w:right w:val="none" w:sz="0" w:space="0" w:color="auto"/>
      </w:divBdr>
    </w:div>
    <w:div w:id="366178007">
      <w:bodyDiv w:val="1"/>
      <w:marLeft w:val="0"/>
      <w:marRight w:val="0"/>
      <w:marTop w:val="0"/>
      <w:marBottom w:val="0"/>
      <w:divBdr>
        <w:top w:val="none" w:sz="0" w:space="0" w:color="auto"/>
        <w:left w:val="none" w:sz="0" w:space="0" w:color="auto"/>
        <w:bottom w:val="none" w:sz="0" w:space="0" w:color="auto"/>
        <w:right w:val="none" w:sz="0" w:space="0" w:color="auto"/>
      </w:divBdr>
    </w:div>
    <w:div w:id="366685899">
      <w:bodyDiv w:val="1"/>
      <w:marLeft w:val="0"/>
      <w:marRight w:val="0"/>
      <w:marTop w:val="0"/>
      <w:marBottom w:val="0"/>
      <w:divBdr>
        <w:top w:val="none" w:sz="0" w:space="0" w:color="auto"/>
        <w:left w:val="none" w:sz="0" w:space="0" w:color="auto"/>
        <w:bottom w:val="none" w:sz="0" w:space="0" w:color="auto"/>
        <w:right w:val="none" w:sz="0" w:space="0" w:color="auto"/>
      </w:divBdr>
    </w:div>
    <w:div w:id="370344322">
      <w:bodyDiv w:val="1"/>
      <w:marLeft w:val="0"/>
      <w:marRight w:val="0"/>
      <w:marTop w:val="0"/>
      <w:marBottom w:val="0"/>
      <w:divBdr>
        <w:top w:val="none" w:sz="0" w:space="0" w:color="auto"/>
        <w:left w:val="none" w:sz="0" w:space="0" w:color="auto"/>
        <w:bottom w:val="none" w:sz="0" w:space="0" w:color="auto"/>
        <w:right w:val="none" w:sz="0" w:space="0" w:color="auto"/>
      </w:divBdr>
    </w:div>
    <w:div w:id="371420807">
      <w:bodyDiv w:val="1"/>
      <w:marLeft w:val="0"/>
      <w:marRight w:val="0"/>
      <w:marTop w:val="0"/>
      <w:marBottom w:val="0"/>
      <w:divBdr>
        <w:top w:val="none" w:sz="0" w:space="0" w:color="auto"/>
        <w:left w:val="none" w:sz="0" w:space="0" w:color="auto"/>
        <w:bottom w:val="none" w:sz="0" w:space="0" w:color="auto"/>
        <w:right w:val="none" w:sz="0" w:space="0" w:color="auto"/>
      </w:divBdr>
    </w:div>
    <w:div w:id="371542156">
      <w:bodyDiv w:val="1"/>
      <w:marLeft w:val="0"/>
      <w:marRight w:val="0"/>
      <w:marTop w:val="0"/>
      <w:marBottom w:val="0"/>
      <w:divBdr>
        <w:top w:val="none" w:sz="0" w:space="0" w:color="auto"/>
        <w:left w:val="none" w:sz="0" w:space="0" w:color="auto"/>
        <w:bottom w:val="none" w:sz="0" w:space="0" w:color="auto"/>
        <w:right w:val="none" w:sz="0" w:space="0" w:color="auto"/>
      </w:divBdr>
    </w:div>
    <w:div w:id="373701585">
      <w:bodyDiv w:val="1"/>
      <w:marLeft w:val="0"/>
      <w:marRight w:val="0"/>
      <w:marTop w:val="0"/>
      <w:marBottom w:val="0"/>
      <w:divBdr>
        <w:top w:val="none" w:sz="0" w:space="0" w:color="auto"/>
        <w:left w:val="none" w:sz="0" w:space="0" w:color="auto"/>
        <w:bottom w:val="none" w:sz="0" w:space="0" w:color="auto"/>
        <w:right w:val="none" w:sz="0" w:space="0" w:color="auto"/>
      </w:divBdr>
    </w:div>
    <w:div w:id="375205271">
      <w:bodyDiv w:val="1"/>
      <w:marLeft w:val="0"/>
      <w:marRight w:val="0"/>
      <w:marTop w:val="0"/>
      <w:marBottom w:val="0"/>
      <w:divBdr>
        <w:top w:val="none" w:sz="0" w:space="0" w:color="auto"/>
        <w:left w:val="none" w:sz="0" w:space="0" w:color="auto"/>
        <w:bottom w:val="none" w:sz="0" w:space="0" w:color="auto"/>
        <w:right w:val="none" w:sz="0" w:space="0" w:color="auto"/>
      </w:divBdr>
    </w:div>
    <w:div w:id="380250634">
      <w:bodyDiv w:val="1"/>
      <w:marLeft w:val="0"/>
      <w:marRight w:val="0"/>
      <w:marTop w:val="0"/>
      <w:marBottom w:val="0"/>
      <w:divBdr>
        <w:top w:val="none" w:sz="0" w:space="0" w:color="auto"/>
        <w:left w:val="none" w:sz="0" w:space="0" w:color="auto"/>
        <w:bottom w:val="none" w:sz="0" w:space="0" w:color="auto"/>
        <w:right w:val="none" w:sz="0" w:space="0" w:color="auto"/>
      </w:divBdr>
    </w:div>
    <w:div w:id="380397834">
      <w:bodyDiv w:val="1"/>
      <w:marLeft w:val="0"/>
      <w:marRight w:val="0"/>
      <w:marTop w:val="0"/>
      <w:marBottom w:val="0"/>
      <w:divBdr>
        <w:top w:val="none" w:sz="0" w:space="0" w:color="auto"/>
        <w:left w:val="none" w:sz="0" w:space="0" w:color="auto"/>
        <w:bottom w:val="none" w:sz="0" w:space="0" w:color="auto"/>
        <w:right w:val="none" w:sz="0" w:space="0" w:color="auto"/>
      </w:divBdr>
    </w:div>
    <w:div w:id="380982883">
      <w:bodyDiv w:val="1"/>
      <w:marLeft w:val="0"/>
      <w:marRight w:val="0"/>
      <w:marTop w:val="0"/>
      <w:marBottom w:val="0"/>
      <w:divBdr>
        <w:top w:val="none" w:sz="0" w:space="0" w:color="auto"/>
        <w:left w:val="none" w:sz="0" w:space="0" w:color="auto"/>
        <w:bottom w:val="none" w:sz="0" w:space="0" w:color="auto"/>
        <w:right w:val="none" w:sz="0" w:space="0" w:color="auto"/>
      </w:divBdr>
    </w:div>
    <w:div w:id="387338403">
      <w:bodyDiv w:val="1"/>
      <w:marLeft w:val="0"/>
      <w:marRight w:val="0"/>
      <w:marTop w:val="0"/>
      <w:marBottom w:val="0"/>
      <w:divBdr>
        <w:top w:val="none" w:sz="0" w:space="0" w:color="auto"/>
        <w:left w:val="none" w:sz="0" w:space="0" w:color="auto"/>
        <w:bottom w:val="none" w:sz="0" w:space="0" w:color="auto"/>
        <w:right w:val="none" w:sz="0" w:space="0" w:color="auto"/>
      </w:divBdr>
    </w:div>
    <w:div w:id="390470445">
      <w:bodyDiv w:val="1"/>
      <w:marLeft w:val="0"/>
      <w:marRight w:val="0"/>
      <w:marTop w:val="0"/>
      <w:marBottom w:val="0"/>
      <w:divBdr>
        <w:top w:val="none" w:sz="0" w:space="0" w:color="auto"/>
        <w:left w:val="none" w:sz="0" w:space="0" w:color="auto"/>
        <w:bottom w:val="none" w:sz="0" w:space="0" w:color="auto"/>
        <w:right w:val="none" w:sz="0" w:space="0" w:color="auto"/>
      </w:divBdr>
    </w:div>
    <w:div w:id="394747126">
      <w:bodyDiv w:val="1"/>
      <w:marLeft w:val="0"/>
      <w:marRight w:val="0"/>
      <w:marTop w:val="0"/>
      <w:marBottom w:val="0"/>
      <w:divBdr>
        <w:top w:val="none" w:sz="0" w:space="0" w:color="auto"/>
        <w:left w:val="none" w:sz="0" w:space="0" w:color="auto"/>
        <w:bottom w:val="none" w:sz="0" w:space="0" w:color="auto"/>
        <w:right w:val="none" w:sz="0" w:space="0" w:color="auto"/>
      </w:divBdr>
    </w:div>
    <w:div w:id="399906005">
      <w:bodyDiv w:val="1"/>
      <w:marLeft w:val="0"/>
      <w:marRight w:val="0"/>
      <w:marTop w:val="0"/>
      <w:marBottom w:val="0"/>
      <w:divBdr>
        <w:top w:val="none" w:sz="0" w:space="0" w:color="auto"/>
        <w:left w:val="none" w:sz="0" w:space="0" w:color="auto"/>
        <w:bottom w:val="none" w:sz="0" w:space="0" w:color="auto"/>
        <w:right w:val="none" w:sz="0" w:space="0" w:color="auto"/>
      </w:divBdr>
    </w:div>
    <w:div w:id="405156234">
      <w:bodyDiv w:val="1"/>
      <w:marLeft w:val="0"/>
      <w:marRight w:val="0"/>
      <w:marTop w:val="0"/>
      <w:marBottom w:val="0"/>
      <w:divBdr>
        <w:top w:val="none" w:sz="0" w:space="0" w:color="auto"/>
        <w:left w:val="none" w:sz="0" w:space="0" w:color="auto"/>
        <w:bottom w:val="none" w:sz="0" w:space="0" w:color="auto"/>
        <w:right w:val="none" w:sz="0" w:space="0" w:color="auto"/>
      </w:divBdr>
    </w:div>
    <w:div w:id="407389318">
      <w:bodyDiv w:val="1"/>
      <w:marLeft w:val="0"/>
      <w:marRight w:val="0"/>
      <w:marTop w:val="0"/>
      <w:marBottom w:val="0"/>
      <w:divBdr>
        <w:top w:val="none" w:sz="0" w:space="0" w:color="auto"/>
        <w:left w:val="none" w:sz="0" w:space="0" w:color="auto"/>
        <w:bottom w:val="none" w:sz="0" w:space="0" w:color="auto"/>
        <w:right w:val="none" w:sz="0" w:space="0" w:color="auto"/>
      </w:divBdr>
    </w:div>
    <w:div w:id="420033661">
      <w:bodyDiv w:val="1"/>
      <w:marLeft w:val="0"/>
      <w:marRight w:val="0"/>
      <w:marTop w:val="0"/>
      <w:marBottom w:val="0"/>
      <w:divBdr>
        <w:top w:val="none" w:sz="0" w:space="0" w:color="auto"/>
        <w:left w:val="none" w:sz="0" w:space="0" w:color="auto"/>
        <w:bottom w:val="none" w:sz="0" w:space="0" w:color="auto"/>
        <w:right w:val="none" w:sz="0" w:space="0" w:color="auto"/>
      </w:divBdr>
    </w:div>
    <w:div w:id="433669977">
      <w:bodyDiv w:val="1"/>
      <w:marLeft w:val="0"/>
      <w:marRight w:val="0"/>
      <w:marTop w:val="0"/>
      <w:marBottom w:val="0"/>
      <w:divBdr>
        <w:top w:val="none" w:sz="0" w:space="0" w:color="auto"/>
        <w:left w:val="none" w:sz="0" w:space="0" w:color="auto"/>
        <w:bottom w:val="none" w:sz="0" w:space="0" w:color="auto"/>
        <w:right w:val="none" w:sz="0" w:space="0" w:color="auto"/>
      </w:divBdr>
    </w:div>
    <w:div w:id="435517356">
      <w:bodyDiv w:val="1"/>
      <w:marLeft w:val="0"/>
      <w:marRight w:val="0"/>
      <w:marTop w:val="0"/>
      <w:marBottom w:val="0"/>
      <w:divBdr>
        <w:top w:val="none" w:sz="0" w:space="0" w:color="auto"/>
        <w:left w:val="none" w:sz="0" w:space="0" w:color="auto"/>
        <w:bottom w:val="none" w:sz="0" w:space="0" w:color="auto"/>
        <w:right w:val="none" w:sz="0" w:space="0" w:color="auto"/>
      </w:divBdr>
    </w:div>
    <w:div w:id="440539269">
      <w:bodyDiv w:val="1"/>
      <w:marLeft w:val="0"/>
      <w:marRight w:val="0"/>
      <w:marTop w:val="0"/>
      <w:marBottom w:val="0"/>
      <w:divBdr>
        <w:top w:val="none" w:sz="0" w:space="0" w:color="auto"/>
        <w:left w:val="none" w:sz="0" w:space="0" w:color="auto"/>
        <w:bottom w:val="none" w:sz="0" w:space="0" w:color="auto"/>
        <w:right w:val="none" w:sz="0" w:space="0" w:color="auto"/>
      </w:divBdr>
    </w:div>
    <w:div w:id="440614863">
      <w:bodyDiv w:val="1"/>
      <w:marLeft w:val="0"/>
      <w:marRight w:val="0"/>
      <w:marTop w:val="0"/>
      <w:marBottom w:val="0"/>
      <w:divBdr>
        <w:top w:val="none" w:sz="0" w:space="0" w:color="auto"/>
        <w:left w:val="none" w:sz="0" w:space="0" w:color="auto"/>
        <w:bottom w:val="none" w:sz="0" w:space="0" w:color="auto"/>
        <w:right w:val="none" w:sz="0" w:space="0" w:color="auto"/>
      </w:divBdr>
    </w:div>
    <w:div w:id="449469677">
      <w:bodyDiv w:val="1"/>
      <w:marLeft w:val="0"/>
      <w:marRight w:val="0"/>
      <w:marTop w:val="0"/>
      <w:marBottom w:val="0"/>
      <w:divBdr>
        <w:top w:val="none" w:sz="0" w:space="0" w:color="auto"/>
        <w:left w:val="none" w:sz="0" w:space="0" w:color="auto"/>
        <w:bottom w:val="none" w:sz="0" w:space="0" w:color="auto"/>
        <w:right w:val="none" w:sz="0" w:space="0" w:color="auto"/>
      </w:divBdr>
    </w:div>
    <w:div w:id="450518165">
      <w:bodyDiv w:val="1"/>
      <w:marLeft w:val="0"/>
      <w:marRight w:val="0"/>
      <w:marTop w:val="0"/>
      <w:marBottom w:val="0"/>
      <w:divBdr>
        <w:top w:val="none" w:sz="0" w:space="0" w:color="auto"/>
        <w:left w:val="none" w:sz="0" w:space="0" w:color="auto"/>
        <w:bottom w:val="none" w:sz="0" w:space="0" w:color="auto"/>
        <w:right w:val="none" w:sz="0" w:space="0" w:color="auto"/>
      </w:divBdr>
    </w:div>
    <w:div w:id="457260865">
      <w:bodyDiv w:val="1"/>
      <w:marLeft w:val="0"/>
      <w:marRight w:val="0"/>
      <w:marTop w:val="0"/>
      <w:marBottom w:val="0"/>
      <w:divBdr>
        <w:top w:val="none" w:sz="0" w:space="0" w:color="auto"/>
        <w:left w:val="none" w:sz="0" w:space="0" w:color="auto"/>
        <w:bottom w:val="none" w:sz="0" w:space="0" w:color="auto"/>
        <w:right w:val="none" w:sz="0" w:space="0" w:color="auto"/>
      </w:divBdr>
    </w:div>
    <w:div w:id="460347489">
      <w:bodyDiv w:val="1"/>
      <w:marLeft w:val="0"/>
      <w:marRight w:val="0"/>
      <w:marTop w:val="0"/>
      <w:marBottom w:val="0"/>
      <w:divBdr>
        <w:top w:val="none" w:sz="0" w:space="0" w:color="auto"/>
        <w:left w:val="none" w:sz="0" w:space="0" w:color="auto"/>
        <w:bottom w:val="none" w:sz="0" w:space="0" w:color="auto"/>
        <w:right w:val="none" w:sz="0" w:space="0" w:color="auto"/>
      </w:divBdr>
    </w:div>
    <w:div w:id="471554992">
      <w:bodyDiv w:val="1"/>
      <w:marLeft w:val="0"/>
      <w:marRight w:val="0"/>
      <w:marTop w:val="0"/>
      <w:marBottom w:val="0"/>
      <w:divBdr>
        <w:top w:val="none" w:sz="0" w:space="0" w:color="auto"/>
        <w:left w:val="none" w:sz="0" w:space="0" w:color="auto"/>
        <w:bottom w:val="none" w:sz="0" w:space="0" w:color="auto"/>
        <w:right w:val="none" w:sz="0" w:space="0" w:color="auto"/>
      </w:divBdr>
    </w:div>
    <w:div w:id="477653061">
      <w:bodyDiv w:val="1"/>
      <w:marLeft w:val="0"/>
      <w:marRight w:val="0"/>
      <w:marTop w:val="0"/>
      <w:marBottom w:val="0"/>
      <w:divBdr>
        <w:top w:val="none" w:sz="0" w:space="0" w:color="auto"/>
        <w:left w:val="none" w:sz="0" w:space="0" w:color="auto"/>
        <w:bottom w:val="none" w:sz="0" w:space="0" w:color="auto"/>
        <w:right w:val="none" w:sz="0" w:space="0" w:color="auto"/>
      </w:divBdr>
    </w:div>
    <w:div w:id="482281070">
      <w:bodyDiv w:val="1"/>
      <w:marLeft w:val="0"/>
      <w:marRight w:val="0"/>
      <w:marTop w:val="0"/>
      <w:marBottom w:val="0"/>
      <w:divBdr>
        <w:top w:val="none" w:sz="0" w:space="0" w:color="auto"/>
        <w:left w:val="none" w:sz="0" w:space="0" w:color="auto"/>
        <w:bottom w:val="none" w:sz="0" w:space="0" w:color="auto"/>
        <w:right w:val="none" w:sz="0" w:space="0" w:color="auto"/>
      </w:divBdr>
    </w:div>
    <w:div w:id="483400145">
      <w:bodyDiv w:val="1"/>
      <w:marLeft w:val="0"/>
      <w:marRight w:val="0"/>
      <w:marTop w:val="0"/>
      <w:marBottom w:val="0"/>
      <w:divBdr>
        <w:top w:val="none" w:sz="0" w:space="0" w:color="auto"/>
        <w:left w:val="none" w:sz="0" w:space="0" w:color="auto"/>
        <w:bottom w:val="none" w:sz="0" w:space="0" w:color="auto"/>
        <w:right w:val="none" w:sz="0" w:space="0" w:color="auto"/>
      </w:divBdr>
    </w:div>
    <w:div w:id="486749781">
      <w:bodyDiv w:val="1"/>
      <w:marLeft w:val="0"/>
      <w:marRight w:val="0"/>
      <w:marTop w:val="0"/>
      <w:marBottom w:val="0"/>
      <w:divBdr>
        <w:top w:val="none" w:sz="0" w:space="0" w:color="auto"/>
        <w:left w:val="none" w:sz="0" w:space="0" w:color="auto"/>
        <w:bottom w:val="none" w:sz="0" w:space="0" w:color="auto"/>
        <w:right w:val="none" w:sz="0" w:space="0" w:color="auto"/>
      </w:divBdr>
    </w:div>
    <w:div w:id="486939076">
      <w:bodyDiv w:val="1"/>
      <w:marLeft w:val="0"/>
      <w:marRight w:val="0"/>
      <w:marTop w:val="0"/>
      <w:marBottom w:val="0"/>
      <w:divBdr>
        <w:top w:val="none" w:sz="0" w:space="0" w:color="auto"/>
        <w:left w:val="none" w:sz="0" w:space="0" w:color="auto"/>
        <w:bottom w:val="none" w:sz="0" w:space="0" w:color="auto"/>
        <w:right w:val="none" w:sz="0" w:space="0" w:color="auto"/>
      </w:divBdr>
    </w:div>
    <w:div w:id="489637823">
      <w:bodyDiv w:val="1"/>
      <w:marLeft w:val="0"/>
      <w:marRight w:val="0"/>
      <w:marTop w:val="0"/>
      <w:marBottom w:val="0"/>
      <w:divBdr>
        <w:top w:val="none" w:sz="0" w:space="0" w:color="auto"/>
        <w:left w:val="none" w:sz="0" w:space="0" w:color="auto"/>
        <w:bottom w:val="none" w:sz="0" w:space="0" w:color="auto"/>
        <w:right w:val="none" w:sz="0" w:space="0" w:color="auto"/>
      </w:divBdr>
    </w:div>
    <w:div w:id="491913322">
      <w:bodyDiv w:val="1"/>
      <w:marLeft w:val="0"/>
      <w:marRight w:val="0"/>
      <w:marTop w:val="0"/>
      <w:marBottom w:val="0"/>
      <w:divBdr>
        <w:top w:val="none" w:sz="0" w:space="0" w:color="auto"/>
        <w:left w:val="none" w:sz="0" w:space="0" w:color="auto"/>
        <w:bottom w:val="none" w:sz="0" w:space="0" w:color="auto"/>
        <w:right w:val="none" w:sz="0" w:space="0" w:color="auto"/>
      </w:divBdr>
    </w:div>
    <w:div w:id="495190971">
      <w:bodyDiv w:val="1"/>
      <w:marLeft w:val="0"/>
      <w:marRight w:val="0"/>
      <w:marTop w:val="0"/>
      <w:marBottom w:val="0"/>
      <w:divBdr>
        <w:top w:val="none" w:sz="0" w:space="0" w:color="auto"/>
        <w:left w:val="none" w:sz="0" w:space="0" w:color="auto"/>
        <w:bottom w:val="none" w:sz="0" w:space="0" w:color="auto"/>
        <w:right w:val="none" w:sz="0" w:space="0" w:color="auto"/>
      </w:divBdr>
    </w:div>
    <w:div w:id="498353065">
      <w:bodyDiv w:val="1"/>
      <w:marLeft w:val="0"/>
      <w:marRight w:val="0"/>
      <w:marTop w:val="0"/>
      <w:marBottom w:val="0"/>
      <w:divBdr>
        <w:top w:val="none" w:sz="0" w:space="0" w:color="auto"/>
        <w:left w:val="none" w:sz="0" w:space="0" w:color="auto"/>
        <w:bottom w:val="none" w:sz="0" w:space="0" w:color="auto"/>
        <w:right w:val="none" w:sz="0" w:space="0" w:color="auto"/>
      </w:divBdr>
    </w:div>
    <w:div w:id="498540370">
      <w:bodyDiv w:val="1"/>
      <w:marLeft w:val="0"/>
      <w:marRight w:val="0"/>
      <w:marTop w:val="0"/>
      <w:marBottom w:val="0"/>
      <w:divBdr>
        <w:top w:val="none" w:sz="0" w:space="0" w:color="auto"/>
        <w:left w:val="none" w:sz="0" w:space="0" w:color="auto"/>
        <w:bottom w:val="none" w:sz="0" w:space="0" w:color="auto"/>
        <w:right w:val="none" w:sz="0" w:space="0" w:color="auto"/>
      </w:divBdr>
    </w:div>
    <w:div w:id="500393055">
      <w:bodyDiv w:val="1"/>
      <w:marLeft w:val="0"/>
      <w:marRight w:val="0"/>
      <w:marTop w:val="0"/>
      <w:marBottom w:val="0"/>
      <w:divBdr>
        <w:top w:val="none" w:sz="0" w:space="0" w:color="auto"/>
        <w:left w:val="none" w:sz="0" w:space="0" w:color="auto"/>
        <w:bottom w:val="none" w:sz="0" w:space="0" w:color="auto"/>
        <w:right w:val="none" w:sz="0" w:space="0" w:color="auto"/>
      </w:divBdr>
    </w:div>
    <w:div w:id="500707351">
      <w:bodyDiv w:val="1"/>
      <w:marLeft w:val="0"/>
      <w:marRight w:val="0"/>
      <w:marTop w:val="0"/>
      <w:marBottom w:val="0"/>
      <w:divBdr>
        <w:top w:val="none" w:sz="0" w:space="0" w:color="auto"/>
        <w:left w:val="none" w:sz="0" w:space="0" w:color="auto"/>
        <w:bottom w:val="none" w:sz="0" w:space="0" w:color="auto"/>
        <w:right w:val="none" w:sz="0" w:space="0" w:color="auto"/>
      </w:divBdr>
    </w:div>
    <w:div w:id="501163016">
      <w:bodyDiv w:val="1"/>
      <w:marLeft w:val="0"/>
      <w:marRight w:val="0"/>
      <w:marTop w:val="0"/>
      <w:marBottom w:val="0"/>
      <w:divBdr>
        <w:top w:val="none" w:sz="0" w:space="0" w:color="auto"/>
        <w:left w:val="none" w:sz="0" w:space="0" w:color="auto"/>
        <w:bottom w:val="none" w:sz="0" w:space="0" w:color="auto"/>
        <w:right w:val="none" w:sz="0" w:space="0" w:color="auto"/>
      </w:divBdr>
    </w:div>
    <w:div w:id="501285593">
      <w:bodyDiv w:val="1"/>
      <w:marLeft w:val="0"/>
      <w:marRight w:val="0"/>
      <w:marTop w:val="0"/>
      <w:marBottom w:val="0"/>
      <w:divBdr>
        <w:top w:val="none" w:sz="0" w:space="0" w:color="auto"/>
        <w:left w:val="none" w:sz="0" w:space="0" w:color="auto"/>
        <w:bottom w:val="none" w:sz="0" w:space="0" w:color="auto"/>
        <w:right w:val="none" w:sz="0" w:space="0" w:color="auto"/>
      </w:divBdr>
    </w:div>
    <w:div w:id="516892529">
      <w:bodyDiv w:val="1"/>
      <w:marLeft w:val="0"/>
      <w:marRight w:val="0"/>
      <w:marTop w:val="0"/>
      <w:marBottom w:val="0"/>
      <w:divBdr>
        <w:top w:val="none" w:sz="0" w:space="0" w:color="auto"/>
        <w:left w:val="none" w:sz="0" w:space="0" w:color="auto"/>
        <w:bottom w:val="none" w:sz="0" w:space="0" w:color="auto"/>
        <w:right w:val="none" w:sz="0" w:space="0" w:color="auto"/>
      </w:divBdr>
    </w:div>
    <w:div w:id="521016665">
      <w:bodyDiv w:val="1"/>
      <w:marLeft w:val="0"/>
      <w:marRight w:val="0"/>
      <w:marTop w:val="0"/>
      <w:marBottom w:val="0"/>
      <w:divBdr>
        <w:top w:val="none" w:sz="0" w:space="0" w:color="auto"/>
        <w:left w:val="none" w:sz="0" w:space="0" w:color="auto"/>
        <w:bottom w:val="none" w:sz="0" w:space="0" w:color="auto"/>
        <w:right w:val="none" w:sz="0" w:space="0" w:color="auto"/>
      </w:divBdr>
    </w:div>
    <w:div w:id="521210679">
      <w:bodyDiv w:val="1"/>
      <w:marLeft w:val="0"/>
      <w:marRight w:val="0"/>
      <w:marTop w:val="0"/>
      <w:marBottom w:val="0"/>
      <w:divBdr>
        <w:top w:val="none" w:sz="0" w:space="0" w:color="auto"/>
        <w:left w:val="none" w:sz="0" w:space="0" w:color="auto"/>
        <w:bottom w:val="none" w:sz="0" w:space="0" w:color="auto"/>
        <w:right w:val="none" w:sz="0" w:space="0" w:color="auto"/>
      </w:divBdr>
    </w:div>
    <w:div w:id="522479399">
      <w:bodyDiv w:val="1"/>
      <w:marLeft w:val="0"/>
      <w:marRight w:val="0"/>
      <w:marTop w:val="0"/>
      <w:marBottom w:val="0"/>
      <w:divBdr>
        <w:top w:val="none" w:sz="0" w:space="0" w:color="auto"/>
        <w:left w:val="none" w:sz="0" w:space="0" w:color="auto"/>
        <w:bottom w:val="none" w:sz="0" w:space="0" w:color="auto"/>
        <w:right w:val="none" w:sz="0" w:space="0" w:color="auto"/>
      </w:divBdr>
    </w:div>
    <w:div w:id="523910150">
      <w:bodyDiv w:val="1"/>
      <w:marLeft w:val="0"/>
      <w:marRight w:val="0"/>
      <w:marTop w:val="0"/>
      <w:marBottom w:val="0"/>
      <w:divBdr>
        <w:top w:val="none" w:sz="0" w:space="0" w:color="auto"/>
        <w:left w:val="none" w:sz="0" w:space="0" w:color="auto"/>
        <w:bottom w:val="none" w:sz="0" w:space="0" w:color="auto"/>
        <w:right w:val="none" w:sz="0" w:space="0" w:color="auto"/>
      </w:divBdr>
    </w:div>
    <w:div w:id="528447426">
      <w:bodyDiv w:val="1"/>
      <w:marLeft w:val="0"/>
      <w:marRight w:val="0"/>
      <w:marTop w:val="0"/>
      <w:marBottom w:val="0"/>
      <w:divBdr>
        <w:top w:val="none" w:sz="0" w:space="0" w:color="auto"/>
        <w:left w:val="none" w:sz="0" w:space="0" w:color="auto"/>
        <w:bottom w:val="none" w:sz="0" w:space="0" w:color="auto"/>
        <w:right w:val="none" w:sz="0" w:space="0" w:color="auto"/>
      </w:divBdr>
      <w:divsChild>
        <w:div w:id="959800455">
          <w:marLeft w:val="547"/>
          <w:marRight w:val="0"/>
          <w:marTop w:val="86"/>
          <w:marBottom w:val="0"/>
          <w:divBdr>
            <w:top w:val="none" w:sz="0" w:space="0" w:color="auto"/>
            <w:left w:val="none" w:sz="0" w:space="0" w:color="auto"/>
            <w:bottom w:val="none" w:sz="0" w:space="0" w:color="auto"/>
            <w:right w:val="none" w:sz="0" w:space="0" w:color="auto"/>
          </w:divBdr>
        </w:div>
        <w:div w:id="1198346866">
          <w:marLeft w:val="547"/>
          <w:marRight w:val="0"/>
          <w:marTop w:val="86"/>
          <w:marBottom w:val="0"/>
          <w:divBdr>
            <w:top w:val="none" w:sz="0" w:space="0" w:color="auto"/>
            <w:left w:val="none" w:sz="0" w:space="0" w:color="auto"/>
            <w:bottom w:val="none" w:sz="0" w:space="0" w:color="auto"/>
            <w:right w:val="none" w:sz="0" w:space="0" w:color="auto"/>
          </w:divBdr>
        </w:div>
        <w:div w:id="1537427501">
          <w:marLeft w:val="547"/>
          <w:marRight w:val="0"/>
          <w:marTop w:val="86"/>
          <w:marBottom w:val="0"/>
          <w:divBdr>
            <w:top w:val="none" w:sz="0" w:space="0" w:color="auto"/>
            <w:left w:val="none" w:sz="0" w:space="0" w:color="auto"/>
            <w:bottom w:val="none" w:sz="0" w:space="0" w:color="auto"/>
            <w:right w:val="none" w:sz="0" w:space="0" w:color="auto"/>
          </w:divBdr>
        </w:div>
        <w:div w:id="2058233673">
          <w:marLeft w:val="547"/>
          <w:marRight w:val="0"/>
          <w:marTop w:val="86"/>
          <w:marBottom w:val="0"/>
          <w:divBdr>
            <w:top w:val="none" w:sz="0" w:space="0" w:color="auto"/>
            <w:left w:val="none" w:sz="0" w:space="0" w:color="auto"/>
            <w:bottom w:val="none" w:sz="0" w:space="0" w:color="auto"/>
            <w:right w:val="none" w:sz="0" w:space="0" w:color="auto"/>
          </w:divBdr>
        </w:div>
      </w:divsChild>
    </w:div>
    <w:div w:id="530799790">
      <w:bodyDiv w:val="1"/>
      <w:marLeft w:val="0"/>
      <w:marRight w:val="0"/>
      <w:marTop w:val="0"/>
      <w:marBottom w:val="0"/>
      <w:divBdr>
        <w:top w:val="none" w:sz="0" w:space="0" w:color="auto"/>
        <w:left w:val="none" w:sz="0" w:space="0" w:color="auto"/>
        <w:bottom w:val="none" w:sz="0" w:space="0" w:color="auto"/>
        <w:right w:val="none" w:sz="0" w:space="0" w:color="auto"/>
      </w:divBdr>
    </w:div>
    <w:div w:id="538669749">
      <w:bodyDiv w:val="1"/>
      <w:marLeft w:val="0"/>
      <w:marRight w:val="0"/>
      <w:marTop w:val="0"/>
      <w:marBottom w:val="0"/>
      <w:divBdr>
        <w:top w:val="none" w:sz="0" w:space="0" w:color="auto"/>
        <w:left w:val="none" w:sz="0" w:space="0" w:color="auto"/>
        <w:bottom w:val="none" w:sz="0" w:space="0" w:color="auto"/>
        <w:right w:val="none" w:sz="0" w:space="0" w:color="auto"/>
      </w:divBdr>
    </w:div>
    <w:div w:id="542787591">
      <w:bodyDiv w:val="1"/>
      <w:marLeft w:val="0"/>
      <w:marRight w:val="0"/>
      <w:marTop w:val="0"/>
      <w:marBottom w:val="0"/>
      <w:divBdr>
        <w:top w:val="none" w:sz="0" w:space="0" w:color="auto"/>
        <w:left w:val="none" w:sz="0" w:space="0" w:color="auto"/>
        <w:bottom w:val="none" w:sz="0" w:space="0" w:color="auto"/>
        <w:right w:val="none" w:sz="0" w:space="0" w:color="auto"/>
      </w:divBdr>
    </w:div>
    <w:div w:id="549223398">
      <w:bodyDiv w:val="1"/>
      <w:marLeft w:val="0"/>
      <w:marRight w:val="0"/>
      <w:marTop w:val="0"/>
      <w:marBottom w:val="0"/>
      <w:divBdr>
        <w:top w:val="none" w:sz="0" w:space="0" w:color="auto"/>
        <w:left w:val="none" w:sz="0" w:space="0" w:color="auto"/>
        <w:bottom w:val="none" w:sz="0" w:space="0" w:color="auto"/>
        <w:right w:val="none" w:sz="0" w:space="0" w:color="auto"/>
      </w:divBdr>
    </w:div>
    <w:div w:id="561529146">
      <w:bodyDiv w:val="1"/>
      <w:marLeft w:val="0"/>
      <w:marRight w:val="0"/>
      <w:marTop w:val="0"/>
      <w:marBottom w:val="0"/>
      <w:divBdr>
        <w:top w:val="none" w:sz="0" w:space="0" w:color="auto"/>
        <w:left w:val="none" w:sz="0" w:space="0" w:color="auto"/>
        <w:bottom w:val="none" w:sz="0" w:space="0" w:color="auto"/>
        <w:right w:val="none" w:sz="0" w:space="0" w:color="auto"/>
      </w:divBdr>
    </w:div>
    <w:div w:id="565998456">
      <w:bodyDiv w:val="1"/>
      <w:marLeft w:val="0"/>
      <w:marRight w:val="0"/>
      <w:marTop w:val="0"/>
      <w:marBottom w:val="0"/>
      <w:divBdr>
        <w:top w:val="none" w:sz="0" w:space="0" w:color="auto"/>
        <w:left w:val="none" w:sz="0" w:space="0" w:color="auto"/>
        <w:bottom w:val="none" w:sz="0" w:space="0" w:color="auto"/>
        <w:right w:val="none" w:sz="0" w:space="0" w:color="auto"/>
      </w:divBdr>
    </w:div>
    <w:div w:id="579213159">
      <w:bodyDiv w:val="1"/>
      <w:marLeft w:val="0"/>
      <w:marRight w:val="0"/>
      <w:marTop w:val="0"/>
      <w:marBottom w:val="0"/>
      <w:divBdr>
        <w:top w:val="none" w:sz="0" w:space="0" w:color="auto"/>
        <w:left w:val="none" w:sz="0" w:space="0" w:color="auto"/>
        <w:bottom w:val="none" w:sz="0" w:space="0" w:color="auto"/>
        <w:right w:val="none" w:sz="0" w:space="0" w:color="auto"/>
      </w:divBdr>
    </w:div>
    <w:div w:id="581377349">
      <w:bodyDiv w:val="1"/>
      <w:marLeft w:val="0"/>
      <w:marRight w:val="0"/>
      <w:marTop w:val="0"/>
      <w:marBottom w:val="0"/>
      <w:divBdr>
        <w:top w:val="none" w:sz="0" w:space="0" w:color="auto"/>
        <w:left w:val="none" w:sz="0" w:space="0" w:color="auto"/>
        <w:bottom w:val="none" w:sz="0" w:space="0" w:color="auto"/>
        <w:right w:val="none" w:sz="0" w:space="0" w:color="auto"/>
      </w:divBdr>
    </w:div>
    <w:div w:id="582107417">
      <w:bodyDiv w:val="1"/>
      <w:marLeft w:val="0"/>
      <w:marRight w:val="0"/>
      <w:marTop w:val="0"/>
      <w:marBottom w:val="0"/>
      <w:divBdr>
        <w:top w:val="none" w:sz="0" w:space="0" w:color="auto"/>
        <w:left w:val="none" w:sz="0" w:space="0" w:color="auto"/>
        <w:bottom w:val="none" w:sz="0" w:space="0" w:color="auto"/>
        <w:right w:val="none" w:sz="0" w:space="0" w:color="auto"/>
      </w:divBdr>
    </w:div>
    <w:div w:id="592936046">
      <w:bodyDiv w:val="1"/>
      <w:marLeft w:val="0"/>
      <w:marRight w:val="0"/>
      <w:marTop w:val="0"/>
      <w:marBottom w:val="0"/>
      <w:divBdr>
        <w:top w:val="none" w:sz="0" w:space="0" w:color="auto"/>
        <w:left w:val="none" w:sz="0" w:space="0" w:color="auto"/>
        <w:bottom w:val="none" w:sz="0" w:space="0" w:color="auto"/>
        <w:right w:val="none" w:sz="0" w:space="0" w:color="auto"/>
      </w:divBdr>
    </w:div>
    <w:div w:id="599486384">
      <w:bodyDiv w:val="1"/>
      <w:marLeft w:val="0"/>
      <w:marRight w:val="0"/>
      <w:marTop w:val="0"/>
      <w:marBottom w:val="0"/>
      <w:divBdr>
        <w:top w:val="none" w:sz="0" w:space="0" w:color="auto"/>
        <w:left w:val="none" w:sz="0" w:space="0" w:color="auto"/>
        <w:bottom w:val="none" w:sz="0" w:space="0" w:color="auto"/>
        <w:right w:val="none" w:sz="0" w:space="0" w:color="auto"/>
      </w:divBdr>
    </w:div>
    <w:div w:id="600142157">
      <w:bodyDiv w:val="1"/>
      <w:marLeft w:val="0"/>
      <w:marRight w:val="0"/>
      <w:marTop w:val="0"/>
      <w:marBottom w:val="0"/>
      <w:divBdr>
        <w:top w:val="none" w:sz="0" w:space="0" w:color="auto"/>
        <w:left w:val="none" w:sz="0" w:space="0" w:color="auto"/>
        <w:bottom w:val="none" w:sz="0" w:space="0" w:color="auto"/>
        <w:right w:val="none" w:sz="0" w:space="0" w:color="auto"/>
      </w:divBdr>
    </w:div>
    <w:div w:id="606960366">
      <w:bodyDiv w:val="1"/>
      <w:marLeft w:val="0"/>
      <w:marRight w:val="0"/>
      <w:marTop w:val="0"/>
      <w:marBottom w:val="0"/>
      <w:divBdr>
        <w:top w:val="none" w:sz="0" w:space="0" w:color="auto"/>
        <w:left w:val="none" w:sz="0" w:space="0" w:color="auto"/>
        <w:bottom w:val="none" w:sz="0" w:space="0" w:color="auto"/>
        <w:right w:val="none" w:sz="0" w:space="0" w:color="auto"/>
      </w:divBdr>
    </w:div>
    <w:div w:id="610475082">
      <w:bodyDiv w:val="1"/>
      <w:marLeft w:val="0"/>
      <w:marRight w:val="0"/>
      <w:marTop w:val="0"/>
      <w:marBottom w:val="0"/>
      <w:divBdr>
        <w:top w:val="none" w:sz="0" w:space="0" w:color="auto"/>
        <w:left w:val="none" w:sz="0" w:space="0" w:color="auto"/>
        <w:bottom w:val="none" w:sz="0" w:space="0" w:color="auto"/>
        <w:right w:val="none" w:sz="0" w:space="0" w:color="auto"/>
      </w:divBdr>
    </w:div>
    <w:div w:id="610820278">
      <w:bodyDiv w:val="1"/>
      <w:marLeft w:val="0"/>
      <w:marRight w:val="0"/>
      <w:marTop w:val="0"/>
      <w:marBottom w:val="0"/>
      <w:divBdr>
        <w:top w:val="none" w:sz="0" w:space="0" w:color="auto"/>
        <w:left w:val="none" w:sz="0" w:space="0" w:color="auto"/>
        <w:bottom w:val="none" w:sz="0" w:space="0" w:color="auto"/>
        <w:right w:val="none" w:sz="0" w:space="0" w:color="auto"/>
      </w:divBdr>
    </w:div>
    <w:div w:id="611521713">
      <w:bodyDiv w:val="1"/>
      <w:marLeft w:val="0"/>
      <w:marRight w:val="0"/>
      <w:marTop w:val="0"/>
      <w:marBottom w:val="0"/>
      <w:divBdr>
        <w:top w:val="none" w:sz="0" w:space="0" w:color="auto"/>
        <w:left w:val="none" w:sz="0" w:space="0" w:color="auto"/>
        <w:bottom w:val="none" w:sz="0" w:space="0" w:color="auto"/>
        <w:right w:val="none" w:sz="0" w:space="0" w:color="auto"/>
      </w:divBdr>
    </w:div>
    <w:div w:id="615216110">
      <w:bodyDiv w:val="1"/>
      <w:marLeft w:val="0"/>
      <w:marRight w:val="0"/>
      <w:marTop w:val="0"/>
      <w:marBottom w:val="0"/>
      <w:divBdr>
        <w:top w:val="none" w:sz="0" w:space="0" w:color="auto"/>
        <w:left w:val="none" w:sz="0" w:space="0" w:color="auto"/>
        <w:bottom w:val="none" w:sz="0" w:space="0" w:color="auto"/>
        <w:right w:val="none" w:sz="0" w:space="0" w:color="auto"/>
      </w:divBdr>
    </w:div>
    <w:div w:id="618024680">
      <w:bodyDiv w:val="1"/>
      <w:marLeft w:val="0"/>
      <w:marRight w:val="0"/>
      <w:marTop w:val="0"/>
      <w:marBottom w:val="0"/>
      <w:divBdr>
        <w:top w:val="none" w:sz="0" w:space="0" w:color="auto"/>
        <w:left w:val="none" w:sz="0" w:space="0" w:color="auto"/>
        <w:bottom w:val="none" w:sz="0" w:space="0" w:color="auto"/>
        <w:right w:val="none" w:sz="0" w:space="0" w:color="auto"/>
      </w:divBdr>
    </w:div>
    <w:div w:id="621956081">
      <w:bodyDiv w:val="1"/>
      <w:marLeft w:val="0"/>
      <w:marRight w:val="0"/>
      <w:marTop w:val="0"/>
      <w:marBottom w:val="0"/>
      <w:divBdr>
        <w:top w:val="none" w:sz="0" w:space="0" w:color="auto"/>
        <w:left w:val="none" w:sz="0" w:space="0" w:color="auto"/>
        <w:bottom w:val="none" w:sz="0" w:space="0" w:color="auto"/>
        <w:right w:val="none" w:sz="0" w:space="0" w:color="auto"/>
      </w:divBdr>
    </w:div>
    <w:div w:id="627665690">
      <w:bodyDiv w:val="1"/>
      <w:marLeft w:val="0"/>
      <w:marRight w:val="0"/>
      <w:marTop w:val="0"/>
      <w:marBottom w:val="0"/>
      <w:divBdr>
        <w:top w:val="none" w:sz="0" w:space="0" w:color="auto"/>
        <w:left w:val="none" w:sz="0" w:space="0" w:color="auto"/>
        <w:bottom w:val="none" w:sz="0" w:space="0" w:color="auto"/>
        <w:right w:val="none" w:sz="0" w:space="0" w:color="auto"/>
      </w:divBdr>
    </w:div>
    <w:div w:id="627856222">
      <w:bodyDiv w:val="1"/>
      <w:marLeft w:val="0"/>
      <w:marRight w:val="0"/>
      <w:marTop w:val="0"/>
      <w:marBottom w:val="0"/>
      <w:divBdr>
        <w:top w:val="none" w:sz="0" w:space="0" w:color="auto"/>
        <w:left w:val="none" w:sz="0" w:space="0" w:color="auto"/>
        <w:bottom w:val="none" w:sz="0" w:space="0" w:color="auto"/>
        <w:right w:val="none" w:sz="0" w:space="0" w:color="auto"/>
      </w:divBdr>
    </w:div>
    <w:div w:id="628705423">
      <w:bodyDiv w:val="1"/>
      <w:marLeft w:val="0"/>
      <w:marRight w:val="0"/>
      <w:marTop w:val="0"/>
      <w:marBottom w:val="0"/>
      <w:divBdr>
        <w:top w:val="none" w:sz="0" w:space="0" w:color="auto"/>
        <w:left w:val="none" w:sz="0" w:space="0" w:color="auto"/>
        <w:bottom w:val="none" w:sz="0" w:space="0" w:color="auto"/>
        <w:right w:val="none" w:sz="0" w:space="0" w:color="auto"/>
      </w:divBdr>
    </w:div>
    <w:div w:id="633559931">
      <w:bodyDiv w:val="1"/>
      <w:marLeft w:val="0"/>
      <w:marRight w:val="0"/>
      <w:marTop w:val="0"/>
      <w:marBottom w:val="0"/>
      <w:divBdr>
        <w:top w:val="none" w:sz="0" w:space="0" w:color="auto"/>
        <w:left w:val="none" w:sz="0" w:space="0" w:color="auto"/>
        <w:bottom w:val="none" w:sz="0" w:space="0" w:color="auto"/>
        <w:right w:val="none" w:sz="0" w:space="0" w:color="auto"/>
      </w:divBdr>
    </w:div>
    <w:div w:id="637808734">
      <w:bodyDiv w:val="1"/>
      <w:marLeft w:val="0"/>
      <w:marRight w:val="0"/>
      <w:marTop w:val="0"/>
      <w:marBottom w:val="0"/>
      <w:divBdr>
        <w:top w:val="none" w:sz="0" w:space="0" w:color="auto"/>
        <w:left w:val="none" w:sz="0" w:space="0" w:color="auto"/>
        <w:bottom w:val="none" w:sz="0" w:space="0" w:color="auto"/>
        <w:right w:val="none" w:sz="0" w:space="0" w:color="auto"/>
      </w:divBdr>
    </w:div>
    <w:div w:id="639264082">
      <w:bodyDiv w:val="1"/>
      <w:marLeft w:val="0"/>
      <w:marRight w:val="0"/>
      <w:marTop w:val="0"/>
      <w:marBottom w:val="0"/>
      <w:divBdr>
        <w:top w:val="none" w:sz="0" w:space="0" w:color="auto"/>
        <w:left w:val="none" w:sz="0" w:space="0" w:color="auto"/>
        <w:bottom w:val="none" w:sz="0" w:space="0" w:color="auto"/>
        <w:right w:val="none" w:sz="0" w:space="0" w:color="auto"/>
      </w:divBdr>
    </w:div>
    <w:div w:id="655032456">
      <w:bodyDiv w:val="1"/>
      <w:marLeft w:val="0"/>
      <w:marRight w:val="0"/>
      <w:marTop w:val="0"/>
      <w:marBottom w:val="0"/>
      <w:divBdr>
        <w:top w:val="none" w:sz="0" w:space="0" w:color="auto"/>
        <w:left w:val="none" w:sz="0" w:space="0" w:color="auto"/>
        <w:bottom w:val="none" w:sz="0" w:space="0" w:color="auto"/>
        <w:right w:val="none" w:sz="0" w:space="0" w:color="auto"/>
      </w:divBdr>
    </w:div>
    <w:div w:id="665016882">
      <w:bodyDiv w:val="1"/>
      <w:marLeft w:val="0"/>
      <w:marRight w:val="0"/>
      <w:marTop w:val="0"/>
      <w:marBottom w:val="0"/>
      <w:divBdr>
        <w:top w:val="none" w:sz="0" w:space="0" w:color="auto"/>
        <w:left w:val="none" w:sz="0" w:space="0" w:color="auto"/>
        <w:bottom w:val="none" w:sz="0" w:space="0" w:color="auto"/>
        <w:right w:val="none" w:sz="0" w:space="0" w:color="auto"/>
      </w:divBdr>
    </w:div>
    <w:div w:id="666711620">
      <w:bodyDiv w:val="1"/>
      <w:marLeft w:val="0"/>
      <w:marRight w:val="0"/>
      <w:marTop w:val="0"/>
      <w:marBottom w:val="0"/>
      <w:divBdr>
        <w:top w:val="none" w:sz="0" w:space="0" w:color="auto"/>
        <w:left w:val="none" w:sz="0" w:space="0" w:color="auto"/>
        <w:bottom w:val="none" w:sz="0" w:space="0" w:color="auto"/>
        <w:right w:val="none" w:sz="0" w:space="0" w:color="auto"/>
      </w:divBdr>
    </w:div>
    <w:div w:id="671758822">
      <w:bodyDiv w:val="1"/>
      <w:marLeft w:val="0"/>
      <w:marRight w:val="0"/>
      <w:marTop w:val="0"/>
      <w:marBottom w:val="0"/>
      <w:divBdr>
        <w:top w:val="none" w:sz="0" w:space="0" w:color="auto"/>
        <w:left w:val="none" w:sz="0" w:space="0" w:color="auto"/>
        <w:bottom w:val="none" w:sz="0" w:space="0" w:color="auto"/>
        <w:right w:val="none" w:sz="0" w:space="0" w:color="auto"/>
      </w:divBdr>
    </w:div>
    <w:div w:id="673579633">
      <w:bodyDiv w:val="1"/>
      <w:marLeft w:val="0"/>
      <w:marRight w:val="0"/>
      <w:marTop w:val="0"/>
      <w:marBottom w:val="0"/>
      <w:divBdr>
        <w:top w:val="none" w:sz="0" w:space="0" w:color="auto"/>
        <w:left w:val="none" w:sz="0" w:space="0" w:color="auto"/>
        <w:bottom w:val="none" w:sz="0" w:space="0" w:color="auto"/>
        <w:right w:val="none" w:sz="0" w:space="0" w:color="auto"/>
      </w:divBdr>
    </w:div>
    <w:div w:id="678390695">
      <w:bodyDiv w:val="1"/>
      <w:marLeft w:val="0"/>
      <w:marRight w:val="0"/>
      <w:marTop w:val="0"/>
      <w:marBottom w:val="0"/>
      <w:divBdr>
        <w:top w:val="none" w:sz="0" w:space="0" w:color="auto"/>
        <w:left w:val="none" w:sz="0" w:space="0" w:color="auto"/>
        <w:bottom w:val="none" w:sz="0" w:space="0" w:color="auto"/>
        <w:right w:val="none" w:sz="0" w:space="0" w:color="auto"/>
      </w:divBdr>
    </w:div>
    <w:div w:id="679697688">
      <w:bodyDiv w:val="1"/>
      <w:marLeft w:val="0"/>
      <w:marRight w:val="0"/>
      <w:marTop w:val="0"/>
      <w:marBottom w:val="0"/>
      <w:divBdr>
        <w:top w:val="none" w:sz="0" w:space="0" w:color="auto"/>
        <w:left w:val="none" w:sz="0" w:space="0" w:color="auto"/>
        <w:bottom w:val="none" w:sz="0" w:space="0" w:color="auto"/>
        <w:right w:val="none" w:sz="0" w:space="0" w:color="auto"/>
      </w:divBdr>
    </w:div>
    <w:div w:id="685637929">
      <w:bodyDiv w:val="1"/>
      <w:marLeft w:val="0"/>
      <w:marRight w:val="0"/>
      <w:marTop w:val="0"/>
      <w:marBottom w:val="0"/>
      <w:divBdr>
        <w:top w:val="none" w:sz="0" w:space="0" w:color="auto"/>
        <w:left w:val="none" w:sz="0" w:space="0" w:color="auto"/>
        <w:bottom w:val="none" w:sz="0" w:space="0" w:color="auto"/>
        <w:right w:val="none" w:sz="0" w:space="0" w:color="auto"/>
      </w:divBdr>
    </w:div>
    <w:div w:id="700863063">
      <w:bodyDiv w:val="1"/>
      <w:marLeft w:val="0"/>
      <w:marRight w:val="0"/>
      <w:marTop w:val="0"/>
      <w:marBottom w:val="0"/>
      <w:divBdr>
        <w:top w:val="none" w:sz="0" w:space="0" w:color="auto"/>
        <w:left w:val="none" w:sz="0" w:space="0" w:color="auto"/>
        <w:bottom w:val="none" w:sz="0" w:space="0" w:color="auto"/>
        <w:right w:val="none" w:sz="0" w:space="0" w:color="auto"/>
      </w:divBdr>
    </w:div>
    <w:div w:id="702289312">
      <w:bodyDiv w:val="1"/>
      <w:marLeft w:val="0"/>
      <w:marRight w:val="0"/>
      <w:marTop w:val="0"/>
      <w:marBottom w:val="0"/>
      <w:divBdr>
        <w:top w:val="none" w:sz="0" w:space="0" w:color="auto"/>
        <w:left w:val="none" w:sz="0" w:space="0" w:color="auto"/>
        <w:bottom w:val="none" w:sz="0" w:space="0" w:color="auto"/>
        <w:right w:val="none" w:sz="0" w:space="0" w:color="auto"/>
      </w:divBdr>
    </w:div>
    <w:div w:id="703409438">
      <w:bodyDiv w:val="1"/>
      <w:marLeft w:val="0"/>
      <w:marRight w:val="0"/>
      <w:marTop w:val="0"/>
      <w:marBottom w:val="0"/>
      <w:divBdr>
        <w:top w:val="none" w:sz="0" w:space="0" w:color="auto"/>
        <w:left w:val="none" w:sz="0" w:space="0" w:color="auto"/>
        <w:bottom w:val="none" w:sz="0" w:space="0" w:color="auto"/>
        <w:right w:val="none" w:sz="0" w:space="0" w:color="auto"/>
      </w:divBdr>
    </w:div>
    <w:div w:id="708146207">
      <w:bodyDiv w:val="1"/>
      <w:marLeft w:val="0"/>
      <w:marRight w:val="0"/>
      <w:marTop w:val="0"/>
      <w:marBottom w:val="0"/>
      <w:divBdr>
        <w:top w:val="none" w:sz="0" w:space="0" w:color="auto"/>
        <w:left w:val="none" w:sz="0" w:space="0" w:color="auto"/>
        <w:bottom w:val="none" w:sz="0" w:space="0" w:color="auto"/>
        <w:right w:val="none" w:sz="0" w:space="0" w:color="auto"/>
      </w:divBdr>
    </w:div>
    <w:div w:id="710888033">
      <w:bodyDiv w:val="1"/>
      <w:marLeft w:val="0"/>
      <w:marRight w:val="0"/>
      <w:marTop w:val="0"/>
      <w:marBottom w:val="0"/>
      <w:divBdr>
        <w:top w:val="none" w:sz="0" w:space="0" w:color="auto"/>
        <w:left w:val="none" w:sz="0" w:space="0" w:color="auto"/>
        <w:bottom w:val="none" w:sz="0" w:space="0" w:color="auto"/>
        <w:right w:val="none" w:sz="0" w:space="0" w:color="auto"/>
      </w:divBdr>
    </w:div>
    <w:div w:id="714089312">
      <w:bodyDiv w:val="1"/>
      <w:marLeft w:val="0"/>
      <w:marRight w:val="0"/>
      <w:marTop w:val="0"/>
      <w:marBottom w:val="0"/>
      <w:divBdr>
        <w:top w:val="none" w:sz="0" w:space="0" w:color="auto"/>
        <w:left w:val="none" w:sz="0" w:space="0" w:color="auto"/>
        <w:bottom w:val="none" w:sz="0" w:space="0" w:color="auto"/>
        <w:right w:val="none" w:sz="0" w:space="0" w:color="auto"/>
      </w:divBdr>
    </w:div>
    <w:div w:id="726492507">
      <w:bodyDiv w:val="1"/>
      <w:marLeft w:val="0"/>
      <w:marRight w:val="0"/>
      <w:marTop w:val="0"/>
      <w:marBottom w:val="0"/>
      <w:divBdr>
        <w:top w:val="none" w:sz="0" w:space="0" w:color="auto"/>
        <w:left w:val="none" w:sz="0" w:space="0" w:color="auto"/>
        <w:bottom w:val="none" w:sz="0" w:space="0" w:color="auto"/>
        <w:right w:val="none" w:sz="0" w:space="0" w:color="auto"/>
      </w:divBdr>
    </w:div>
    <w:div w:id="728501682">
      <w:bodyDiv w:val="1"/>
      <w:marLeft w:val="0"/>
      <w:marRight w:val="0"/>
      <w:marTop w:val="0"/>
      <w:marBottom w:val="0"/>
      <w:divBdr>
        <w:top w:val="none" w:sz="0" w:space="0" w:color="auto"/>
        <w:left w:val="none" w:sz="0" w:space="0" w:color="auto"/>
        <w:bottom w:val="none" w:sz="0" w:space="0" w:color="auto"/>
        <w:right w:val="none" w:sz="0" w:space="0" w:color="auto"/>
      </w:divBdr>
    </w:div>
    <w:div w:id="728529146">
      <w:bodyDiv w:val="1"/>
      <w:marLeft w:val="0"/>
      <w:marRight w:val="0"/>
      <w:marTop w:val="0"/>
      <w:marBottom w:val="0"/>
      <w:divBdr>
        <w:top w:val="none" w:sz="0" w:space="0" w:color="auto"/>
        <w:left w:val="none" w:sz="0" w:space="0" w:color="auto"/>
        <w:bottom w:val="none" w:sz="0" w:space="0" w:color="auto"/>
        <w:right w:val="none" w:sz="0" w:space="0" w:color="auto"/>
      </w:divBdr>
    </w:div>
    <w:div w:id="731075656">
      <w:bodyDiv w:val="1"/>
      <w:marLeft w:val="0"/>
      <w:marRight w:val="0"/>
      <w:marTop w:val="0"/>
      <w:marBottom w:val="0"/>
      <w:divBdr>
        <w:top w:val="none" w:sz="0" w:space="0" w:color="auto"/>
        <w:left w:val="none" w:sz="0" w:space="0" w:color="auto"/>
        <w:bottom w:val="none" w:sz="0" w:space="0" w:color="auto"/>
        <w:right w:val="none" w:sz="0" w:space="0" w:color="auto"/>
      </w:divBdr>
    </w:div>
    <w:div w:id="734157538">
      <w:bodyDiv w:val="1"/>
      <w:marLeft w:val="0"/>
      <w:marRight w:val="0"/>
      <w:marTop w:val="0"/>
      <w:marBottom w:val="0"/>
      <w:divBdr>
        <w:top w:val="none" w:sz="0" w:space="0" w:color="auto"/>
        <w:left w:val="none" w:sz="0" w:space="0" w:color="auto"/>
        <w:bottom w:val="none" w:sz="0" w:space="0" w:color="auto"/>
        <w:right w:val="none" w:sz="0" w:space="0" w:color="auto"/>
      </w:divBdr>
    </w:div>
    <w:div w:id="735054927">
      <w:bodyDiv w:val="1"/>
      <w:marLeft w:val="0"/>
      <w:marRight w:val="0"/>
      <w:marTop w:val="0"/>
      <w:marBottom w:val="0"/>
      <w:divBdr>
        <w:top w:val="none" w:sz="0" w:space="0" w:color="auto"/>
        <w:left w:val="none" w:sz="0" w:space="0" w:color="auto"/>
        <w:bottom w:val="none" w:sz="0" w:space="0" w:color="auto"/>
        <w:right w:val="none" w:sz="0" w:space="0" w:color="auto"/>
      </w:divBdr>
    </w:div>
    <w:div w:id="741217156">
      <w:bodyDiv w:val="1"/>
      <w:marLeft w:val="0"/>
      <w:marRight w:val="0"/>
      <w:marTop w:val="0"/>
      <w:marBottom w:val="0"/>
      <w:divBdr>
        <w:top w:val="none" w:sz="0" w:space="0" w:color="auto"/>
        <w:left w:val="none" w:sz="0" w:space="0" w:color="auto"/>
        <w:bottom w:val="none" w:sz="0" w:space="0" w:color="auto"/>
        <w:right w:val="none" w:sz="0" w:space="0" w:color="auto"/>
      </w:divBdr>
    </w:div>
    <w:div w:id="745880794">
      <w:bodyDiv w:val="1"/>
      <w:marLeft w:val="0"/>
      <w:marRight w:val="0"/>
      <w:marTop w:val="0"/>
      <w:marBottom w:val="0"/>
      <w:divBdr>
        <w:top w:val="none" w:sz="0" w:space="0" w:color="auto"/>
        <w:left w:val="none" w:sz="0" w:space="0" w:color="auto"/>
        <w:bottom w:val="none" w:sz="0" w:space="0" w:color="auto"/>
        <w:right w:val="none" w:sz="0" w:space="0" w:color="auto"/>
      </w:divBdr>
    </w:div>
    <w:div w:id="750851150">
      <w:bodyDiv w:val="1"/>
      <w:marLeft w:val="0"/>
      <w:marRight w:val="0"/>
      <w:marTop w:val="0"/>
      <w:marBottom w:val="0"/>
      <w:divBdr>
        <w:top w:val="none" w:sz="0" w:space="0" w:color="auto"/>
        <w:left w:val="none" w:sz="0" w:space="0" w:color="auto"/>
        <w:bottom w:val="none" w:sz="0" w:space="0" w:color="auto"/>
        <w:right w:val="none" w:sz="0" w:space="0" w:color="auto"/>
      </w:divBdr>
    </w:div>
    <w:div w:id="757290684">
      <w:bodyDiv w:val="1"/>
      <w:marLeft w:val="0"/>
      <w:marRight w:val="0"/>
      <w:marTop w:val="0"/>
      <w:marBottom w:val="0"/>
      <w:divBdr>
        <w:top w:val="none" w:sz="0" w:space="0" w:color="auto"/>
        <w:left w:val="none" w:sz="0" w:space="0" w:color="auto"/>
        <w:bottom w:val="none" w:sz="0" w:space="0" w:color="auto"/>
        <w:right w:val="none" w:sz="0" w:space="0" w:color="auto"/>
      </w:divBdr>
    </w:div>
    <w:div w:id="757293721">
      <w:bodyDiv w:val="1"/>
      <w:marLeft w:val="0"/>
      <w:marRight w:val="0"/>
      <w:marTop w:val="0"/>
      <w:marBottom w:val="0"/>
      <w:divBdr>
        <w:top w:val="none" w:sz="0" w:space="0" w:color="auto"/>
        <w:left w:val="none" w:sz="0" w:space="0" w:color="auto"/>
        <w:bottom w:val="none" w:sz="0" w:space="0" w:color="auto"/>
        <w:right w:val="none" w:sz="0" w:space="0" w:color="auto"/>
      </w:divBdr>
    </w:div>
    <w:div w:id="758478012">
      <w:bodyDiv w:val="1"/>
      <w:marLeft w:val="0"/>
      <w:marRight w:val="0"/>
      <w:marTop w:val="0"/>
      <w:marBottom w:val="0"/>
      <w:divBdr>
        <w:top w:val="none" w:sz="0" w:space="0" w:color="auto"/>
        <w:left w:val="none" w:sz="0" w:space="0" w:color="auto"/>
        <w:bottom w:val="none" w:sz="0" w:space="0" w:color="auto"/>
        <w:right w:val="none" w:sz="0" w:space="0" w:color="auto"/>
      </w:divBdr>
    </w:div>
    <w:div w:id="758603202">
      <w:bodyDiv w:val="1"/>
      <w:marLeft w:val="0"/>
      <w:marRight w:val="0"/>
      <w:marTop w:val="0"/>
      <w:marBottom w:val="0"/>
      <w:divBdr>
        <w:top w:val="none" w:sz="0" w:space="0" w:color="auto"/>
        <w:left w:val="none" w:sz="0" w:space="0" w:color="auto"/>
        <w:bottom w:val="none" w:sz="0" w:space="0" w:color="auto"/>
        <w:right w:val="none" w:sz="0" w:space="0" w:color="auto"/>
      </w:divBdr>
    </w:div>
    <w:div w:id="767654368">
      <w:bodyDiv w:val="1"/>
      <w:marLeft w:val="0"/>
      <w:marRight w:val="0"/>
      <w:marTop w:val="0"/>
      <w:marBottom w:val="0"/>
      <w:divBdr>
        <w:top w:val="none" w:sz="0" w:space="0" w:color="auto"/>
        <w:left w:val="none" w:sz="0" w:space="0" w:color="auto"/>
        <w:bottom w:val="none" w:sz="0" w:space="0" w:color="auto"/>
        <w:right w:val="none" w:sz="0" w:space="0" w:color="auto"/>
      </w:divBdr>
    </w:div>
    <w:div w:id="767888974">
      <w:bodyDiv w:val="1"/>
      <w:marLeft w:val="0"/>
      <w:marRight w:val="0"/>
      <w:marTop w:val="0"/>
      <w:marBottom w:val="0"/>
      <w:divBdr>
        <w:top w:val="none" w:sz="0" w:space="0" w:color="auto"/>
        <w:left w:val="none" w:sz="0" w:space="0" w:color="auto"/>
        <w:bottom w:val="none" w:sz="0" w:space="0" w:color="auto"/>
        <w:right w:val="none" w:sz="0" w:space="0" w:color="auto"/>
      </w:divBdr>
    </w:div>
    <w:div w:id="776951713">
      <w:bodyDiv w:val="1"/>
      <w:marLeft w:val="0"/>
      <w:marRight w:val="0"/>
      <w:marTop w:val="0"/>
      <w:marBottom w:val="0"/>
      <w:divBdr>
        <w:top w:val="none" w:sz="0" w:space="0" w:color="auto"/>
        <w:left w:val="none" w:sz="0" w:space="0" w:color="auto"/>
        <w:bottom w:val="none" w:sz="0" w:space="0" w:color="auto"/>
        <w:right w:val="none" w:sz="0" w:space="0" w:color="auto"/>
      </w:divBdr>
    </w:div>
    <w:div w:id="779763631">
      <w:bodyDiv w:val="1"/>
      <w:marLeft w:val="0"/>
      <w:marRight w:val="0"/>
      <w:marTop w:val="0"/>
      <w:marBottom w:val="0"/>
      <w:divBdr>
        <w:top w:val="none" w:sz="0" w:space="0" w:color="auto"/>
        <w:left w:val="none" w:sz="0" w:space="0" w:color="auto"/>
        <w:bottom w:val="none" w:sz="0" w:space="0" w:color="auto"/>
        <w:right w:val="none" w:sz="0" w:space="0" w:color="auto"/>
      </w:divBdr>
    </w:div>
    <w:div w:id="785008668">
      <w:bodyDiv w:val="1"/>
      <w:marLeft w:val="0"/>
      <w:marRight w:val="0"/>
      <w:marTop w:val="0"/>
      <w:marBottom w:val="0"/>
      <w:divBdr>
        <w:top w:val="none" w:sz="0" w:space="0" w:color="auto"/>
        <w:left w:val="none" w:sz="0" w:space="0" w:color="auto"/>
        <w:bottom w:val="none" w:sz="0" w:space="0" w:color="auto"/>
        <w:right w:val="none" w:sz="0" w:space="0" w:color="auto"/>
      </w:divBdr>
    </w:div>
    <w:div w:id="799690513">
      <w:bodyDiv w:val="1"/>
      <w:marLeft w:val="0"/>
      <w:marRight w:val="0"/>
      <w:marTop w:val="0"/>
      <w:marBottom w:val="0"/>
      <w:divBdr>
        <w:top w:val="none" w:sz="0" w:space="0" w:color="auto"/>
        <w:left w:val="none" w:sz="0" w:space="0" w:color="auto"/>
        <w:bottom w:val="none" w:sz="0" w:space="0" w:color="auto"/>
        <w:right w:val="none" w:sz="0" w:space="0" w:color="auto"/>
      </w:divBdr>
    </w:div>
    <w:div w:id="804470137">
      <w:bodyDiv w:val="1"/>
      <w:marLeft w:val="0"/>
      <w:marRight w:val="0"/>
      <w:marTop w:val="0"/>
      <w:marBottom w:val="0"/>
      <w:divBdr>
        <w:top w:val="none" w:sz="0" w:space="0" w:color="auto"/>
        <w:left w:val="none" w:sz="0" w:space="0" w:color="auto"/>
        <w:bottom w:val="none" w:sz="0" w:space="0" w:color="auto"/>
        <w:right w:val="none" w:sz="0" w:space="0" w:color="auto"/>
      </w:divBdr>
    </w:div>
    <w:div w:id="812023173">
      <w:bodyDiv w:val="1"/>
      <w:marLeft w:val="0"/>
      <w:marRight w:val="0"/>
      <w:marTop w:val="0"/>
      <w:marBottom w:val="0"/>
      <w:divBdr>
        <w:top w:val="none" w:sz="0" w:space="0" w:color="auto"/>
        <w:left w:val="none" w:sz="0" w:space="0" w:color="auto"/>
        <w:bottom w:val="none" w:sz="0" w:space="0" w:color="auto"/>
        <w:right w:val="none" w:sz="0" w:space="0" w:color="auto"/>
      </w:divBdr>
    </w:div>
    <w:div w:id="832262220">
      <w:bodyDiv w:val="1"/>
      <w:marLeft w:val="0"/>
      <w:marRight w:val="0"/>
      <w:marTop w:val="0"/>
      <w:marBottom w:val="0"/>
      <w:divBdr>
        <w:top w:val="none" w:sz="0" w:space="0" w:color="auto"/>
        <w:left w:val="none" w:sz="0" w:space="0" w:color="auto"/>
        <w:bottom w:val="none" w:sz="0" w:space="0" w:color="auto"/>
        <w:right w:val="none" w:sz="0" w:space="0" w:color="auto"/>
      </w:divBdr>
    </w:div>
    <w:div w:id="835993417">
      <w:bodyDiv w:val="1"/>
      <w:marLeft w:val="0"/>
      <w:marRight w:val="0"/>
      <w:marTop w:val="0"/>
      <w:marBottom w:val="0"/>
      <w:divBdr>
        <w:top w:val="none" w:sz="0" w:space="0" w:color="auto"/>
        <w:left w:val="none" w:sz="0" w:space="0" w:color="auto"/>
        <w:bottom w:val="none" w:sz="0" w:space="0" w:color="auto"/>
        <w:right w:val="none" w:sz="0" w:space="0" w:color="auto"/>
      </w:divBdr>
    </w:div>
    <w:div w:id="838541009">
      <w:bodyDiv w:val="1"/>
      <w:marLeft w:val="0"/>
      <w:marRight w:val="0"/>
      <w:marTop w:val="0"/>
      <w:marBottom w:val="0"/>
      <w:divBdr>
        <w:top w:val="none" w:sz="0" w:space="0" w:color="auto"/>
        <w:left w:val="none" w:sz="0" w:space="0" w:color="auto"/>
        <w:bottom w:val="none" w:sz="0" w:space="0" w:color="auto"/>
        <w:right w:val="none" w:sz="0" w:space="0" w:color="auto"/>
      </w:divBdr>
    </w:div>
    <w:div w:id="845829023">
      <w:bodyDiv w:val="1"/>
      <w:marLeft w:val="0"/>
      <w:marRight w:val="0"/>
      <w:marTop w:val="0"/>
      <w:marBottom w:val="0"/>
      <w:divBdr>
        <w:top w:val="none" w:sz="0" w:space="0" w:color="auto"/>
        <w:left w:val="none" w:sz="0" w:space="0" w:color="auto"/>
        <w:bottom w:val="none" w:sz="0" w:space="0" w:color="auto"/>
        <w:right w:val="none" w:sz="0" w:space="0" w:color="auto"/>
      </w:divBdr>
    </w:div>
    <w:div w:id="846359523">
      <w:bodyDiv w:val="1"/>
      <w:marLeft w:val="0"/>
      <w:marRight w:val="0"/>
      <w:marTop w:val="0"/>
      <w:marBottom w:val="0"/>
      <w:divBdr>
        <w:top w:val="none" w:sz="0" w:space="0" w:color="auto"/>
        <w:left w:val="none" w:sz="0" w:space="0" w:color="auto"/>
        <w:bottom w:val="none" w:sz="0" w:space="0" w:color="auto"/>
        <w:right w:val="none" w:sz="0" w:space="0" w:color="auto"/>
      </w:divBdr>
    </w:div>
    <w:div w:id="850535329">
      <w:bodyDiv w:val="1"/>
      <w:marLeft w:val="0"/>
      <w:marRight w:val="0"/>
      <w:marTop w:val="0"/>
      <w:marBottom w:val="0"/>
      <w:divBdr>
        <w:top w:val="none" w:sz="0" w:space="0" w:color="auto"/>
        <w:left w:val="none" w:sz="0" w:space="0" w:color="auto"/>
        <w:bottom w:val="none" w:sz="0" w:space="0" w:color="auto"/>
        <w:right w:val="none" w:sz="0" w:space="0" w:color="auto"/>
      </w:divBdr>
    </w:div>
    <w:div w:id="852569345">
      <w:bodyDiv w:val="1"/>
      <w:marLeft w:val="0"/>
      <w:marRight w:val="0"/>
      <w:marTop w:val="0"/>
      <w:marBottom w:val="0"/>
      <w:divBdr>
        <w:top w:val="none" w:sz="0" w:space="0" w:color="auto"/>
        <w:left w:val="none" w:sz="0" w:space="0" w:color="auto"/>
        <w:bottom w:val="none" w:sz="0" w:space="0" w:color="auto"/>
        <w:right w:val="none" w:sz="0" w:space="0" w:color="auto"/>
      </w:divBdr>
    </w:div>
    <w:div w:id="853346689">
      <w:bodyDiv w:val="1"/>
      <w:marLeft w:val="0"/>
      <w:marRight w:val="0"/>
      <w:marTop w:val="0"/>
      <w:marBottom w:val="0"/>
      <w:divBdr>
        <w:top w:val="none" w:sz="0" w:space="0" w:color="auto"/>
        <w:left w:val="none" w:sz="0" w:space="0" w:color="auto"/>
        <w:bottom w:val="none" w:sz="0" w:space="0" w:color="auto"/>
        <w:right w:val="none" w:sz="0" w:space="0" w:color="auto"/>
      </w:divBdr>
    </w:div>
    <w:div w:id="856315593">
      <w:bodyDiv w:val="1"/>
      <w:marLeft w:val="0"/>
      <w:marRight w:val="0"/>
      <w:marTop w:val="0"/>
      <w:marBottom w:val="0"/>
      <w:divBdr>
        <w:top w:val="none" w:sz="0" w:space="0" w:color="auto"/>
        <w:left w:val="none" w:sz="0" w:space="0" w:color="auto"/>
        <w:bottom w:val="none" w:sz="0" w:space="0" w:color="auto"/>
        <w:right w:val="none" w:sz="0" w:space="0" w:color="auto"/>
      </w:divBdr>
      <w:divsChild>
        <w:div w:id="645818907">
          <w:marLeft w:val="0"/>
          <w:marRight w:val="0"/>
          <w:marTop w:val="0"/>
          <w:marBottom w:val="0"/>
          <w:divBdr>
            <w:top w:val="none" w:sz="0" w:space="0" w:color="auto"/>
            <w:left w:val="none" w:sz="0" w:space="0" w:color="auto"/>
            <w:bottom w:val="none" w:sz="0" w:space="0" w:color="auto"/>
            <w:right w:val="none" w:sz="0" w:space="0" w:color="auto"/>
          </w:divBdr>
          <w:divsChild>
            <w:div w:id="1238907245">
              <w:marLeft w:val="0"/>
              <w:marRight w:val="0"/>
              <w:marTop w:val="0"/>
              <w:marBottom w:val="0"/>
              <w:divBdr>
                <w:top w:val="none" w:sz="0" w:space="0" w:color="auto"/>
                <w:left w:val="none" w:sz="0" w:space="0" w:color="auto"/>
                <w:bottom w:val="none" w:sz="0" w:space="0" w:color="auto"/>
                <w:right w:val="none" w:sz="0" w:space="0" w:color="auto"/>
              </w:divBdr>
              <w:divsChild>
                <w:div w:id="1708529167">
                  <w:marLeft w:val="0"/>
                  <w:marRight w:val="0"/>
                  <w:marTop w:val="0"/>
                  <w:marBottom w:val="0"/>
                  <w:divBdr>
                    <w:top w:val="none" w:sz="0" w:space="0" w:color="auto"/>
                    <w:left w:val="none" w:sz="0" w:space="0" w:color="auto"/>
                    <w:bottom w:val="none" w:sz="0" w:space="0" w:color="auto"/>
                    <w:right w:val="none" w:sz="0" w:space="0" w:color="auto"/>
                  </w:divBdr>
                  <w:divsChild>
                    <w:div w:id="1353997995">
                      <w:marLeft w:val="0"/>
                      <w:marRight w:val="0"/>
                      <w:marTop w:val="0"/>
                      <w:marBottom w:val="0"/>
                      <w:divBdr>
                        <w:top w:val="none" w:sz="0" w:space="0" w:color="auto"/>
                        <w:left w:val="none" w:sz="0" w:space="0" w:color="auto"/>
                        <w:bottom w:val="none" w:sz="0" w:space="0" w:color="auto"/>
                        <w:right w:val="none" w:sz="0" w:space="0" w:color="auto"/>
                      </w:divBdr>
                      <w:divsChild>
                        <w:div w:id="153692618">
                          <w:marLeft w:val="0"/>
                          <w:marRight w:val="0"/>
                          <w:marTop w:val="0"/>
                          <w:marBottom w:val="0"/>
                          <w:divBdr>
                            <w:top w:val="none" w:sz="0" w:space="0" w:color="auto"/>
                            <w:left w:val="none" w:sz="0" w:space="0" w:color="auto"/>
                            <w:bottom w:val="none" w:sz="0" w:space="0" w:color="auto"/>
                            <w:right w:val="none" w:sz="0" w:space="0" w:color="auto"/>
                          </w:divBdr>
                          <w:divsChild>
                            <w:div w:id="1794209684">
                              <w:marLeft w:val="12300"/>
                              <w:marRight w:val="0"/>
                              <w:marTop w:val="0"/>
                              <w:marBottom w:val="0"/>
                              <w:divBdr>
                                <w:top w:val="none" w:sz="0" w:space="0" w:color="auto"/>
                                <w:left w:val="none" w:sz="0" w:space="0" w:color="auto"/>
                                <w:bottom w:val="none" w:sz="0" w:space="0" w:color="auto"/>
                                <w:right w:val="none" w:sz="0" w:space="0" w:color="auto"/>
                              </w:divBdr>
                              <w:divsChild>
                                <w:div w:id="1288589934">
                                  <w:marLeft w:val="0"/>
                                  <w:marRight w:val="0"/>
                                  <w:marTop w:val="0"/>
                                  <w:marBottom w:val="0"/>
                                  <w:divBdr>
                                    <w:top w:val="none" w:sz="0" w:space="0" w:color="auto"/>
                                    <w:left w:val="none" w:sz="0" w:space="0" w:color="auto"/>
                                    <w:bottom w:val="none" w:sz="0" w:space="0" w:color="auto"/>
                                    <w:right w:val="none" w:sz="0" w:space="0" w:color="auto"/>
                                  </w:divBdr>
                                  <w:divsChild>
                                    <w:div w:id="2133400723">
                                      <w:marLeft w:val="0"/>
                                      <w:marRight w:val="0"/>
                                      <w:marTop w:val="0"/>
                                      <w:marBottom w:val="405"/>
                                      <w:divBdr>
                                        <w:top w:val="none" w:sz="0" w:space="0" w:color="auto"/>
                                        <w:left w:val="none" w:sz="0" w:space="0" w:color="auto"/>
                                        <w:bottom w:val="none" w:sz="0" w:space="0" w:color="auto"/>
                                        <w:right w:val="none" w:sz="0" w:space="0" w:color="auto"/>
                                      </w:divBdr>
                                      <w:divsChild>
                                        <w:div w:id="1580402902">
                                          <w:marLeft w:val="0"/>
                                          <w:marRight w:val="0"/>
                                          <w:marTop w:val="0"/>
                                          <w:marBottom w:val="0"/>
                                          <w:divBdr>
                                            <w:top w:val="none" w:sz="0" w:space="0" w:color="auto"/>
                                            <w:left w:val="none" w:sz="0" w:space="0" w:color="auto"/>
                                            <w:bottom w:val="none" w:sz="0" w:space="0" w:color="auto"/>
                                            <w:right w:val="none" w:sz="0" w:space="0" w:color="auto"/>
                                          </w:divBdr>
                                          <w:divsChild>
                                            <w:div w:id="1181311622">
                                              <w:marLeft w:val="0"/>
                                              <w:marRight w:val="0"/>
                                              <w:marTop w:val="0"/>
                                              <w:marBottom w:val="0"/>
                                              <w:divBdr>
                                                <w:top w:val="none" w:sz="0" w:space="0" w:color="auto"/>
                                                <w:left w:val="none" w:sz="0" w:space="0" w:color="auto"/>
                                                <w:bottom w:val="none" w:sz="0" w:space="0" w:color="auto"/>
                                                <w:right w:val="none" w:sz="0" w:space="0" w:color="auto"/>
                                              </w:divBdr>
                                              <w:divsChild>
                                                <w:div w:id="1837263871">
                                                  <w:marLeft w:val="0"/>
                                                  <w:marRight w:val="0"/>
                                                  <w:marTop w:val="0"/>
                                                  <w:marBottom w:val="0"/>
                                                  <w:divBdr>
                                                    <w:top w:val="none" w:sz="0" w:space="0" w:color="auto"/>
                                                    <w:left w:val="none" w:sz="0" w:space="0" w:color="auto"/>
                                                    <w:bottom w:val="none" w:sz="0" w:space="0" w:color="auto"/>
                                                    <w:right w:val="none" w:sz="0" w:space="0" w:color="auto"/>
                                                  </w:divBdr>
                                                  <w:divsChild>
                                                    <w:div w:id="1685128355">
                                                      <w:marLeft w:val="0"/>
                                                      <w:marRight w:val="0"/>
                                                      <w:marTop w:val="0"/>
                                                      <w:marBottom w:val="0"/>
                                                      <w:divBdr>
                                                        <w:top w:val="none" w:sz="0" w:space="0" w:color="auto"/>
                                                        <w:left w:val="none" w:sz="0" w:space="0" w:color="auto"/>
                                                        <w:bottom w:val="none" w:sz="0" w:space="0" w:color="auto"/>
                                                        <w:right w:val="none" w:sz="0" w:space="0" w:color="auto"/>
                                                      </w:divBdr>
                                                      <w:divsChild>
                                                        <w:div w:id="391581920">
                                                          <w:marLeft w:val="0"/>
                                                          <w:marRight w:val="0"/>
                                                          <w:marTop w:val="0"/>
                                                          <w:marBottom w:val="0"/>
                                                          <w:divBdr>
                                                            <w:top w:val="none" w:sz="0" w:space="0" w:color="auto"/>
                                                            <w:left w:val="none" w:sz="0" w:space="0" w:color="auto"/>
                                                            <w:bottom w:val="none" w:sz="0" w:space="0" w:color="auto"/>
                                                            <w:right w:val="none" w:sz="0" w:space="0" w:color="auto"/>
                                                          </w:divBdr>
                                                          <w:divsChild>
                                                            <w:div w:id="861938097">
                                                              <w:marLeft w:val="0"/>
                                                              <w:marRight w:val="0"/>
                                                              <w:marTop w:val="0"/>
                                                              <w:marBottom w:val="0"/>
                                                              <w:divBdr>
                                                                <w:top w:val="none" w:sz="0" w:space="0" w:color="auto"/>
                                                                <w:left w:val="none" w:sz="0" w:space="0" w:color="auto"/>
                                                                <w:bottom w:val="none" w:sz="0" w:space="0" w:color="auto"/>
                                                                <w:right w:val="none" w:sz="0" w:space="0" w:color="auto"/>
                                                              </w:divBdr>
                                                              <w:divsChild>
                                                                <w:div w:id="974795644">
                                                                  <w:marLeft w:val="0"/>
                                                                  <w:marRight w:val="0"/>
                                                                  <w:marTop w:val="0"/>
                                                                  <w:marBottom w:val="0"/>
                                                                  <w:divBdr>
                                                                    <w:top w:val="none" w:sz="0" w:space="0" w:color="auto"/>
                                                                    <w:left w:val="none" w:sz="0" w:space="0" w:color="auto"/>
                                                                    <w:bottom w:val="none" w:sz="0" w:space="0" w:color="auto"/>
                                                                    <w:right w:val="none" w:sz="0" w:space="0" w:color="auto"/>
                                                                  </w:divBdr>
                                                                  <w:divsChild>
                                                                    <w:div w:id="1139808723">
                                                                      <w:marLeft w:val="0"/>
                                                                      <w:marRight w:val="0"/>
                                                                      <w:marTop w:val="0"/>
                                                                      <w:marBottom w:val="0"/>
                                                                      <w:divBdr>
                                                                        <w:top w:val="none" w:sz="0" w:space="0" w:color="auto"/>
                                                                        <w:left w:val="none" w:sz="0" w:space="0" w:color="auto"/>
                                                                        <w:bottom w:val="none" w:sz="0" w:space="0" w:color="auto"/>
                                                                        <w:right w:val="none" w:sz="0" w:space="0" w:color="auto"/>
                                                                      </w:divBdr>
                                                                      <w:divsChild>
                                                                        <w:div w:id="96826895">
                                                                          <w:marLeft w:val="0"/>
                                                                          <w:marRight w:val="0"/>
                                                                          <w:marTop w:val="0"/>
                                                                          <w:marBottom w:val="0"/>
                                                                          <w:divBdr>
                                                                            <w:top w:val="none" w:sz="0" w:space="0" w:color="auto"/>
                                                                            <w:left w:val="none" w:sz="0" w:space="0" w:color="auto"/>
                                                                            <w:bottom w:val="none" w:sz="0" w:space="0" w:color="auto"/>
                                                                            <w:right w:val="none" w:sz="0" w:space="0" w:color="auto"/>
                                                                          </w:divBdr>
                                                                          <w:divsChild>
                                                                            <w:div w:id="140658900">
                                                                              <w:marLeft w:val="0"/>
                                                                              <w:marRight w:val="0"/>
                                                                              <w:marTop w:val="0"/>
                                                                              <w:marBottom w:val="0"/>
                                                                              <w:divBdr>
                                                                                <w:top w:val="none" w:sz="0" w:space="0" w:color="auto"/>
                                                                                <w:left w:val="none" w:sz="0" w:space="0" w:color="auto"/>
                                                                                <w:bottom w:val="none" w:sz="0" w:space="0" w:color="auto"/>
                                                                                <w:right w:val="none" w:sz="0" w:space="0" w:color="auto"/>
                                                                              </w:divBdr>
                                                                              <w:divsChild>
                                                                                <w:div w:id="109516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58204855">
      <w:bodyDiv w:val="1"/>
      <w:marLeft w:val="0"/>
      <w:marRight w:val="0"/>
      <w:marTop w:val="0"/>
      <w:marBottom w:val="0"/>
      <w:divBdr>
        <w:top w:val="none" w:sz="0" w:space="0" w:color="auto"/>
        <w:left w:val="none" w:sz="0" w:space="0" w:color="auto"/>
        <w:bottom w:val="none" w:sz="0" w:space="0" w:color="auto"/>
        <w:right w:val="none" w:sz="0" w:space="0" w:color="auto"/>
      </w:divBdr>
    </w:div>
    <w:div w:id="859591851">
      <w:bodyDiv w:val="1"/>
      <w:marLeft w:val="0"/>
      <w:marRight w:val="0"/>
      <w:marTop w:val="0"/>
      <w:marBottom w:val="0"/>
      <w:divBdr>
        <w:top w:val="none" w:sz="0" w:space="0" w:color="auto"/>
        <w:left w:val="none" w:sz="0" w:space="0" w:color="auto"/>
        <w:bottom w:val="none" w:sz="0" w:space="0" w:color="auto"/>
        <w:right w:val="none" w:sz="0" w:space="0" w:color="auto"/>
      </w:divBdr>
    </w:div>
    <w:div w:id="859855737">
      <w:bodyDiv w:val="1"/>
      <w:marLeft w:val="0"/>
      <w:marRight w:val="0"/>
      <w:marTop w:val="0"/>
      <w:marBottom w:val="0"/>
      <w:divBdr>
        <w:top w:val="none" w:sz="0" w:space="0" w:color="auto"/>
        <w:left w:val="none" w:sz="0" w:space="0" w:color="auto"/>
        <w:bottom w:val="none" w:sz="0" w:space="0" w:color="auto"/>
        <w:right w:val="none" w:sz="0" w:space="0" w:color="auto"/>
      </w:divBdr>
    </w:div>
    <w:div w:id="866479742">
      <w:bodyDiv w:val="1"/>
      <w:marLeft w:val="0"/>
      <w:marRight w:val="0"/>
      <w:marTop w:val="0"/>
      <w:marBottom w:val="0"/>
      <w:divBdr>
        <w:top w:val="none" w:sz="0" w:space="0" w:color="auto"/>
        <w:left w:val="none" w:sz="0" w:space="0" w:color="auto"/>
        <w:bottom w:val="none" w:sz="0" w:space="0" w:color="auto"/>
        <w:right w:val="none" w:sz="0" w:space="0" w:color="auto"/>
      </w:divBdr>
    </w:div>
    <w:div w:id="875431281">
      <w:bodyDiv w:val="1"/>
      <w:marLeft w:val="0"/>
      <w:marRight w:val="0"/>
      <w:marTop w:val="0"/>
      <w:marBottom w:val="0"/>
      <w:divBdr>
        <w:top w:val="none" w:sz="0" w:space="0" w:color="auto"/>
        <w:left w:val="none" w:sz="0" w:space="0" w:color="auto"/>
        <w:bottom w:val="none" w:sz="0" w:space="0" w:color="auto"/>
        <w:right w:val="none" w:sz="0" w:space="0" w:color="auto"/>
      </w:divBdr>
    </w:div>
    <w:div w:id="886603578">
      <w:bodyDiv w:val="1"/>
      <w:marLeft w:val="0"/>
      <w:marRight w:val="0"/>
      <w:marTop w:val="0"/>
      <w:marBottom w:val="0"/>
      <w:divBdr>
        <w:top w:val="none" w:sz="0" w:space="0" w:color="auto"/>
        <w:left w:val="none" w:sz="0" w:space="0" w:color="auto"/>
        <w:bottom w:val="none" w:sz="0" w:space="0" w:color="auto"/>
        <w:right w:val="none" w:sz="0" w:space="0" w:color="auto"/>
      </w:divBdr>
    </w:div>
    <w:div w:id="888347076">
      <w:bodyDiv w:val="1"/>
      <w:marLeft w:val="0"/>
      <w:marRight w:val="0"/>
      <w:marTop w:val="0"/>
      <w:marBottom w:val="0"/>
      <w:divBdr>
        <w:top w:val="none" w:sz="0" w:space="0" w:color="auto"/>
        <w:left w:val="none" w:sz="0" w:space="0" w:color="auto"/>
        <w:bottom w:val="none" w:sz="0" w:space="0" w:color="auto"/>
        <w:right w:val="none" w:sz="0" w:space="0" w:color="auto"/>
      </w:divBdr>
    </w:div>
    <w:div w:id="892888130">
      <w:bodyDiv w:val="1"/>
      <w:marLeft w:val="0"/>
      <w:marRight w:val="0"/>
      <w:marTop w:val="0"/>
      <w:marBottom w:val="0"/>
      <w:divBdr>
        <w:top w:val="none" w:sz="0" w:space="0" w:color="auto"/>
        <w:left w:val="none" w:sz="0" w:space="0" w:color="auto"/>
        <w:bottom w:val="none" w:sz="0" w:space="0" w:color="auto"/>
        <w:right w:val="none" w:sz="0" w:space="0" w:color="auto"/>
      </w:divBdr>
    </w:div>
    <w:div w:id="894588297">
      <w:bodyDiv w:val="1"/>
      <w:marLeft w:val="0"/>
      <w:marRight w:val="0"/>
      <w:marTop w:val="0"/>
      <w:marBottom w:val="0"/>
      <w:divBdr>
        <w:top w:val="none" w:sz="0" w:space="0" w:color="auto"/>
        <w:left w:val="none" w:sz="0" w:space="0" w:color="auto"/>
        <w:bottom w:val="none" w:sz="0" w:space="0" w:color="auto"/>
        <w:right w:val="none" w:sz="0" w:space="0" w:color="auto"/>
      </w:divBdr>
    </w:div>
    <w:div w:id="894901170">
      <w:bodyDiv w:val="1"/>
      <w:marLeft w:val="0"/>
      <w:marRight w:val="0"/>
      <w:marTop w:val="0"/>
      <w:marBottom w:val="0"/>
      <w:divBdr>
        <w:top w:val="none" w:sz="0" w:space="0" w:color="auto"/>
        <w:left w:val="none" w:sz="0" w:space="0" w:color="auto"/>
        <w:bottom w:val="none" w:sz="0" w:space="0" w:color="auto"/>
        <w:right w:val="none" w:sz="0" w:space="0" w:color="auto"/>
      </w:divBdr>
    </w:div>
    <w:div w:id="899906515">
      <w:bodyDiv w:val="1"/>
      <w:marLeft w:val="0"/>
      <w:marRight w:val="0"/>
      <w:marTop w:val="0"/>
      <w:marBottom w:val="0"/>
      <w:divBdr>
        <w:top w:val="none" w:sz="0" w:space="0" w:color="auto"/>
        <w:left w:val="none" w:sz="0" w:space="0" w:color="auto"/>
        <w:bottom w:val="none" w:sz="0" w:space="0" w:color="auto"/>
        <w:right w:val="none" w:sz="0" w:space="0" w:color="auto"/>
      </w:divBdr>
    </w:div>
    <w:div w:id="900336391">
      <w:bodyDiv w:val="1"/>
      <w:marLeft w:val="0"/>
      <w:marRight w:val="0"/>
      <w:marTop w:val="0"/>
      <w:marBottom w:val="0"/>
      <w:divBdr>
        <w:top w:val="none" w:sz="0" w:space="0" w:color="auto"/>
        <w:left w:val="none" w:sz="0" w:space="0" w:color="auto"/>
        <w:bottom w:val="none" w:sz="0" w:space="0" w:color="auto"/>
        <w:right w:val="none" w:sz="0" w:space="0" w:color="auto"/>
      </w:divBdr>
    </w:div>
    <w:div w:id="908148202">
      <w:bodyDiv w:val="1"/>
      <w:marLeft w:val="0"/>
      <w:marRight w:val="0"/>
      <w:marTop w:val="0"/>
      <w:marBottom w:val="0"/>
      <w:divBdr>
        <w:top w:val="none" w:sz="0" w:space="0" w:color="auto"/>
        <w:left w:val="none" w:sz="0" w:space="0" w:color="auto"/>
        <w:bottom w:val="none" w:sz="0" w:space="0" w:color="auto"/>
        <w:right w:val="none" w:sz="0" w:space="0" w:color="auto"/>
      </w:divBdr>
    </w:div>
    <w:div w:id="910115150">
      <w:bodyDiv w:val="1"/>
      <w:marLeft w:val="0"/>
      <w:marRight w:val="0"/>
      <w:marTop w:val="0"/>
      <w:marBottom w:val="0"/>
      <w:divBdr>
        <w:top w:val="none" w:sz="0" w:space="0" w:color="auto"/>
        <w:left w:val="none" w:sz="0" w:space="0" w:color="auto"/>
        <w:bottom w:val="none" w:sz="0" w:space="0" w:color="auto"/>
        <w:right w:val="none" w:sz="0" w:space="0" w:color="auto"/>
      </w:divBdr>
    </w:div>
    <w:div w:id="912812978">
      <w:bodyDiv w:val="1"/>
      <w:marLeft w:val="0"/>
      <w:marRight w:val="0"/>
      <w:marTop w:val="0"/>
      <w:marBottom w:val="0"/>
      <w:divBdr>
        <w:top w:val="none" w:sz="0" w:space="0" w:color="auto"/>
        <w:left w:val="none" w:sz="0" w:space="0" w:color="auto"/>
        <w:bottom w:val="none" w:sz="0" w:space="0" w:color="auto"/>
        <w:right w:val="none" w:sz="0" w:space="0" w:color="auto"/>
      </w:divBdr>
    </w:div>
    <w:div w:id="916091376">
      <w:bodyDiv w:val="1"/>
      <w:marLeft w:val="0"/>
      <w:marRight w:val="0"/>
      <w:marTop w:val="0"/>
      <w:marBottom w:val="0"/>
      <w:divBdr>
        <w:top w:val="none" w:sz="0" w:space="0" w:color="auto"/>
        <w:left w:val="none" w:sz="0" w:space="0" w:color="auto"/>
        <w:bottom w:val="none" w:sz="0" w:space="0" w:color="auto"/>
        <w:right w:val="none" w:sz="0" w:space="0" w:color="auto"/>
      </w:divBdr>
    </w:div>
    <w:div w:id="918368230">
      <w:bodyDiv w:val="1"/>
      <w:marLeft w:val="0"/>
      <w:marRight w:val="0"/>
      <w:marTop w:val="0"/>
      <w:marBottom w:val="0"/>
      <w:divBdr>
        <w:top w:val="none" w:sz="0" w:space="0" w:color="auto"/>
        <w:left w:val="none" w:sz="0" w:space="0" w:color="auto"/>
        <w:bottom w:val="none" w:sz="0" w:space="0" w:color="auto"/>
        <w:right w:val="none" w:sz="0" w:space="0" w:color="auto"/>
      </w:divBdr>
    </w:div>
    <w:div w:id="919825853">
      <w:bodyDiv w:val="1"/>
      <w:marLeft w:val="0"/>
      <w:marRight w:val="0"/>
      <w:marTop w:val="0"/>
      <w:marBottom w:val="0"/>
      <w:divBdr>
        <w:top w:val="none" w:sz="0" w:space="0" w:color="auto"/>
        <w:left w:val="none" w:sz="0" w:space="0" w:color="auto"/>
        <w:bottom w:val="none" w:sz="0" w:space="0" w:color="auto"/>
        <w:right w:val="none" w:sz="0" w:space="0" w:color="auto"/>
      </w:divBdr>
    </w:div>
    <w:div w:id="920717869">
      <w:bodyDiv w:val="1"/>
      <w:marLeft w:val="0"/>
      <w:marRight w:val="0"/>
      <w:marTop w:val="0"/>
      <w:marBottom w:val="0"/>
      <w:divBdr>
        <w:top w:val="none" w:sz="0" w:space="0" w:color="auto"/>
        <w:left w:val="none" w:sz="0" w:space="0" w:color="auto"/>
        <w:bottom w:val="none" w:sz="0" w:space="0" w:color="auto"/>
        <w:right w:val="none" w:sz="0" w:space="0" w:color="auto"/>
      </w:divBdr>
    </w:div>
    <w:div w:id="921452900">
      <w:bodyDiv w:val="1"/>
      <w:marLeft w:val="0"/>
      <w:marRight w:val="0"/>
      <w:marTop w:val="0"/>
      <w:marBottom w:val="0"/>
      <w:divBdr>
        <w:top w:val="none" w:sz="0" w:space="0" w:color="auto"/>
        <w:left w:val="none" w:sz="0" w:space="0" w:color="auto"/>
        <w:bottom w:val="none" w:sz="0" w:space="0" w:color="auto"/>
        <w:right w:val="none" w:sz="0" w:space="0" w:color="auto"/>
      </w:divBdr>
    </w:div>
    <w:div w:id="922027221">
      <w:bodyDiv w:val="1"/>
      <w:marLeft w:val="0"/>
      <w:marRight w:val="0"/>
      <w:marTop w:val="0"/>
      <w:marBottom w:val="0"/>
      <w:divBdr>
        <w:top w:val="none" w:sz="0" w:space="0" w:color="auto"/>
        <w:left w:val="none" w:sz="0" w:space="0" w:color="auto"/>
        <w:bottom w:val="none" w:sz="0" w:space="0" w:color="auto"/>
        <w:right w:val="none" w:sz="0" w:space="0" w:color="auto"/>
      </w:divBdr>
    </w:div>
    <w:div w:id="928194352">
      <w:bodyDiv w:val="1"/>
      <w:marLeft w:val="0"/>
      <w:marRight w:val="0"/>
      <w:marTop w:val="0"/>
      <w:marBottom w:val="0"/>
      <w:divBdr>
        <w:top w:val="none" w:sz="0" w:space="0" w:color="auto"/>
        <w:left w:val="none" w:sz="0" w:space="0" w:color="auto"/>
        <w:bottom w:val="none" w:sz="0" w:space="0" w:color="auto"/>
        <w:right w:val="none" w:sz="0" w:space="0" w:color="auto"/>
      </w:divBdr>
    </w:div>
    <w:div w:id="933055474">
      <w:bodyDiv w:val="1"/>
      <w:marLeft w:val="0"/>
      <w:marRight w:val="0"/>
      <w:marTop w:val="0"/>
      <w:marBottom w:val="0"/>
      <w:divBdr>
        <w:top w:val="none" w:sz="0" w:space="0" w:color="auto"/>
        <w:left w:val="none" w:sz="0" w:space="0" w:color="auto"/>
        <w:bottom w:val="none" w:sz="0" w:space="0" w:color="auto"/>
        <w:right w:val="none" w:sz="0" w:space="0" w:color="auto"/>
      </w:divBdr>
    </w:div>
    <w:div w:id="938172157">
      <w:bodyDiv w:val="1"/>
      <w:marLeft w:val="0"/>
      <w:marRight w:val="0"/>
      <w:marTop w:val="0"/>
      <w:marBottom w:val="0"/>
      <w:divBdr>
        <w:top w:val="none" w:sz="0" w:space="0" w:color="auto"/>
        <w:left w:val="none" w:sz="0" w:space="0" w:color="auto"/>
        <w:bottom w:val="none" w:sz="0" w:space="0" w:color="auto"/>
        <w:right w:val="none" w:sz="0" w:space="0" w:color="auto"/>
      </w:divBdr>
    </w:div>
    <w:div w:id="940262050">
      <w:bodyDiv w:val="1"/>
      <w:marLeft w:val="0"/>
      <w:marRight w:val="0"/>
      <w:marTop w:val="0"/>
      <w:marBottom w:val="0"/>
      <w:divBdr>
        <w:top w:val="none" w:sz="0" w:space="0" w:color="auto"/>
        <w:left w:val="none" w:sz="0" w:space="0" w:color="auto"/>
        <w:bottom w:val="none" w:sz="0" w:space="0" w:color="auto"/>
        <w:right w:val="none" w:sz="0" w:space="0" w:color="auto"/>
      </w:divBdr>
    </w:div>
    <w:div w:id="940383169">
      <w:bodyDiv w:val="1"/>
      <w:marLeft w:val="0"/>
      <w:marRight w:val="0"/>
      <w:marTop w:val="0"/>
      <w:marBottom w:val="0"/>
      <w:divBdr>
        <w:top w:val="none" w:sz="0" w:space="0" w:color="auto"/>
        <w:left w:val="none" w:sz="0" w:space="0" w:color="auto"/>
        <w:bottom w:val="none" w:sz="0" w:space="0" w:color="auto"/>
        <w:right w:val="none" w:sz="0" w:space="0" w:color="auto"/>
      </w:divBdr>
    </w:div>
    <w:div w:id="941182780">
      <w:bodyDiv w:val="1"/>
      <w:marLeft w:val="0"/>
      <w:marRight w:val="0"/>
      <w:marTop w:val="0"/>
      <w:marBottom w:val="0"/>
      <w:divBdr>
        <w:top w:val="none" w:sz="0" w:space="0" w:color="auto"/>
        <w:left w:val="none" w:sz="0" w:space="0" w:color="auto"/>
        <w:bottom w:val="none" w:sz="0" w:space="0" w:color="auto"/>
        <w:right w:val="none" w:sz="0" w:space="0" w:color="auto"/>
      </w:divBdr>
    </w:div>
    <w:div w:id="943342308">
      <w:bodyDiv w:val="1"/>
      <w:marLeft w:val="0"/>
      <w:marRight w:val="0"/>
      <w:marTop w:val="0"/>
      <w:marBottom w:val="0"/>
      <w:divBdr>
        <w:top w:val="none" w:sz="0" w:space="0" w:color="auto"/>
        <w:left w:val="none" w:sz="0" w:space="0" w:color="auto"/>
        <w:bottom w:val="none" w:sz="0" w:space="0" w:color="auto"/>
        <w:right w:val="none" w:sz="0" w:space="0" w:color="auto"/>
      </w:divBdr>
    </w:div>
    <w:div w:id="944701681">
      <w:bodyDiv w:val="1"/>
      <w:marLeft w:val="0"/>
      <w:marRight w:val="0"/>
      <w:marTop w:val="0"/>
      <w:marBottom w:val="0"/>
      <w:divBdr>
        <w:top w:val="none" w:sz="0" w:space="0" w:color="auto"/>
        <w:left w:val="none" w:sz="0" w:space="0" w:color="auto"/>
        <w:bottom w:val="none" w:sz="0" w:space="0" w:color="auto"/>
        <w:right w:val="none" w:sz="0" w:space="0" w:color="auto"/>
      </w:divBdr>
    </w:div>
    <w:div w:id="947395349">
      <w:bodyDiv w:val="1"/>
      <w:marLeft w:val="0"/>
      <w:marRight w:val="0"/>
      <w:marTop w:val="0"/>
      <w:marBottom w:val="0"/>
      <w:divBdr>
        <w:top w:val="none" w:sz="0" w:space="0" w:color="auto"/>
        <w:left w:val="none" w:sz="0" w:space="0" w:color="auto"/>
        <w:bottom w:val="none" w:sz="0" w:space="0" w:color="auto"/>
        <w:right w:val="none" w:sz="0" w:space="0" w:color="auto"/>
      </w:divBdr>
    </w:div>
    <w:div w:id="951208064">
      <w:bodyDiv w:val="1"/>
      <w:marLeft w:val="0"/>
      <w:marRight w:val="0"/>
      <w:marTop w:val="0"/>
      <w:marBottom w:val="0"/>
      <w:divBdr>
        <w:top w:val="none" w:sz="0" w:space="0" w:color="auto"/>
        <w:left w:val="none" w:sz="0" w:space="0" w:color="auto"/>
        <w:bottom w:val="none" w:sz="0" w:space="0" w:color="auto"/>
        <w:right w:val="none" w:sz="0" w:space="0" w:color="auto"/>
      </w:divBdr>
    </w:div>
    <w:div w:id="954597998">
      <w:bodyDiv w:val="1"/>
      <w:marLeft w:val="0"/>
      <w:marRight w:val="0"/>
      <w:marTop w:val="0"/>
      <w:marBottom w:val="0"/>
      <w:divBdr>
        <w:top w:val="none" w:sz="0" w:space="0" w:color="auto"/>
        <w:left w:val="none" w:sz="0" w:space="0" w:color="auto"/>
        <w:bottom w:val="none" w:sz="0" w:space="0" w:color="auto"/>
        <w:right w:val="none" w:sz="0" w:space="0" w:color="auto"/>
      </w:divBdr>
    </w:div>
    <w:div w:id="954796724">
      <w:bodyDiv w:val="1"/>
      <w:marLeft w:val="0"/>
      <w:marRight w:val="0"/>
      <w:marTop w:val="0"/>
      <w:marBottom w:val="0"/>
      <w:divBdr>
        <w:top w:val="none" w:sz="0" w:space="0" w:color="auto"/>
        <w:left w:val="none" w:sz="0" w:space="0" w:color="auto"/>
        <w:bottom w:val="none" w:sz="0" w:space="0" w:color="auto"/>
        <w:right w:val="none" w:sz="0" w:space="0" w:color="auto"/>
      </w:divBdr>
    </w:div>
    <w:div w:id="954870828">
      <w:bodyDiv w:val="1"/>
      <w:marLeft w:val="0"/>
      <w:marRight w:val="0"/>
      <w:marTop w:val="0"/>
      <w:marBottom w:val="0"/>
      <w:divBdr>
        <w:top w:val="none" w:sz="0" w:space="0" w:color="auto"/>
        <w:left w:val="none" w:sz="0" w:space="0" w:color="auto"/>
        <w:bottom w:val="none" w:sz="0" w:space="0" w:color="auto"/>
        <w:right w:val="none" w:sz="0" w:space="0" w:color="auto"/>
      </w:divBdr>
    </w:div>
    <w:div w:id="956259655">
      <w:bodyDiv w:val="1"/>
      <w:marLeft w:val="0"/>
      <w:marRight w:val="0"/>
      <w:marTop w:val="0"/>
      <w:marBottom w:val="0"/>
      <w:divBdr>
        <w:top w:val="none" w:sz="0" w:space="0" w:color="auto"/>
        <w:left w:val="none" w:sz="0" w:space="0" w:color="auto"/>
        <w:bottom w:val="none" w:sz="0" w:space="0" w:color="auto"/>
        <w:right w:val="none" w:sz="0" w:space="0" w:color="auto"/>
      </w:divBdr>
    </w:div>
    <w:div w:id="956988936">
      <w:bodyDiv w:val="1"/>
      <w:marLeft w:val="0"/>
      <w:marRight w:val="0"/>
      <w:marTop w:val="0"/>
      <w:marBottom w:val="0"/>
      <w:divBdr>
        <w:top w:val="none" w:sz="0" w:space="0" w:color="auto"/>
        <w:left w:val="none" w:sz="0" w:space="0" w:color="auto"/>
        <w:bottom w:val="none" w:sz="0" w:space="0" w:color="auto"/>
        <w:right w:val="none" w:sz="0" w:space="0" w:color="auto"/>
      </w:divBdr>
    </w:div>
    <w:div w:id="957954790">
      <w:bodyDiv w:val="1"/>
      <w:marLeft w:val="0"/>
      <w:marRight w:val="0"/>
      <w:marTop w:val="0"/>
      <w:marBottom w:val="0"/>
      <w:divBdr>
        <w:top w:val="none" w:sz="0" w:space="0" w:color="auto"/>
        <w:left w:val="none" w:sz="0" w:space="0" w:color="auto"/>
        <w:bottom w:val="none" w:sz="0" w:space="0" w:color="auto"/>
        <w:right w:val="none" w:sz="0" w:space="0" w:color="auto"/>
      </w:divBdr>
    </w:div>
    <w:div w:id="959916408">
      <w:bodyDiv w:val="1"/>
      <w:marLeft w:val="0"/>
      <w:marRight w:val="0"/>
      <w:marTop w:val="0"/>
      <w:marBottom w:val="0"/>
      <w:divBdr>
        <w:top w:val="none" w:sz="0" w:space="0" w:color="auto"/>
        <w:left w:val="none" w:sz="0" w:space="0" w:color="auto"/>
        <w:bottom w:val="none" w:sz="0" w:space="0" w:color="auto"/>
        <w:right w:val="none" w:sz="0" w:space="0" w:color="auto"/>
      </w:divBdr>
    </w:div>
    <w:div w:id="959992237">
      <w:bodyDiv w:val="1"/>
      <w:marLeft w:val="0"/>
      <w:marRight w:val="0"/>
      <w:marTop w:val="0"/>
      <w:marBottom w:val="0"/>
      <w:divBdr>
        <w:top w:val="none" w:sz="0" w:space="0" w:color="auto"/>
        <w:left w:val="none" w:sz="0" w:space="0" w:color="auto"/>
        <w:bottom w:val="none" w:sz="0" w:space="0" w:color="auto"/>
        <w:right w:val="none" w:sz="0" w:space="0" w:color="auto"/>
      </w:divBdr>
    </w:div>
    <w:div w:id="963079654">
      <w:bodyDiv w:val="1"/>
      <w:marLeft w:val="0"/>
      <w:marRight w:val="0"/>
      <w:marTop w:val="0"/>
      <w:marBottom w:val="0"/>
      <w:divBdr>
        <w:top w:val="none" w:sz="0" w:space="0" w:color="auto"/>
        <w:left w:val="none" w:sz="0" w:space="0" w:color="auto"/>
        <w:bottom w:val="none" w:sz="0" w:space="0" w:color="auto"/>
        <w:right w:val="none" w:sz="0" w:space="0" w:color="auto"/>
      </w:divBdr>
    </w:div>
    <w:div w:id="969824517">
      <w:bodyDiv w:val="1"/>
      <w:marLeft w:val="0"/>
      <w:marRight w:val="0"/>
      <w:marTop w:val="0"/>
      <w:marBottom w:val="0"/>
      <w:divBdr>
        <w:top w:val="none" w:sz="0" w:space="0" w:color="auto"/>
        <w:left w:val="none" w:sz="0" w:space="0" w:color="auto"/>
        <w:bottom w:val="none" w:sz="0" w:space="0" w:color="auto"/>
        <w:right w:val="none" w:sz="0" w:space="0" w:color="auto"/>
      </w:divBdr>
    </w:div>
    <w:div w:id="980696392">
      <w:bodyDiv w:val="1"/>
      <w:marLeft w:val="0"/>
      <w:marRight w:val="0"/>
      <w:marTop w:val="0"/>
      <w:marBottom w:val="0"/>
      <w:divBdr>
        <w:top w:val="none" w:sz="0" w:space="0" w:color="auto"/>
        <w:left w:val="none" w:sz="0" w:space="0" w:color="auto"/>
        <w:bottom w:val="none" w:sz="0" w:space="0" w:color="auto"/>
        <w:right w:val="none" w:sz="0" w:space="0" w:color="auto"/>
      </w:divBdr>
    </w:div>
    <w:div w:id="981151469">
      <w:bodyDiv w:val="1"/>
      <w:marLeft w:val="0"/>
      <w:marRight w:val="0"/>
      <w:marTop w:val="0"/>
      <w:marBottom w:val="0"/>
      <w:divBdr>
        <w:top w:val="none" w:sz="0" w:space="0" w:color="auto"/>
        <w:left w:val="none" w:sz="0" w:space="0" w:color="auto"/>
        <w:bottom w:val="none" w:sz="0" w:space="0" w:color="auto"/>
        <w:right w:val="none" w:sz="0" w:space="0" w:color="auto"/>
      </w:divBdr>
    </w:div>
    <w:div w:id="981926740">
      <w:bodyDiv w:val="1"/>
      <w:marLeft w:val="0"/>
      <w:marRight w:val="0"/>
      <w:marTop w:val="0"/>
      <w:marBottom w:val="0"/>
      <w:divBdr>
        <w:top w:val="none" w:sz="0" w:space="0" w:color="auto"/>
        <w:left w:val="none" w:sz="0" w:space="0" w:color="auto"/>
        <w:bottom w:val="none" w:sz="0" w:space="0" w:color="auto"/>
        <w:right w:val="none" w:sz="0" w:space="0" w:color="auto"/>
      </w:divBdr>
    </w:div>
    <w:div w:id="984819219">
      <w:bodyDiv w:val="1"/>
      <w:marLeft w:val="0"/>
      <w:marRight w:val="0"/>
      <w:marTop w:val="0"/>
      <w:marBottom w:val="0"/>
      <w:divBdr>
        <w:top w:val="none" w:sz="0" w:space="0" w:color="auto"/>
        <w:left w:val="none" w:sz="0" w:space="0" w:color="auto"/>
        <w:bottom w:val="none" w:sz="0" w:space="0" w:color="auto"/>
        <w:right w:val="none" w:sz="0" w:space="0" w:color="auto"/>
      </w:divBdr>
    </w:div>
    <w:div w:id="989794075">
      <w:bodyDiv w:val="1"/>
      <w:marLeft w:val="0"/>
      <w:marRight w:val="0"/>
      <w:marTop w:val="0"/>
      <w:marBottom w:val="0"/>
      <w:divBdr>
        <w:top w:val="none" w:sz="0" w:space="0" w:color="auto"/>
        <w:left w:val="none" w:sz="0" w:space="0" w:color="auto"/>
        <w:bottom w:val="none" w:sz="0" w:space="0" w:color="auto"/>
        <w:right w:val="none" w:sz="0" w:space="0" w:color="auto"/>
      </w:divBdr>
    </w:div>
    <w:div w:id="999115278">
      <w:bodyDiv w:val="1"/>
      <w:marLeft w:val="0"/>
      <w:marRight w:val="0"/>
      <w:marTop w:val="0"/>
      <w:marBottom w:val="0"/>
      <w:divBdr>
        <w:top w:val="none" w:sz="0" w:space="0" w:color="auto"/>
        <w:left w:val="none" w:sz="0" w:space="0" w:color="auto"/>
        <w:bottom w:val="none" w:sz="0" w:space="0" w:color="auto"/>
        <w:right w:val="none" w:sz="0" w:space="0" w:color="auto"/>
      </w:divBdr>
    </w:div>
    <w:div w:id="1001851984">
      <w:bodyDiv w:val="1"/>
      <w:marLeft w:val="0"/>
      <w:marRight w:val="0"/>
      <w:marTop w:val="0"/>
      <w:marBottom w:val="0"/>
      <w:divBdr>
        <w:top w:val="none" w:sz="0" w:space="0" w:color="auto"/>
        <w:left w:val="none" w:sz="0" w:space="0" w:color="auto"/>
        <w:bottom w:val="none" w:sz="0" w:space="0" w:color="auto"/>
        <w:right w:val="none" w:sz="0" w:space="0" w:color="auto"/>
      </w:divBdr>
    </w:div>
    <w:div w:id="1004941649">
      <w:bodyDiv w:val="1"/>
      <w:marLeft w:val="0"/>
      <w:marRight w:val="0"/>
      <w:marTop w:val="0"/>
      <w:marBottom w:val="0"/>
      <w:divBdr>
        <w:top w:val="none" w:sz="0" w:space="0" w:color="auto"/>
        <w:left w:val="none" w:sz="0" w:space="0" w:color="auto"/>
        <w:bottom w:val="none" w:sz="0" w:space="0" w:color="auto"/>
        <w:right w:val="none" w:sz="0" w:space="0" w:color="auto"/>
      </w:divBdr>
    </w:div>
    <w:div w:id="1010988179">
      <w:bodyDiv w:val="1"/>
      <w:marLeft w:val="0"/>
      <w:marRight w:val="0"/>
      <w:marTop w:val="0"/>
      <w:marBottom w:val="0"/>
      <w:divBdr>
        <w:top w:val="none" w:sz="0" w:space="0" w:color="auto"/>
        <w:left w:val="none" w:sz="0" w:space="0" w:color="auto"/>
        <w:bottom w:val="none" w:sz="0" w:space="0" w:color="auto"/>
        <w:right w:val="none" w:sz="0" w:space="0" w:color="auto"/>
      </w:divBdr>
    </w:div>
    <w:div w:id="1014722561">
      <w:bodyDiv w:val="1"/>
      <w:marLeft w:val="0"/>
      <w:marRight w:val="0"/>
      <w:marTop w:val="0"/>
      <w:marBottom w:val="0"/>
      <w:divBdr>
        <w:top w:val="none" w:sz="0" w:space="0" w:color="auto"/>
        <w:left w:val="none" w:sz="0" w:space="0" w:color="auto"/>
        <w:bottom w:val="none" w:sz="0" w:space="0" w:color="auto"/>
        <w:right w:val="none" w:sz="0" w:space="0" w:color="auto"/>
      </w:divBdr>
    </w:div>
    <w:div w:id="1017459974">
      <w:bodyDiv w:val="1"/>
      <w:marLeft w:val="0"/>
      <w:marRight w:val="0"/>
      <w:marTop w:val="0"/>
      <w:marBottom w:val="0"/>
      <w:divBdr>
        <w:top w:val="none" w:sz="0" w:space="0" w:color="auto"/>
        <w:left w:val="none" w:sz="0" w:space="0" w:color="auto"/>
        <w:bottom w:val="none" w:sz="0" w:space="0" w:color="auto"/>
        <w:right w:val="none" w:sz="0" w:space="0" w:color="auto"/>
      </w:divBdr>
    </w:div>
    <w:div w:id="1023288295">
      <w:bodyDiv w:val="1"/>
      <w:marLeft w:val="0"/>
      <w:marRight w:val="0"/>
      <w:marTop w:val="0"/>
      <w:marBottom w:val="0"/>
      <w:divBdr>
        <w:top w:val="none" w:sz="0" w:space="0" w:color="auto"/>
        <w:left w:val="none" w:sz="0" w:space="0" w:color="auto"/>
        <w:bottom w:val="none" w:sz="0" w:space="0" w:color="auto"/>
        <w:right w:val="none" w:sz="0" w:space="0" w:color="auto"/>
      </w:divBdr>
    </w:div>
    <w:div w:id="1024818789">
      <w:bodyDiv w:val="1"/>
      <w:marLeft w:val="0"/>
      <w:marRight w:val="0"/>
      <w:marTop w:val="0"/>
      <w:marBottom w:val="0"/>
      <w:divBdr>
        <w:top w:val="none" w:sz="0" w:space="0" w:color="auto"/>
        <w:left w:val="none" w:sz="0" w:space="0" w:color="auto"/>
        <w:bottom w:val="none" w:sz="0" w:space="0" w:color="auto"/>
        <w:right w:val="none" w:sz="0" w:space="0" w:color="auto"/>
      </w:divBdr>
    </w:div>
    <w:div w:id="1027877417">
      <w:bodyDiv w:val="1"/>
      <w:marLeft w:val="0"/>
      <w:marRight w:val="0"/>
      <w:marTop w:val="0"/>
      <w:marBottom w:val="0"/>
      <w:divBdr>
        <w:top w:val="none" w:sz="0" w:space="0" w:color="auto"/>
        <w:left w:val="none" w:sz="0" w:space="0" w:color="auto"/>
        <w:bottom w:val="none" w:sz="0" w:space="0" w:color="auto"/>
        <w:right w:val="none" w:sz="0" w:space="0" w:color="auto"/>
      </w:divBdr>
    </w:div>
    <w:div w:id="1028750600">
      <w:bodyDiv w:val="1"/>
      <w:marLeft w:val="0"/>
      <w:marRight w:val="0"/>
      <w:marTop w:val="0"/>
      <w:marBottom w:val="0"/>
      <w:divBdr>
        <w:top w:val="none" w:sz="0" w:space="0" w:color="auto"/>
        <w:left w:val="none" w:sz="0" w:space="0" w:color="auto"/>
        <w:bottom w:val="none" w:sz="0" w:space="0" w:color="auto"/>
        <w:right w:val="none" w:sz="0" w:space="0" w:color="auto"/>
      </w:divBdr>
    </w:div>
    <w:div w:id="1034505080">
      <w:bodyDiv w:val="1"/>
      <w:marLeft w:val="0"/>
      <w:marRight w:val="0"/>
      <w:marTop w:val="0"/>
      <w:marBottom w:val="0"/>
      <w:divBdr>
        <w:top w:val="none" w:sz="0" w:space="0" w:color="auto"/>
        <w:left w:val="none" w:sz="0" w:space="0" w:color="auto"/>
        <w:bottom w:val="none" w:sz="0" w:space="0" w:color="auto"/>
        <w:right w:val="none" w:sz="0" w:space="0" w:color="auto"/>
      </w:divBdr>
    </w:div>
    <w:div w:id="1038437489">
      <w:bodyDiv w:val="1"/>
      <w:marLeft w:val="0"/>
      <w:marRight w:val="0"/>
      <w:marTop w:val="0"/>
      <w:marBottom w:val="0"/>
      <w:divBdr>
        <w:top w:val="none" w:sz="0" w:space="0" w:color="auto"/>
        <w:left w:val="none" w:sz="0" w:space="0" w:color="auto"/>
        <w:bottom w:val="none" w:sz="0" w:space="0" w:color="auto"/>
        <w:right w:val="none" w:sz="0" w:space="0" w:color="auto"/>
      </w:divBdr>
    </w:div>
    <w:div w:id="1038965946">
      <w:bodyDiv w:val="1"/>
      <w:marLeft w:val="0"/>
      <w:marRight w:val="0"/>
      <w:marTop w:val="0"/>
      <w:marBottom w:val="0"/>
      <w:divBdr>
        <w:top w:val="none" w:sz="0" w:space="0" w:color="auto"/>
        <w:left w:val="none" w:sz="0" w:space="0" w:color="auto"/>
        <w:bottom w:val="none" w:sz="0" w:space="0" w:color="auto"/>
        <w:right w:val="none" w:sz="0" w:space="0" w:color="auto"/>
      </w:divBdr>
    </w:div>
    <w:div w:id="1046374152">
      <w:bodyDiv w:val="1"/>
      <w:marLeft w:val="0"/>
      <w:marRight w:val="0"/>
      <w:marTop w:val="0"/>
      <w:marBottom w:val="0"/>
      <w:divBdr>
        <w:top w:val="none" w:sz="0" w:space="0" w:color="auto"/>
        <w:left w:val="none" w:sz="0" w:space="0" w:color="auto"/>
        <w:bottom w:val="none" w:sz="0" w:space="0" w:color="auto"/>
        <w:right w:val="none" w:sz="0" w:space="0" w:color="auto"/>
      </w:divBdr>
    </w:div>
    <w:div w:id="1050610702">
      <w:bodyDiv w:val="1"/>
      <w:marLeft w:val="0"/>
      <w:marRight w:val="0"/>
      <w:marTop w:val="0"/>
      <w:marBottom w:val="0"/>
      <w:divBdr>
        <w:top w:val="none" w:sz="0" w:space="0" w:color="auto"/>
        <w:left w:val="none" w:sz="0" w:space="0" w:color="auto"/>
        <w:bottom w:val="none" w:sz="0" w:space="0" w:color="auto"/>
        <w:right w:val="none" w:sz="0" w:space="0" w:color="auto"/>
      </w:divBdr>
    </w:div>
    <w:div w:id="1054088655">
      <w:bodyDiv w:val="1"/>
      <w:marLeft w:val="0"/>
      <w:marRight w:val="0"/>
      <w:marTop w:val="0"/>
      <w:marBottom w:val="0"/>
      <w:divBdr>
        <w:top w:val="none" w:sz="0" w:space="0" w:color="auto"/>
        <w:left w:val="none" w:sz="0" w:space="0" w:color="auto"/>
        <w:bottom w:val="none" w:sz="0" w:space="0" w:color="auto"/>
        <w:right w:val="none" w:sz="0" w:space="0" w:color="auto"/>
      </w:divBdr>
    </w:div>
    <w:div w:id="1057126701">
      <w:bodyDiv w:val="1"/>
      <w:marLeft w:val="0"/>
      <w:marRight w:val="0"/>
      <w:marTop w:val="0"/>
      <w:marBottom w:val="0"/>
      <w:divBdr>
        <w:top w:val="none" w:sz="0" w:space="0" w:color="auto"/>
        <w:left w:val="none" w:sz="0" w:space="0" w:color="auto"/>
        <w:bottom w:val="none" w:sz="0" w:space="0" w:color="auto"/>
        <w:right w:val="none" w:sz="0" w:space="0" w:color="auto"/>
      </w:divBdr>
    </w:div>
    <w:div w:id="1067607595">
      <w:bodyDiv w:val="1"/>
      <w:marLeft w:val="0"/>
      <w:marRight w:val="0"/>
      <w:marTop w:val="0"/>
      <w:marBottom w:val="0"/>
      <w:divBdr>
        <w:top w:val="none" w:sz="0" w:space="0" w:color="auto"/>
        <w:left w:val="none" w:sz="0" w:space="0" w:color="auto"/>
        <w:bottom w:val="none" w:sz="0" w:space="0" w:color="auto"/>
        <w:right w:val="none" w:sz="0" w:space="0" w:color="auto"/>
      </w:divBdr>
    </w:div>
    <w:div w:id="1068697603">
      <w:bodyDiv w:val="1"/>
      <w:marLeft w:val="0"/>
      <w:marRight w:val="0"/>
      <w:marTop w:val="0"/>
      <w:marBottom w:val="0"/>
      <w:divBdr>
        <w:top w:val="none" w:sz="0" w:space="0" w:color="auto"/>
        <w:left w:val="none" w:sz="0" w:space="0" w:color="auto"/>
        <w:bottom w:val="none" w:sz="0" w:space="0" w:color="auto"/>
        <w:right w:val="none" w:sz="0" w:space="0" w:color="auto"/>
      </w:divBdr>
    </w:div>
    <w:div w:id="1076823749">
      <w:bodyDiv w:val="1"/>
      <w:marLeft w:val="0"/>
      <w:marRight w:val="0"/>
      <w:marTop w:val="0"/>
      <w:marBottom w:val="0"/>
      <w:divBdr>
        <w:top w:val="none" w:sz="0" w:space="0" w:color="auto"/>
        <w:left w:val="none" w:sz="0" w:space="0" w:color="auto"/>
        <w:bottom w:val="none" w:sz="0" w:space="0" w:color="auto"/>
        <w:right w:val="none" w:sz="0" w:space="0" w:color="auto"/>
      </w:divBdr>
    </w:div>
    <w:div w:id="1080101532">
      <w:bodyDiv w:val="1"/>
      <w:marLeft w:val="0"/>
      <w:marRight w:val="0"/>
      <w:marTop w:val="0"/>
      <w:marBottom w:val="0"/>
      <w:divBdr>
        <w:top w:val="none" w:sz="0" w:space="0" w:color="auto"/>
        <w:left w:val="none" w:sz="0" w:space="0" w:color="auto"/>
        <w:bottom w:val="none" w:sz="0" w:space="0" w:color="auto"/>
        <w:right w:val="none" w:sz="0" w:space="0" w:color="auto"/>
      </w:divBdr>
    </w:div>
    <w:div w:id="1084259446">
      <w:bodyDiv w:val="1"/>
      <w:marLeft w:val="0"/>
      <w:marRight w:val="0"/>
      <w:marTop w:val="0"/>
      <w:marBottom w:val="0"/>
      <w:divBdr>
        <w:top w:val="none" w:sz="0" w:space="0" w:color="auto"/>
        <w:left w:val="none" w:sz="0" w:space="0" w:color="auto"/>
        <w:bottom w:val="none" w:sz="0" w:space="0" w:color="auto"/>
        <w:right w:val="none" w:sz="0" w:space="0" w:color="auto"/>
      </w:divBdr>
    </w:div>
    <w:div w:id="1087963617">
      <w:bodyDiv w:val="1"/>
      <w:marLeft w:val="0"/>
      <w:marRight w:val="0"/>
      <w:marTop w:val="0"/>
      <w:marBottom w:val="0"/>
      <w:divBdr>
        <w:top w:val="none" w:sz="0" w:space="0" w:color="auto"/>
        <w:left w:val="none" w:sz="0" w:space="0" w:color="auto"/>
        <w:bottom w:val="none" w:sz="0" w:space="0" w:color="auto"/>
        <w:right w:val="none" w:sz="0" w:space="0" w:color="auto"/>
      </w:divBdr>
    </w:div>
    <w:div w:id="1089428959">
      <w:bodyDiv w:val="1"/>
      <w:marLeft w:val="0"/>
      <w:marRight w:val="0"/>
      <w:marTop w:val="0"/>
      <w:marBottom w:val="0"/>
      <w:divBdr>
        <w:top w:val="none" w:sz="0" w:space="0" w:color="auto"/>
        <w:left w:val="none" w:sz="0" w:space="0" w:color="auto"/>
        <w:bottom w:val="none" w:sz="0" w:space="0" w:color="auto"/>
        <w:right w:val="none" w:sz="0" w:space="0" w:color="auto"/>
      </w:divBdr>
    </w:div>
    <w:div w:id="1091927100">
      <w:bodyDiv w:val="1"/>
      <w:marLeft w:val="0"/>
      <w:marRight w:val="0"/>
      <w:marTop w:val="0"/>
      <w:marBottom w:val="0"/>
      <w:divBdr>
        <w:top w:val="none" w:sz="0" w:space="0" w:color="auto"/>
        <w:left w:val="none" w:sz="0" w:space="0" w:color="auto"/>
        <w:bottom w:val="none" w:sz="0" w:space="0" w:color="auto"/>
        <w:right w:val="none" w:sz="0" w:space="0" w:color="auto"/>
      </w:divBdr>
    </w:div>
    <w:div w:id="1098210041">
      <w:bodyDiv w:val="1"/>
      <w:marLeft w:val="0"/>
      <w:marRight w:val="0"/>
      <w:marTop w:val="0"/>
      <w:marBottom w:val="0"/>
      <w:divBdr>
        <w:top w:val="none" w:sz="0" w:space="0" w:color="auto"/>
        <w:left w:val="none" w:sz="0" w:space="0" w:color="auto"/>
        <w:bottom w:val="none" w:sz="0" w:space="0" w:color="auto"/>
        <w:right w:val="none" w:sz="0" w:space="0" w:color="auto"/>
      </w:divBdr>
    </w:div>
    <w:div w:id="1098645708">
      <w:bodyDiv w:val="1"/>
      <w:marLeft w:val="0"/>
      <w:marRight w:val="0"/>
      <w:marTop w:val="0"/>
      <w:marBottom w:val="0"/>
      <w:divBdr>
        <w:top w:val="none" w:sz="0" w:space="0" w:color="auto"/>
        <w:left w:val="none" w:sz="0" w:space="0" w:color="auto"/>
        <w:bottom w:val="none" w:sz="0" w:space="0" w:color="auto"/>
        <w:right w:val="none" w:sz="0" w:space="0" w:color="auto"/>
      </w:divBdr>
    </w:div>
    <w:div w:id="1099641097">
      <w:bodyDiv w:val="1"/>
      <w:marLeft w:val="0"/>
      <w:marRight w:val="0"/>
      <w:marTop w:val="0"/>
      <w:marBottom w:val="0"/>
      <w:divBdr>
        <w:top w:val="none" w:sz="0" w:space="0" w:color="auto"/>
        <w:left w:val="none" w:sz="0" w:space="0" w:color="auto"/>
        <w:bottom w:val="none" w:sz="0" w:space="0" w:color="auto"/>
        <w:right w:val="none" w:sz="0" w:space="0" w:color="auto"/>
      </w:divBdr>
    </w:div>
    <w:div w:id="1100487628">
      <w:bodyDiv w:val="1"/>
      <w:marLeft w:val="0"/>
      <w:marRight w:val="0"/>
      <w:marTop w:val="0"/>
      <w:marBottom w:val="0"/>
      <w:divBdr>
        <w:top w:val="none" w:sz="0" w:space="0" w:color="auto"/>
        <w:left w:val="none" w:sz="0" w:space="0" w:color="auto"/>
        <w:bottom w:val="none" w:sz="0" w:space="0" w:color="auto"/>
        <w:right w:val="none" w:sz="0" w:space="0" w:color="auto"/>
      </w:divBdr>
    </w:div>
    <w:div w:id="1100490851">
      <w:bodyDiv w:val="1"/>
      <w:marLeft w:val="0"/>
      <w:marRight w:val="0"/>
      <w:marTop w:val="0"/>
      <w:marBottom w:val="0"/>
      <w:divBdr>
        <w:top w:val="none" w:sz="0" w:space="0" w:color="auto"/>
        <w:left w:val="none" w:sz="0" w:space="0" w:color="auto"/>
        <w:bottom w:val="none" w:sz="0" w:space="0" w:color="auto"/>
        <w:right w:val="none" w:sz="0" w:space="0" w:color="auto"/>
      </w:divBdr>
    </w:div>
    <w:div w:id="1107240214">
      <w:bodyDiv w:val="1"/>
      <w:marLeft w:val="0"/>
      <w:marRight w:val="0"/>
      <w:marTop w:val="0"/>
      <w:marBottom w:val="0"/>
      <w:divBdr>
        <w:top w:val="none" w:sz="0" w:space="0" w:color="auto"/>
        <w:left w:val="none" w:sz="0" w:space="0" w:color="auto"/>
        <w:bottom w:val="none" w:sz="0" w:space="0" w:color="auto"/>
        <w:right w:val="none" w:sz="0" w:space="0" w:color="auto"/>
      </w:divBdr>
    </w:div>
    <w:div w:id="1111314617">
      <w:bodyDiv w:val="1"/>
      <w:marLeft w:val="0"/>
      <w:marRight w:val="0"/>
      <w:marTop w:val="0"/>
      <w:marBottom w:val="0"/>
      <w:divBdr>
        <w:top w:val="none" w:sz="0" w:space="0" w:color="auto"/>
        <w:left w:val="none" w:sz="0" w:space="0" w:color="auto"/>
        <w:bottom w:val="none" w:sz="0" w:space="0" w:color="auto"/>
        <w:right w:val="none" w:sz="0" w:space="0" w:color="auto"/>
      </w:divBdr>
    </w:div>
    <w:div w:id="1117525645">
      <w:bodyDiv w:val="1"/>
      <w:marLeft w:val="0"/>
      <w:marRight w:val="0"/>
      <w:marTop w:val="0"/>
      <w:marBottom w:val="0"/>
      <w:divBdr>
        <w:top w:val="none" w:sz="0" w:space="0" w:color="auto"/>
        <w:left w:val="none" w:sz="0" w:space="0" w:color="auto"/>
        <w:bottom w:val="none" w:sz="0" w:space="0" w:color="auto"/>
        <w:right w:val="none" w:sz="0" w:space="0" w:color="auto"/>
      </w:divBdr>
    </w:div>
    <w:div w:id="1119684626">
      <w:bodyDiv w:val="1"/>
      <w:marLeft w:val="0"/>
      <w:marRight w:val="0"/>
      <w:marTop w:val="0"/>
      <w:marBottom w:val="0"/>
      <w:divBdr>
        <w:top w:val="none" w:sz="0" w:space="0" w:color="auto"/>
        <w:left w:val="none" w:sz="0" w:space="0" w:color="auto"/>
        <w:bottom w:val="none" w:sz="0" w:space="0" w:color="auto"/>
        <w:right w:val="none" w:sz="0" w:space="0" w:color="auto"/>
      </w:divBdr>
    </w:div>
    <w:div w:id="1126385901">
      <w:bodyDiv w:val="1"/>
      <w:marLeft w:val="0"/>
      <w:marRight w:val="0"/>
      <w:marTop w:val="0"/>
      <w:marBottom w:val="0"/>
      <w:divBdr>
        <w:top w:val="none" w:sz="0" w:space="0" w:color="auto"/>
        <w:left w:val="none" w:sz="0" w:space="0" w:color="auto"/>
        <w:bottom w:val="none" w:sz="0" w:space="0" w:color="auto"/>
        <w:right w:val="none" w:sz="0" w:space="0" w:color="auto"/>
      </w:divBdr>
    </w:div>
    <w:div w:id="1128935098">
      <w:bodyDiv w:val="1"/>
      <w:marLeft w:val="0"/>
      <w:marRight w:val="0"/>
      <w:marTop w:val="0"/>
      <w:marBottom w:val="0"/>
      <w:divBdr>
        <w:top w:val="none" w:sz="0" w:space="0" w:color="auto"/>
        <w:left w:val="none" w:sz="0" w:space="0" w:color="auto"/>
        <w:bottom w:val="none" w:sz="0" w:space="0" w:color="auto"/>
        <w:right w:val="none" w:sz="0" w:space="0" w:color="auto"/>
      </w:divBdr>
    </w:div>
    <w:div w:id="1131749109">
      <w:bodyDiv w:val="1"/>
      <w:marLeft w:val="0"/>
      <w:marRight w:val="0"/>
      <w:marTop w:val="0"/>
      <w:marBottom w:val="0"/>
      <w:divBdr>
        <w:top w:val="none" w:sz="0" w:space="0" w:color="auto"/>
        <w:left w:val="none" w:sz="0" w:space="0" w:color="auto"/>
        <w:bottom w:val="none" w:sz="0" w:space="0" w:color="auto"/>
        <w:right w:val="none" w:sz="0" w:space="0" w:color="auto"/>
      </w:divBdr>
    </w:div>
    <w:div w:id="1134180896">
      <w:bodyDiv w:val="1"/>
      <w:marLeft w:val="0"/>
      <w:marRight w:val="0"/>
      <w:marTop w:val="0"/>
      <w:marBottom w:val="0"/>
      <w:divBdr>
        <w:top w:val="none" w:sz="0" w:space="0" w:color="auto"/>
        <w:left w:val="none" w:sz="0" w:space="0" w:color="auto"/>
        <w:bottom w:val="none" w:sz="0" w:space="0" w:color="auto"/>
        <w:right w:val="none" w:sz="0" w:space="0" w:color="auto"/>
      </w:divBdr>
    </w:div>
    <w:div w:id="1134255969">
      <w:bodyDiv w:val="1"/>
      <w:marLeft w:val="0"/>
      <w:marRight w:val="0"/>
      <w:marTop w:val="0"/>
      <w:marBottom w:val="0"/>
      <w:divBdr>
        <w:top w:val="none" w:sz="0" w:space="0" w:color="auto"/>
        <w:left w:val="none" w:sz="0" w:space="0" w:color="auto"/>
        <w:bottom w:val="none" w:sz="0" w:space="0" w:color="auto"/>
        <w:right w:val="none" w:sz="0" w:space="0" w:color="auto"/>
      </w:divBdr>
    </w:div>
    <w:div w:id="1144469001">
      <w:bodyDiv w:val="1"/>
      <w:marLeft w:val="0"/>
      <w:marRight w:val="0"/>
      <w:marTop w:val="0"/>
      <w:marBottom w:val="0"/>
      <w:divBdr>
        <w:top w:val="none" w:sz="0" w:space="0" w:color="auto"/>
        <w:left w:val="none" w:sz="0" w:space="0" w:color="auto"/>
        <w:bottom w:val="none" w:sz="0" w:space="0" w:color="auto"/>
        <w:right w:val="none" w:sz="0" w:space="0" w:color="auto"/>
      </w:divBdr>
    </w:div>
    <w:div w:id="1145317388">
      <w:marLeft w:val="0"/>
      <w:marRight w:val="0"/>
      <w:marTop w:val="0"/>
      <w:marBottom w:val="0"/>
      <w:divBdr>
        <w:top w:val="none" w:sz="0" w:space="0" w:color="auto"/>
        <w:left w:val="none" w:sz="0" w:space="0" w:color="auto"/>
        <w:bottom w:val="none" w:sz="0" w:space="0" w:color="auto"/>
        <w:right w:val="none" w:sz="0" w:space="0" w:color="auto"/>
      </w:divBdr>
    </w:div>
    <w:div w:id="1145317392">
      <w:marLeft w:val="0"/>
      <w:marRight w:val="0"/>
      <w:marTop w:val="0"/>
      <w:marBottom w:val="0"/>
      <w:divBdr>
        <w:top w:val="none" w:sz="0" w:space="0" w:color="auto"/>
        <w:left w:val="none" w:sz="0" w:space="0" w:color="auto"/>
        <w:bottom w:val="none" w:sz="0" w:space="0" w:color="auto"/>
        <w:right w:val="none" w:sz="0" w:space="0" w:color="auto"/>
      </w:divBdr>
      <w:divsChild>
        <w:div w:id="1145317391">
          <w:marLeft w:val="605"/>
          <w:marRight w:val="0"/>
          <w:marTop w:val="96"/>
          <w:marBottom w:val="0"/>
          <w:divBdr>
            <w:top w:val="none" w:sz="0" w:space="0" w:color="auto"/>
            <w:left w:val="none" w:sz="0" w:space="0" w:color="auto"/>
            <w:bottom w:val="none" w:sz="0" w:space="0" w:color="auto"/>
            <w:right w:val="none" w:sz="0" w:space="0" w:color="auto"/>
          </w:divBdr>
        </w:div>
        <w:div w:id="1145317400">
          <w:marLeft w:val="605"/>
          <w:marRight w:val="0"/>
          <w:marTop w:val="96"/>
          <w:marBottom w:val="0"/>
          <w:divBdr>
            <w:top w:val="none" w:sz="0" w:space="0" w:color="auto"/>
            <w:left w:val="none" w:sz="0" w:space="0" w:color="auto"/>
            <w:bottom w:val="none" w:sz="0" w:space="0" w:color="auto"/>
            <w:right w:val="none" w:sz="0" w:space="0" w:color="auto"/>
          </w:divBdr>
        </w:div>
      </w:divsChild>
    </w:div>
    <w:div w:id="1145317393">
      <w:marLeft w:val="0"/>
      <w:marRight w:val="0"/>
      <w:marTop w:val="0"/>
      <w:marBottom w:val="0"/>
      <w:divBdr>
        <w:top w:val="none" w:sz="0" w:space="0" w:color="auto"/>
        <w:left w:val="none" w:sz="0" w:space="0" w:color="auto"/>
        <w:bottom w:val="none" w:sz="0" w:space="0" w:color="auto"/>
        <w:right w:val="none" w:sz="0" w:space="0" w:color="auto"/>
      </w:divBdr>
    </w:div>
    <w:div w:id="1145317394">
      <w:marLeft w:val="0"/>
      <w:marRight w:val="0"/>
      <w:marTop w:val="0"/>
      <w:marBottom w:val="0"/>
      <w:divBdr>
        <w:top w:val="none" w:sz="0" w:space="0" w:color="auto"/>
        <w:left w:val="none" w:sz="0" w:space="0" w:color="auto"/>
        <w:bottom w:val="none" w:sz="0" w:space="0" w:color="auto"/>
        <w:right w:val="none" w:sz="0" w:space="0" w:color="auto"/>
      </w:divBdr>
    </w:div>
    <w:div w:id="1145317395">
      <w:marLeft w:val="0"/>
      <w:marRight w:val="0"/>
      <w:marTop w:val="0"/>
      <w:marBottom w:val="0"/>
      <w:divBdr>
        <w:top w:val="none" w:sz="0" w:space="0" w:color="auto"/>
        <w:left w:val="none" w:sz="0" w:space="0" w:color="auto"/>
        <w:bottom w:val="none" w:sz="0" w:space="0" w:color="auto"/>
        <w:right w:val="none" w:sz="0" w:space="0" w:color="auto"/>
      </w:divBdr>
    </w:div>
    <w:div w:id="1145317396">
      <w:marLeft w:val="0"/>
      <w:marRight w:val="0"/>
      <w:marTop w:val="0"/>
      <w:marBottom w:val="0"/>
      <w:divBdr>
        <w:top w:val="none" w:sz="0" w:space="0" w:color="auto"/>
        <w:left w:val="none" w:sz="0" w:space="0" w:color="auto"/>
        <w:bottom w:val="none" w:sz="0" w:space="0" w:color="auto"/>
        <w:right w:val="none" w:sz="0" w:space="0" w:color="auto"/>
      </w:divBdr>
      <w:divsChild>
        <w:div w:id="1145317389">
          <w:marLeft w:val="547"/>
          <w:marRight w:val="0"/>
          <w:marTop w:val="144"/>
          <w:marBottom w:val="0"/>
          <w:divBdr>
            <w:top w:val="none" w:sz="0" w:space="0" w:color="auto"/>
            <w:left w:val="none" w:sz="0" w:space="0" w:color="auto"/>
            <w:bottom w:val="none" w:sz="0" w:space="0" w:color="auto"/>
            <w:right w:val="none" w:sz="0" w:space="0" w:color="auto"/>
          </w:divBdr>
        </w:div>
        <w:div w:id="1145317398">
          <w:marLeft w:val="547"/>
          <w:marRight w:val="0"/>
          <w:marTop w:val="144"/>
          <w:marBottom w:val="0"/>
          <w:divBdr>
            <w:top w:val="none" w:sz="0" w:space="0" w:color="auto"/>
            <w:left w:val="none" w:sz="0" w:space="0" w:color="auto"/>
            <w:bottom w:val="none" w:sz="0" w:space="0" w:color="auto"/>
            <w:right w:val="none" w:sz="0" w:space="0" w:color="auto"/>
          </w:divBdr>
        </w:div>
        <w:div w:id="1145317399">
          <w:marLeft w:val="547"/>
          <w:marRight w:val="0"/>
          <w:marTop w:val="144"/>
          <w:marBottom w:val="0"/>
          <w:divBdr>
            <w:top w:val="none" w:sz="0" w:space="0" w:color="auto"/>
            <w:left w:val="none" w:sz="0" w:space="0" w:color="auto"/>
            <w:bottom w:val="none" w:sz="0" w:space="0" w:color="auto"/>
            <w:right w:val="none" w:sz="0" w:space="0" w:color="auto"/>
          </w:divBdr>
        </w:div>
      </w:divsChild>
    </w:div>
    <w:div w:id="1145317401">
      <w:marLeft w:val="0"/>
      <w:marRight w:val="0"/>
      <w:marTop w:val="0"/>
      <w:marBottom w:val="0"/>
      <w:divBdr>
        <w:top w:val="none" w:sz="0" w:space="0" w:color="auto"/>
        <w:left w:val="none" w:sz="0" w:space="0" w:color="auto"/>
        <w:bottom w:val="none" w:sz="0" w:space="0" w:color="auto"/>
        <w:right w:val="none" w:sz="0" w:space="0" w:color="auto"/>
      </w:divBdr>
    </w:div>
    <w:div w:id="1145317402">
      <w:marLeft w:val="0"/>
      <w:marRight w:val="0"/>
      <w:marTop w:val="0"/>
      <w:marBottom w:val="0"/>
      <w:divBdr>
        <w:top w:val="none" w:sz="0" w:space="0" w:color="auto"/>
        <w:left w:val="none" w:sz="0" w:space="0" w:color="auto"/>
        <w:bottom w:val="none" w:sz="0" w:space="0" w:color="auto"/>
        <w:right w:val="none" w:sz="0" w:space="0" w:color="auto"/>
      </w:divBdr>
      <w:divsChild>
        <w:div w:id="1145317390">
          <w:marLeft w:val="547"/>
          <w:marRight w:val="0"/>
          <w:marTop w:val="134"/>
          <w:marBottom w:val="0"/>
          <w:divBdr>
            <w:top w:val="none" w:sz="0" w:space="0" w:color="auto"/>
            <w:left w:val="none" w:sz="0" w:space="0" w:color="auto"/>
            <w:bottom w:val="none" w:sz="0" w:space="0" w:color="auto"/>
            <w:right w:val="none" w:sz="0" w:space="0" w:color="auto"/>
          </w:divBdr>
        </w:div>
        <w:div w:id="1145317397">
          <w:marLeft w:val="547"/>
          <w:marRight w:val="0"/>
          <w:marTop w:val="134"/>
          <w:marBottom w:val="0"/>
          <w:divBdr>
            <w:top w:val="none" w:sz="0" w:space="0" w:color="auto"/>
            <w:left w:val="none" w:sz="0" w:space="0" w:color="auto"/>
            <w:bottom w:val="none" w:sz="0" w:space="0" w:color="auto"/>
            <w:right w:val="none" w:sz="0" w:space="0" w:color="auto"/>
          </w:divBdr>
        </w:div>
      </w:divsChild>
    </w:div>
    <w:div w:id="1145317403">
      <w:marLeft w:val="0"/>
      <w:marRight w:val="0"/>
      <w:marTop w:val="0"/>
      <w:marBottom w:val="0"/>
      <w:divBdr>
        <w:top w:val="none" w:sz="0" w:space="0" w:color="auto"/>
        <w:left w:val="none" w:sz="0" w:space="0" w:color="auto"/>
        <w:bottom w:val="none" w:sz="0" w:space="0" w:color="auto"/>
        <w:right w:val="none" w:sz="0" w:space="0" w:color="auto"/>
      </w:divBdr>
    </w:div>
    <w:div w:id="1152798602">
      <w:bodyDiv w:val="1"/>
      <w:marLeft w:val="0"/>
      <w:marRight w:val="0"/>
      <w:marTop w:val="0"/>
      <w:marBottom w:val="0"/>
      <w:divBdr>
        <w:top w:val="none" w:sz="0" w:space="0" w:color="auto"/>
        <w:left w:val="none" w:sz="0" w:space="0" w:color="auto"/>
        <w:bottom w:val="none" w:sz="0" w:space="0" w:color="auto"/>
        <w:right w:val="none" w:sz="0" w:space="0" w:color="auto"/>
      </w:divBdr>
    </w:div>
    <w:div w:id="1155924184">
      <w:bodyDiv w:val="1"/>
      <w:marLeft w:val="0"/>
      <w:marRight w:val="0"/>
      <w:marTop w:val="0"/>
      <w:marBottom w:val="0"/>
      <w:divBdr>
        <w:top w:val="none" w:sz="0" w:space="0" w:color="auto"/>
        <w:left w:val="none" w:sz="0" w:space="0" w:color="auto"/>
        <w:bottom w:val="none" w:sz="0" w:space="0" w:color="auto"/>
        <w:right w:val="none" w:sz="0" w:space="0" w:color="auto"/>
      </w:divBdr>
    </w:div>
    <w:div w:id="1156334155">
      <w:bodyDiv w:val="1"/>
      <w:marLeft w:val="0"/>
      <w:marRight w:val="0"/>
      <w:marTop w:val="0"/>
      <w:marBottom w:val="0"/>
      <w:divBdr>
        <w:top w:val="none" w:sz="0" w:space="0" w:color="auto"/>
        <w:left w:val="none" w:sz="0" w:space="0" w:color="auto"/>
        <w:bottom w:val="none" w:sz="0" w:space="0" w:color="auto"/>
        <w:right w:val="none" w:sz="0" w:space="0" w:color="auto"/>
      </w:divBdr>
    </w:div>
    <w:div w:id="1170172643">
      <w:bodyDiv w:val="1"/>
      <w:marLeft w:val="0"/>
      <w:marRight w:val="0"/>
      <w:marTop w:val="0"/>
      <w:marBottom w:val="0"/>
      <w:divBdr>
        <w:top w:val="none" w:sz="0" w:space="0" w:color="auto"/>
        <w:left w:val="none" w:sz="0" w:space="0" w:color="auto"/>
        <w:bottom w:val="none" w:sz="0" w:space="0" w:color="auto"/>
        <w:right w:val="none" w:sz="0" w:space="0" w:color="auto"/>
      </w:divBdr>
    </w:div>
    <w:div w:id="1173567209">
      <w:bodyDiv w:val="1"/>
      <w:marLeft w:val="0"/>
      <w:marRight w:val="0"/>
      <w:marTop w:val="0"/>
      <w:marBottom w:val="0"/>
      <w:divBdr>
        <w:top w:val="none" w:sz="0" w:space="0" w:color="auto"/>
        <w:left w:val="none" w:sz="0" w:space="0" w:color="auto"/>
        <w:bottom w:val="none" w:sz="0" w:space="0" w:color="auto"/>
        <w:right w:val="none" w:sz="0" w:space="0" w:color="auto"/>
      </w:divBdr>
    </w:div>
    <w:div w:id="1174538857">
      <w:bodyDiv w:val="1"/>
      <w:marLeft w:val="0"/>
      <w:marRight w:val="0"/>
      <w:marTop w:val="0"/>
      <w:marBottom w:val="0"/>
      <w:divBdr>
        <w:top w:val="none" w:sz="0" w:space="0" w:color="auto"/>
        <w:left w:val="none" w:sz="0" w:space="0" w:color="auto"/>
        <w:bottom w:val="none" w:sz="0" w:space="0" w:color="auto"/>
        <w:right w:val="none" w:sz="0" w:space="0" w:color="auto"/>
      </w:divBdr>
    </w:div>
    <w:div w:id="1183086012">
      <w:bodyDiv w:val="1"/>
      <w:marLeft w:val="0"/>
      <w:marRight w:val="0"/>
      <w:marTop w:val="0"/>
      <w:marBottom w:val="0"/>
      <w:divBdr>
        <w:top w:val="none" w:sz="0" w:space="0" w:color="auto"/>
        <w:left w:val="none" w:sz="0" w:space="0" w:color="auto"/>
        <w:bottom w:val="none" w:sz="0" w:space="0" w:color="auto"/>
        <w:right w:val="none" w:sz="0" w:space="0" w:color="auto"/>
      </w:divBdr>
    </w:div>
    <w:div w:id="1183130719">
      <w:bodyDiv w:val="1"/>
      <w:marLeft w:val="0"/>
      <w:marRight w:val="0"/>
      <w:marTop w:val="0"/>
      <w:marBottom w:val="0"/>
      <w:divBdr>
        <w:top w:val="none" w:sz="0" w:space="0" w:color="auto"/>
        <w:left w:val="none" w:sz="0" w:space="0" w:color="auto"/>
        <w:bottom w:val="none" w:sz="0" w:space="0" w:color="auto"/>
        <w:right w:val="none" w:sz="0" w:space="0" w:color="auto"/>
      </w:divBdr>
    </w:div>
    <w:div w:id="1184635908">
      <w:bodyDiv w:val="1"/>
      <w:marLeft w:val="0"/>
      <w:marRight w:val="0"/>
      <w:marTop w:val="0"/>
      <w:marBottom w:val="0"/>
      <w:divBdr>
        <w:top w:val="none" w:sz="0" w:space="0" w:color="auto"/>
        <w:left w:val="none" w:sz="0" w:space="0" w:color="auto"/>
        <w:bottom w:val="none" w:sz="0" w:space="0" w:color="auto"/>
        <w:right w:val="none" w:sz="0" w:space="0" w:color="auto"/>
      </w:divBdr>
    </w:div>
    <w:div w:id="1185633733">
      <w:bodyDiv w:val="1"/>
      <w:marLeft w:val="0"/>
      <w:marRight w:val="0"/>
      <w:marTop w:val="0"/>
      <w:marBottom w:val="0"/>
      <w:divBdr>
        <w:top w:val="none" w:sz="0" w:space="0" w:color="auto"/>
        <w:left w:val="none" w:sz="0" w:space="0" w:color="auto"/>
        <w:bottom w:val="none" w:sz="0" w:space="0" w:color="auto"/>
        <w:right w:val="none" w:sz="0" w:space="0" w:color="auto"/>
      </w:divBdr>
    </w:div>
    <w:div w:id="1187670205">
      <w:bodyDiv w:val="1"/>
      <w:marLeft w:val="0"/>
      <w:marRight w:val="0"/>
      <w:marTop w:val="0"/>
      <w:marBottom w:val="0"/>
      <w:divBdr>
        <w:top w:val="none" w:sz="0" w:space="0" w:color="auto"/>
        <w:left w:val="none" w:sz="0" w:space="0" w:color="auto"/>
        <w:bottom w:val="none" w:sz="0" w:space="0" w:color="auto"/>
        <w:right w:val="none" w:sz="0" w:space="0" w:color="auto"/>
      </w:divBdr>
    </w:div>
    <w:div w:id="1198617490">
      <w:bodyDiv w:val="1"/>
      <w:marLeft w:val="0"/>
      <w:marRight w:val="0"/>
      <w:marTop w:val="0"/>
      <w:marBottom w:val="0"/>
      <w:divBdr>
        <w:top w:val="none" w:sz="0" w:space="0" w:color="auto"/>
        <w:left w:val="none" w:sz="0" w:space="0" w:color="auto"/>
        <w:bottom w:val="none" w:sz="0" w:space="0" w:color="auto"/>
        <w:right w:val="none" w:sz="0" w:space="0" w:color="auto"/>
      </w:divBdr>
    </w:div>
    <w:div w:id="1198852342">
      <w:bodyDiv w:val="1"/>
      <w:marLeft w:val="0"/>
      <w:marRight w:val="0"/>
      <w:marTop w:val="0"/>
      <w:marBottom w:val="0"/>
      <w:divBdr>
        <w:top w:val="none" w:sz="0" w:space="0" w:color="auto"/>
        <w:left w:val="none" w:sz="0" w:space="0" w:color="auto"/>
        <w:bottom w:val="none" w:sz="0" w:space="0" w:color="auto"/>
        <w:right w:val="none" w:sz="0" w:space="0" w:color="auto"/>
      </w:divBdr>
    </w:div>
    <w:div w:id="1200508413">
      <w:bodyDiv w:val="1"/>
      <w:marLeft w:val="0"/>
      <w:marRight w:val="0"/>
      <w:marTop w:val="0"/>
      <w:marBottom w:val="0"/>
      <w:divBdr>
        <w:top w:val="none" w:sz="0" w:space="0" w:color="auto"/>
        <w:left w:val="none" w:sz="0" w:space="0" w:color="auto"/>
        <w:bottom w:val="none" w:sz="0" w:space="0" w:color="auto"/>
        <w:right w:val="none" w:sz="0" w:space="0" w:color="auto"/>
      </w:divBdr>
    </w:div>
    <w:div w:id="1201628419">
      <w:bodyDiv w:val="1"/>
      <w:marLeft w:val="0"/>
      <w:marRight w:val="0"/>
      <w:marTop w:val="0"/>
      <w:marBottom w:val="0"/>
      <w:divBdr>
        <w:top w:val="none" w:sz="0" w:space="0" w:color="auto"/>
        <w:left w:val="none" w:sz="0" w:space="0" w:color="auto"/>
        <w:bottom w:val="none" w:sz="0" w:space="0" w:color="auto"/>
        <w:right w:val="none" w:sz="0" w:space="0" w:color="auto"/>
      </w:divBdr>
    </w:div>
    <w:div w:id="1204636426">
      <w:bodyDiv w:val="1"/>
      <w:marLeft w:val="0"/>
      <w:marRight w:val="0"/>
      <w:marTop w:val="0"/>
      <w:marBottom w:val="0"/>
      <w:divBdr>
        <w:top w:val="none" w:sz="0" w:space="0" w:color="auto"/>
        <w:left w:val="none" w:sz="0" w:space="0" w:color="auto"/>
        <w:bottom w:val="none" w:sz="0" w:space="0" w:color="auto"/>
        <w:right w:val="none" w:sz="0" w:space="0" w:color="auto"/>
      </w:divBdr>
    </w:div>
    <w:div w:id="1216356114">
      <w:bodyDiv w:val="1"/>
      <w:marLeft w:val="0"/>
      <w:marRight w:val="0"/>
      <w:marTop w:val="0"/>
      <w:marBottom w:val="0"/>
      <w:divBdr>
        <w:top w:val="none" w:sz="0" w:space="0" w:color="auto"/>
        <w:left w:val="none" w:sz="0" w:space="0" w:color="auto"/>
        <w:bottom w:val="none" w:sz="0" w:space="0" w:color="auto"/>
        <w:right w:val="none" w:sz="0" w:space="0" w:color="auto"/>
      </w:divBdr>
    </w:div>
    <w:div w:id="1216969356">
      <w:bodyDiv w:val="1"/>
      <w:marLeft w:val="0"/>
      <w:marRight w:val="0"/>
      <w:marTop w:val="0"/>
      <w:marBottom w:val="0"/>
      <w:divBdr>
        <w:top w:val="none" w:sz="0" w:space="0" w:color="auto"/>
        <w:left w:val="none" w:sz="0" w:space="0" w:color="auto"/>
        <w:bottom w:val="none" w:sz="0" w:space="0" w:color="auto"/>
        <w:right w:val="none" w:sz="0" w:space="0" w:color="auto"/>
      </w:divBdr>
    </w:div>
    <w:div w:id="1230383656">
      <w:bodyDiv w:val="1"/>
      <w:marLeft w:val="0"/>
      <w:marRight w:val="0"/>
      <w:marTop w:val="0"/>
      <w:marBottom w:val="0"/>
      <w:divBdr>
        <w:top w:val="none" w:sz="0" w:space="0" w:color="auto"/>
        <w:left w:val="none" w:sz="0" w:space="0" w:color="auto"/>
        <w:bottom w:val="none" w:sz="0" w:space="0" w:color="auto"/>
        <w:right w:val="none" w:sz="0" w:space="0" w:color="auto"/>
      </w:divBdr>
    </w:div>
    <w:div w:id="1234314681">
      <w:bodyDiv w:val="1"/>
      <w:marLeft w:val="0"/>
      <w:marRight w:val="0"/>
      <w:marTop w:val="0"/>
      <w:marBottom w:val="0"/>
      <w:divBdr>
        <w:top w:val="none" w:sz="0" w:space="0" w:color="auto"/>
        <w:left w:val="none" w:sz="0" w:space="0" w:color="auto"/>
        <w:bottom w:val="none" w:sz="0" w:space="0" w:color="auto"/>
        <w:right w:val="none" w:sz="0" w:space="0" w:color="auto"/>
      </w:divBdr>
    </w:div>
    <w:div w:id="1246301583">
      <w:bodyDiv w:val="1"/>
      <w:marLeft w:val="0"/>
      <w:marRight w:val="0"/>
      <w:marTop w:val="0"/>
      <w:marBottom w:val="0"/>
      <w:divBdr>
        <w:top w:val="none" w:sz="0" w:space="0" w:color="auto"/>
        <w:left w:val="none" w:sz="0" w:space="0" w:color="auto"/>
        <w:bottom w:val="none" w:sz="0" w:space="0" w:color="auto"/>
        <w:right w:val="none" w:sz="0" w:space="0" w:color="auto"/>
      </w:divBdr>
    </w:div>
    <w:div w:id="1248997017">
      <w:bodyDiv w:val="1"/>
      <w:marLeft w:val="0"/>
      <w:marRight w:val="0"/>
      <w:marTop w:val="0"/>
      <w:marBottom w:val="0"/>
      <w:divBdr>
        <w:top w:val="none" w:sz="0" w:space="0" w:color="auto"/>
        <w:left w:val="none" w:sz="0" w:space="0" w:color="auto"/>
        <w:bottom w:val="none" w:sz="0" w:space="0" w:color="auto"/>
        <w:right w:val="none" w:sz="0" w:space="0" w:color="auto"/>
      </w:divBdr>
    </w:div>
    <w:div w:id="1254046671">
      <w:bodyDiv w:val="1"/>
      <w:marLeft w:val="0"/>
      <w:marRight w:val="0"/>
      <w:marTop w:val="0"/>
      <w:marBottom w:val="0"/>
      <w:divBdr>
        <w:top w:val="none" w:sz="0" w:space="0" w:color="auto"/>
        <w:left w:val="none" w:sz="0" w:space="0" w:color="auto"/>
        <w:bottom w:val="none" w:sz="0" w:space="0" w:color="auto"/>
        <w:right w:val="none" w:sz="0" w:space="0" w:color="auto"/>
      </w:divBdr>
    </w:div>
    <w:div w:id="1259602658">
      <w:bodyDiv w:val="1"/>
      <w:marLeft w:val="0"/>
      <w:marRight w:val="0"/>
      <w:marTop w:val="0"/>
      <w:marBottom w:val="0"/>
      <w:divBdr>
        <w:top w:val="none" w:sz="0" w:space="0" w:color="auto"/>
        <w:left w:val="none" w:sz="0" w:space="0" w:color="auto"/>
        <w:bottom w:val="none" w:sz="0" w:space="0" w:color="auto"/>
        <w:right w:val="none" w:sz="0" w:space="0" w:color="auto"/>
      </w:divBdr>
    </w:div>
    <w:div w:id="1260722521">
      <w:bodyDiv w:val="1"/>
      <w:marLeft w:val="0"/>
      <w:marRight w:val="0"/>
      <w:marTop w:val="0"/>
      <w:marBottom w:val="0"/>
      <w:divBdr>
        <w:top w:val="none" w:sz="0" w:space="0" w:color="auto"/>
        <w:left w:val="none" w:sz="0" w:space="0" w:color="auto"/>
        <w:bottom w:val="none" w:sz="0" w:space="0" w:color="auto"/>
        <w:right w:val="none" w:sz="0" w:space="0" w:color="auto"/>
      </w:divBdr>
    </w:div>
    <w:div w:id="1261526763">
      <w:bodyDiv w:val="1"/>
      <w:marLeft w:val="0"/>
      <w:marRight w:val="0"/>
      <w:marTop w:val="0"/>
      <w:marBottom w:val="0"/>
      <w:divBdr>
        <w:top w:val="none" w:sz="0" w:space="0" w:color="auto"/>
        <w:left w:val="none" w:sz="0" w:space="0" w:color="auto"/>
        <w:bottom w:val="none" w:sz="0" w:space="0" w:color="auto"/>
        <w:right w:val="none" w:sz="0" w:space="0" w:color="auto"/>
      </w:divBdr>
    </w:div>
    <w:div w:id="1265067322">
      <w:bodyDiv w:val="1"/>
      <w:marLeft w:val="0"/>
      <w:marRight w:val="0"/>
      <w:marTop w:val="0"/>
      <w:marBottom w:val="0"/>
      <w:divBdr>
        <w:top w:val="none" w:sz="0" w:space="0" w:color="auto"/>
        <w:left w:val="none" w:sz="0" w:space="0" w:color="auto"/>
        <w:bottom w:val="none" w:sz="0" w:space="0" w:color="auto"/>
        <w:right w:val="none" w:sz="0" w:space="0" w:color="auto"/>
      </w:divBdr>
    </w:div>
    <w:div w:id="1266421757">
      <w:bodyDiv w:val="1"/>
      <w:marLeft w:val="0"/>
      <w:marRight w:val="0"/>
      <w:marTop w:val="0"/>
      <w:marBottom w:val="0"/>
      <w:divBdr>
        <w:top w:val="none" w:sz="0" w:space="0" w:color="auto"/>
        <w:left w:val="none" w:sz="0" w:space="0" w:color="auto"/>
        <w:bottom w:val="none" w:sz="0" w:space="0" w:color="auto"/>
        <w:right w:val="none" w:sz="0" w:space="0" w:color="auto"/>
      </w:divBdr>
    </w:div>
    <w:div w:id="1268734228">
      <w:bodyDiv w:val="1"/>
      <w:marLeft w:val="0"/>
      <w:marRight w:val="0"/>
      <w:marTop w:val="0"/>
      <w:marBottom w:val="0"/>
      <w:divBdr>
        <w:top w:val="none" w:sz="0" w:space="0" w:color="auto"/>
        <w:left w:val="none" w:sz="0" w:space="0" w:color="auto"/>
        <w:bottom w:val="none" w:sz="0" w:space="0" w:color="auto"/>
        <w:right w:val="none" w:sz="0" w:space="0" w:color="auto"/>
      </w:divBdr>
    </w:div>
    <w:div w:id="1268778231">
      <w:bodyDiv w:val="1"/>
      <w:marLeft w:val="0"/>
      <w:marRight w:val="0"/>
      <w:marTop w:val="0"/>
      <w:marBottom w:val="0"/>
      <w:divBdr>
        <w:top w:val="none" w:sz="0" w:space="0" w:color="auto"/>
        <w:left w:val="none" w:sz="0" w:space="0" w:color="auto"/>
        <w:bottom w:val="none" w:sz="0" w:space="0" w:color="auto"/>
        <w:right w:val="none" w:sz="0" w:space="0" w:color="auto"/>
      </w:divBdr>
    </w:div>
    <w:div w:id="1269047596">
      <w:bodyDiv w:val="1"/>
      <w:marLeft w:val="0"/>
      <w:marRight w:val="0"/>
      <w:marTop w:val="0"/>
      <w:marBottom w:val="0"/>
      <w:divBdr>
        <w:top w:val="none" w:sz="0" w:space="0" w:color="auto"/>
        <w:left w:val="none" w:sz="0" w:space="0" w:color="auto"/>
        <w:bottom w:val="none" w:sz="0" w:space="0" w:color="auto"/>
        <w:right w:val="none" w:sz="0" w:space="0" w:color="auto"/>
      </w:divBdr>
    </w:div>
    <w:div w:id="1272321136">
      <w:bodyDiv w:val="1"/>
      <w:marLeft w:val="0"/>
      <w:marRight w:val="0"/>
      <w:marTop w:val="0"/>
      <w:marBottom w:val="0"/>
      <w:divBdr>
        <w:top w:val="none" w:sz="0" w:space="0" w:color="auto"/>
        <w:left w:val="none" w:sz="0" w:space="0" w:color="auto"/>
        <w:bottom w:val="none" w:sz="0" w:space="0" w:color="auto"/>
        <w:right w:val="none" w:sz="0" w:space="0" w:color="auto"/>
      </w:divBdr>
    </w:div>
    <w:div w:id="1272785148">
      <w:bodyDiv w:val="1"/>
      <w:marLeft w:val="0"/>
      <w:marRight w:val="0"/>
      <w:marTop w:val="0"/>
      <w:marBottom w:val="0"/>
      <w:divBdr>
        <w:top w:val="none" w:sz="0" w:space="0" w:color="auto"/>
        <w:left w:val="none" w:sz="0" w:space="0" w:color="auto"/>
        <w:bottom w:val="none" w:sz="0" w:space="0" w:color="auto"/>
        <w:right w:val="none" w:sz="0" w:space="0" w:color="auto"/>
      </w:divBdr>
    </w:div>
    <w:div w:id="1273244046">
      <w:bodyDiv w:val="1"/>
      <w:marLeft w:val="0"/>
      <w:marRight w:val="0"/>
      <w:marTop w:val="0"/>
      <w:marBottom w:val="0"/>
      <w:divBdr>
        <w:top w:val="none" w:sz="0" w:space="0" w:color="auto"/>
        <w:left w:val="none" w:sz="0" w:space="0" w:color="auto"/>
        <w:bottom w:val="none" w:sz="0" w:space="0" w:color="auto"/>
        <w:right w:val="none" w:sz="0" w:space="0" w:color="auto"/>
      </w:divBdr>
    </w:div>
    <w:div w:id="1273780124">
      <w:bodyDiv w:val="1"/>
      <w:marLeft w:val="0"/>
      <w:marRight w:val="0"/>
      <w:marTop w:val="0"/>
      <w:marBottom w:val="0"/>
      <w:divBdr>
        <w:top w:val="none" w:sz="0" w:space="0" w:color="auto"/>
        <w:left w:val="none" w:sz="0" w:space="0" w:color="auto"/>
        <w:bottom w:val="none" w:sz="0" w:space="0" w:color="auto"/>
        <w:right w:val="none" w:sz="0" w:space="0" w:color="auto"/>
      </w:divBdr>
    </w:div>
    <w:div w:id="1274898868">
      <w:bodyDiv w:val="1"/>
      <w:marLeft w:val="0"/>
      <w:marRight w:val="0"/>
      <w:marTop w:val="0"/>
      <w:marBottom w:val="0"/>
      <w:divBdr>
        <w:top w:val="none" w:sz="0" w:space="0" w:color="auto"/>
        <w:left w:val="none" w:sz="0" w:space="0" w:color="auto"/>
        <w:bottom w:val="none" w:sz="0" w:space="0" w:color="auto"/>
        <w:right w:val="none" w:sz="0" w:space="0" w:color="auto"/>
      </w:divBdr>
    </w:div>
    <w:div w:id="1279798366">
      <w:bodyDiv w:val="1"/>
      <w:marLeft w:val="0"/>
      <w:marRight w:val="0"/>
      <w:marTop w:val="0"/>
      <w:marBottom w:val="0"/>
      <w:divBdr>
        <w:top w:val="none" w:sz="0" w:space="0" w:color="auto"/>
        <w:left w:val="none" w:sz="0" w:space="0" w:color="auto"/>
        <w:bottom w:val="none" w:sz="0" w:space="0" w:color="auto"/>
        <w:right w:val="none" w:sz="0" w:space="0" w:color="auto"/>
      </w:divBdr>
    </w:div>
    <w:div w:id="1286427433">
      <w:bodyDiv w:val="1"/>
      <w:marLeft w:val="0"/>
      <w:marRight w:val="0"/>
      <w:marTop w:val="0"/>
      <w:marBottom w:val="0"/>
      <w:divBdr>
        <w:top w:val="none" w:sz="0" w:space="0" w:color="auto"/>
        <w:left w:val="none" w:sz="0" w:space="0" w:color="auto"/>
        <w:bottom w:val="none" w:sz="0" w:space="0" w:color="auto"/>
        <w:right w:val="none" w:sz="0" w:space="0" w:color="auto"/>
      </w:divBdr>
    </w:div>
    <w:div w:id="1288199415">
      <w:bodyDiv w:val="1"/>
      <w:marLeft w:val="0"/>
      <w:marRight w:val="0"/>
      <w:marTop w:val="0"/>
      <w:marBottom w:val="0"/>
      <w:divBdr>
        <w:top w:val="none" w:sz="0" w:space="0" w:color="auto"/>
        <w:left w:val="none" w:sz="0" w:space="0" w:color="auto"/>
        <w:bottom w:val="none" w:sz="0" w:space="0" w:color="auto"/>
        <w:right w:val="none" w:sz="0" w:space="0" w:color="auto"/>
      </w:divBdr>
    </w:div>
    <w:div w:id="1295333479">
      <w:bodyDiv w:val="1"/>
      <w:marLeft w:val="0"/>
      <w:marRight w:val="0"/>
      <w:marTop w:val="0"/>
      <w:marBottom w:val="0"/>
      <w:divBdr>
        <w:top w:val="none" w:sz="0" w:space="0" w:color="auto"/>
        <w:left w:val="none" w:sz="0" w:space="0" w:color="auto"/>
        <w:bottom w:val="none" w:sz="0" w:space="0" w:color="auto"/>
        <w:right w:val="none" w:sz="0" w:space="0" w:color="auto"/>
      </w:divBdr>
    </w:div>
    <w:div w:id="1295719066">
      <w:bodyDiv w:val="1"/>
      <w:marLeft w:val="0"/>
      <w:marRight w:val="0"/>
      <w:marTop w:val="0"/>
      <w:marBottom w:val="0"/>
      <w:divBdr>
        <w:top w:val="none" w:sz="0" w:space="0" w:color="auto"/>
        <w:left w:val="none" w:sz="0" w:space="0" w:color="auto"/>
        <w:bottom w:val="none" w:sz="0" w:space="0" w:color="auto"/>
        <w:right w:val="none" w:sz="0" w:space="0" w:color="auto"/>
      </w:divBdr>
    </w:div>
    <w:div w:id="1296839823">
      <w:bodyDiv w:val="1"/>
      <w:marLeft w:val="0"/>
      <w:marRight w:val="0"/>
      <w:marTop w:val="0"/>
      <w:marBottom w:val="0"/>
      <w:divBdr>
        <w:top w:val="none" w:sz="0" w:space="0" w:color="auto"/>
        <w:left w:val="none" w:sz="0" w:space="0" w:color="auto"/>
        <w:bottom w:val="none" w:sz="0" w:space="0" w:color="auto"/>
        <w:right w:val="none" w:sz="0" w:space="0" w:color="auto"/>
      </w:divBdr>
    </w:div>
    <w:div w:id="1297643494">
      <w:bodyDiv w:val="1"/>
      <w:marLeft w:val="0"/>
      <w:marRight w:val="0"/>
      <w:marTop w:val="0"/>
      <w:marBottom w:val="0"/>
      <w:divBdr>
        <w:top w:val="none" w:sz="0" w:space="0" w:color="auto"/>
        <w:left w:val="none" w:sz="0" w:space="0" w:color="auto"/>
        <w:bottom w:val="none" w:sz="0" w:space="0" w:color="auto"/>
        <w:right w:val="none" w:sz="0" w:space="0" w:color="auto"/>
      </w:divBdr>
    </w:div>
    <w:div w:id="1300454738">
      <w:bodyDiv w:val="1"/>
      <w:marLeft w:val="0"/>
      <w:marRight w:val="0"/>
      <w:marTop w:val="0"/>
      <w:marBottom w:val="0"/>
      <w:divBdr>
        <w:top w:val="none" w:sz="0" w:space="0" w:color="auto"/>
        <w:left w:val="none" w:sz="0" w:space="0" w:color="auto"/>
        <w:bottom w:val="none" w:sz="0" w:space="0" w:color="auto"/>
        <w:right w:val="none" w:sz="0" w:space="0" w:color="auto"/>
      </w:divBdr>
    </w:div>
    <w:div w:id="1302728473">
      <w:bodyDiv w:val="1"/>
      <w:marLeft w:val="0"/>
      <w:marRight w:val="0"/>
      <w:marTop w:val="0"/>
      <w:marBottom w:val="0"/>
      <w:divBdr>
        <w:top w:val="none" w:sz="0" w:space="0" w:color="auto"/>
        <w:left w:val="none" w:sz="0" w:space="0" w:color="auto"/>
        <w:bottom w:val="none" w:sz="0" w:space="0" w:color="auto"/>
        <w:right w:val="none" w:sz="0" w:space="0" w:color="auto"/>
      </w:divBdr>
    </w:div>
    <w:div w:id="1306811323">
      <w:bodyDiv w:val="1"/>
      <w:marLeft w:val="0"/>
      <w:marRight w:val="0"/>
      <w:marTop w:val="0"/>
      <w:marBottom w:val="0"/>
      <w:divBdr>
        <w:top w:val="none" w:sz="0" w:space="0" w:color="auto"/>
        <w:left w:val="none" w:sz="0" w:space="0" w:color="auto"/>
        <w:bottom w:val="none" w:sz="0" w:space="0" w:color="auto"/>
        <w:right w:val="none" w:sz="0" w:space="0" w:color="auto"/>
      </w:divBdr>
    </w:div>
    <w:div w:id="1307276724">
      <w:bodyDiv w:val="1"/>
      <w:marLeft w:val="0"/>
      <w:marRight w:val="0"/>
      <w:marTop w:val="0"/>
      <w:marBottom w:val="0"/>
      <w:divBdr>
        <w:top w:val="none" w:sz="0" w:space="0" w:color="auto"/>
        <w:left w:val="none" w:sz="0" w:space="0" w:color="auto"/>
        <w:bottom w:val="none" w:sz="0" w:space="0" w:color="auto"/>
        <w:right w:val="none" w:sz="0" w:space="0" w:color="auto"/>
      </w:divBdr>
    </w:div>
    <w:div w:id="1311667369">
      <w:bodyDiv w:val="1"/>
      <w:marLeft w:val="0"/>
      <w:marRight w:val="0"/>
      <w:marTop w:val="0"/>
      <w:marBottom w:val="0"/>
      <w:divBdr>
        <w:top w:val="none" w:sz="0" w:space="0" w:color="auto"/>
        <w:left w:val="none" w:sz="0" w:space="0" w:color="auto"/>
        <w:bottom w:val="none" w:sz="0" w:space="0" w:color="auto"/>
        <w:right w:val="none" w:sz="0" w:space="0" w:color="auto"/>
      </w:divBdr>
    </w:div>
    <w:div w:id="1313098587">
      <w:bodyDiv w:val="1"/>
      <w:marLeft w:val="0"/>
      <w:marRight w:val="0"/>
      <w:marTop w:val="0"/>
      <w:marBottom w:val="0"/>
      <w:divBdr>
        <w:top w:val="none" w:sz="0" w:space="0" w:color="auto"/>
        <w:left w:val="none" w:sz="0" w:space="0" w:color="auto"/>
        <w:bottom w:val="none" w:sz="0" w:space="0" w:color="auto"/>
        <w:right w:val="none" w:sz="0" w:space="0" w:color="auto"/>
      </w:divBdr>
    </w:div>
    <w:div w:id="1320887950">
      <w:bodyDiv w:val="1"/>
      <w:marLeft w:val="0"/>
      <w:marRight w:val="0"/>
      <w:marTop w:val="0"/>
      <w:marBottom w:val="0"/>
      <w:divBdr>
        <w:top w:val="none" w:sz="0" w:space="0" w:color="auto"/>
        <w:left w:val="none" w:sz="0" w:space="0" w:color="auto"/>
        <w:bottom w:val="none" w:sz="0" w:space="0" w:color="auto"/>
        <w:right w:val="none" w:sz="0" w:space="0" w:color="auto"/>
      </w:divBdr>
    </w:div>
    <w:div w:id="1325165289">
      <w:bodyDiv w:val="1"/>
      <w:marLeft w:val="0"/>
      <w:marRight w:val="0"/>
      <w:marTop w:val="0"/>
      <w:marBottom w:val="0"/>
      <w:divBdr>
        <w:top w:val="none" w:sz="0" w:space="0" w:color="auto"/>
        <w:left w:val="none" w:sz="0" w:space="0" w:color="auto"/>
        <w:bottom w:val="none" w:sz="0" w:space="0" w:color="auto"/>
        <w:right w:val="none" w:sz="0" w:space="0" w:color="auto"/>
      </w:divBdr>
    </w:div>
    <w:div w:id="1331179727">
      <w:bodyDiv w:val="1"/>
      <w:marLeft w:val="0"/>
      <w:marRight w:val="0"/>
      <w:marTop w:val="0"/>
      <w:marBottom w:val="0"/>
      <w:divBdr>
        <w:top w:val="none" w:sz="0" w:space="0" w:color="auto"/>
        <w:left w:val="none" w:sz="0" w:space="0" w:color="auto"/>
        <w:bottom w:val="none" w:sz="0" w:space="0" w:color="auto"/>
        <w:right w:val="none" w:sz="0" w:space="0" w:color="auto"/>
      </w:divBdr>
    </w:div>
    <w:div w:id="1332875451">
      <w:bodyDiv w:val="1"/>
      <w:marLeft w:val="0"/>
      <w:marRight w:val="0"/>
      <w:marTop w:val="0"/>
      <w:marBottom w:val="0"/>
      <w:divBdr>
        <w:top w:val="none" w:sz="0" w:space="0" w:color="auto"/>
        <w:left w:val="none" w:sz="0" w:space="0" w:color="auto"/>
        <w:bottom w:val="none" w:sz="0" w:space="0" w:color="auto"/>
        <w:right w:val="none" w:sz="0" w:space="0" w:color="auto"/>
      </w:divBdr>
    </w:div>
    <w:div w:id="1333948650">
      <w:bodyDiv w:val="1"/>
      <w:marLeft w:val="0"/>
      <w:marRight w:val="0"/>
      <w:marTop w:val="0"/>
      <w:marBottom w:val="0"/>
      <w:divBdr>
        <w:top w:val="none" w:sz="0" w:space="0" w:color="auto"/>
        <w:left w:val="none" w:sz="0" w:space="0" w:color="auto"/>
        <w:bottom w:val="none" w:sz="0" w:space="0" w:color="auto"/>
        <w:right w:val="none" w:sz="0" w:space="0" w:color="auto"/>
      </w:divBdr>
    </w:div>
    <w:div w:id="1341616971">
      <w:bodyDiv w:val="1"/>
      <w:marLeft w:val="0"/>
      <w:marRight w:val="0"/>
      <w:marTop w:val="0"/>
      <w:marBottom w:val="0"/>
      <w:divBdr>
        <w:top w:val="none" w:sz="0" w:space="0" w:color="auto"/>
        <w:left w:val="none" w:sz="0" w:space="0" w:color="auto"/>
        <w:bottom w:val="none" w:sz="0" w:space="0" w:color="auto"/>
        <w:right w:val="none" w:sz="0" w:space="0" w:color="auto"/>
      </w:divBdr>
    </w:div>
    <w:div w:id="1349522900">
      <w:bodyDiv w:val="1"/>
      <w:marLeft w:val="0"/>
      <w:marRight w:val="0"/>
      <w:marTop w:val="0"/>
      <w:marBottom w:val="0"/>
      <w:divBdr>
        <w:top w:val="none" w:sz="0" w:space="0" w:color="auto"/>
        <w:left w:val="none" w:sz="0" w:space="0" w:color="auto"/>
        <w:bottom w:val="none" w:sz="0" w:space="0" w:color="auto"/>
        <w:right w:val="none" w:sz="0" w:space="0" w:color="auto"/>
      </w:divBdr>
    </w:div>
    <w:div w:id="1355576039">
      <w:bodyDiv w:val="1"/>
      <w:marLeft w:val="0"/>
      <w:marRight w:val="0"/>
      <w:marTop w:val="0"/>
      <w:marBottom w:val="0"/>
      <w:divBdr>
        <w:top w:val="none" w:sz="0" w:space="0" w:color="auto"/>
        <w:left w:val="none" w:sz="0" w:space="0" w:color="auto"/>
        <w:bottom w:val="none" w:sz="0" w:space="0" w:color="auto"/>
        <w:right w:val="none" w:sz="0" w:space="0" w:color="auto"/>
      </w:divBdr>
    </w:div>
    <w:div w:id="1358198260">
      <w:bodyDiv w:val="1"/>
      <w:marLeft w:val="0"/>
      <w:marRight w:val="0"/>
      <w:marTop w:val="0"/>
      <w:marBottom w:val="0"/>
      <w:divBdr>
        <w:top w:val="none" w:sz="0" w:space="0" w:color="auto"/>
        <w:left w:val="none" w:sz="0" w:space="0" w:color="auto"/>
        <w:bottom w:val="none" w:sz="0" w:space="0" w:color="auto"/>
        <w:right w:val="none" w:sz="0" w:space="0" w:color="auto"/>
      </w:divBdr>
    </w:div>
    <w:div w:id="1366952032">
      <w:bodyDiv w:val="1"/>
      <w:marLeft w:val="0"/>
      <w:marRight w:val="0"/>
      <w:marTop w:val="0"/>
      <w:marBottom w:val="0"/>
      <w:divBdr>
        <w:top w:val="none" w:sz="0" w:space="0" w:color="auto"/>
        <w:left w:val="none" w:sz="0" w:space="0" w:color="auto"/>
        <w:bottom w:val="none" w:sz="0" w:space="0" w:color="auto"/>
        <w:right w:val="none" w:sz="0" w:space="0" w:color="auto"/>
      </w:divBdr>
    </w:div>
    <w:div w:id="1367633634">
      <w:bodyDiv w:val="1"/>
      <w:marLeft w:val="0"/>
      <w:marRight w:val="0"/>
      <w:marTop w:val="0"/>
      <w:marBottom w:val="0"/>
      <w:divBdr>
        <w:top w:val="none" w:sz="0" w:space="0" w:color="auto"/>
        <w:left w:val="none" w:sz="0" w:space="0" w:color="auto"/>
        <w:bottom w:val="none" w:sz="0" w:space="0" w:color="auto"/>
        <w:right w:val="none" w:sz="0" w:space="0" w:color="auto"/>
      </w:divBdr>
    </w:div>
    <w:div w:id="1376853410">
      <w:bodyDiv w:val="1"/>
      <w:marLeft w:val="0"/>
      <w:marRight w:val="0"/>
      <w:marTop w:val="0"/>
      <w:marBottom w:val="0"/>
      <w:divBdr>
        <w:top w:val="none" w:sz="0" w:space="0" w:color="auto"/>
        <w:left w:val="none" w:sz="0" w:space="0" w:color="auto"/>
        <w:bottom w:val="none" w:sz="0" w:space="0" w:color="auto"/>
        <w:right w:val="none" w:sz="0" w:space="0" w:color="auto"/>
      </w:divBdr>
    </w:div>
    <w:div w:id="1382679907">
      <w:bodyDiv w:val="1"/>
      <w:marLeft w:val="0"/>
      <w:marRight w:val="0"/>
      <w:marTop w:val="0"/>
      <w:marBottom w:val="0"/>
      <w:divBdr>
        <w:top w:val="none" w:sz="0" w:space="0" w:color="auto"/>
        <w:left w:val="none" w:sz="0" w:space="0" w:color="auto"/>
        <w:bottom w:val="none" w:sz="0" w:space="0" w:color="auto"/>
        <w:right w:val="none" w:sz="0" w:space="0" w:color="auto"/>
      </w:divBdr>
    </w:div>
    <w:div w:id="1388606442">
      <w:bodyDiv w:val="1"/>
      <w:marLeft w:val="0"/>
      <w:marRight w:val="0"/>
      <w:marTop w:val="0"/>
      <w:marBottom w:val="0"/>
      <w:divBdr>
        <w:top w:val="none" w:sz="0" w:space="0" w:color="auto"/>
        <w:left w:val="none" w:sz="0" w:space="0" w:color="auto"/>
        <w:bottom w:val="none" w:sz="0" w:space="0" w:color="auto"/>
        <w:right w:val="none" w:sz="0" w:space="0" w:color="auto"/>
      </w:divBdr>
    </w:div>
    <w:div w:id="1388844661">
      <w:bodyDiv w:val="1"/>
      <w:marLeft w:val="0"/>
      <w:marRight w:val="0"/>
      <w:marTop w:val="0"/>
      <w:marBottom w:val="0"/>
      <w:divBdr>
        <w:top w:val="none" w:sz="0" w:space="0" w:color="auto"/>
        <w:left w:val="none" w:sz="0" w:space="0" w:color="auto"/>
        <w:bottom w:val="none" w:sz="0" w:space="0" w:color="auto"/>
        <w:right w:val="none" w:sz="0" w:space="0" w:color="auto"/>
      </w:divBdr>
    </w:div>
    <w:div w:id="1390499158">
      <w:bodyDiv w:val="1"/>
      <w:marLeft w:val="0"/>
      <w:marRight w:val="0"/>
      <w:marTop w:val="0"/>
      <w:marBottom w:val="0"/>
      <w:divBdr>
        <w:top w:val="none" w:sz="0" w:space="0" w:color="auto"/>
        <w:left w:val="none" w:sz="0" w:space="0" w:color="auto"/>
        <w:bottom w:val="none" w:sz="0" w:space="0" w:color="auto"/>
        <w:right w:val="none" w:sz="0" w:space="0" w:color="auto"/>
      </w:divBdr>
    </w:div>
    <w:div w:id="1399403542">
      <w:bodyDiv w:val="1"/>
      <w:marLeft w:val="0"/>
      <w:marRight w:val="0"/>
      <w:marTop w:val="0"/>
      <w:marBottom w:val="0"/>
      <w:divBdr>
        <w:top w:val="none" w:sz="0" w:space="0" w:color="auto"/>
        <w:left w:val="none" w:sz="0" w:space="0" w:color="auto"/>
        <w:bottom w:val="none" w:sz="0" w:space="0" w:color="auto"/>
        <w:right w:val="none" w:sz="0" w:space="0" w:color="auto"/>
      </w:divBdr>
    </w:div>
    <w:div w:id="1402558319">
      <w:bodyDiv w:val="1"/>
      <w:marLeft w:val="0"/>
      <w:marRight w:val="0"/>
      <w:marTop w:val="0"/>
      <w:marBottom w:val="0"/>
      <w:divBdr>
        <w:top w:val="none" w:sz="0" w:space="0" w:color="auto"/>
        <w:left w:val="none" w:sz="0" w:space="0" w:color="auto"/>
        <w:bottom w:val="none" w:sz="0" w:space="0" w:color="auto"/>
        <w:right w:val="none" w:sz="0" w:space="0" w:color="auto"/>
      </w:divBdr>
    </w:div>
    <w:div w:id="1404984602">
      <w:bodyDiv w:val="1"/>
      <w:marLeft w:val="0"/>
      <w:marRight w:val="0"/>
      <w:marTop w:val="0"/>
      <w:marBottom w:val="0"/>
      <w:divBdr>
        <w:top w:val="none" w:sz="0" w:space="0" w:color="auto"/>
        <w:left w:val="none" w:sz="0" w:space="0" w:color="auto"/>
        <w:bottom w:val="none" w:sz="0" w:space="0" w:color="auto"/>
        <w:right w:val="none" w:sz="0" w:space="0" w:color="auto"/>
      </w:divBdr>
    </w:div>
    <w:div w:id="1405301691">
      <w:bodyDiv w:val="1"/>
      <w:marLeft w:val="0"/>
      <w:marRight w:val="0"/>
      <w:marTop w:val="0"/>
      <w:marBottom w:val="0"/>
      <w:divBdr>
        <w:top w:val="none" w:sz="0" w:space="0" w:color="auto"/>
        <w:left w:val="none" w:sz="0" w:space="0" w:color="auto"/>
        <w:bottom w:val="none" w:sz="0" w:space="0" w:color="auto"/>
        <w:right w:val="none" w:sz="0" w:space="0" w:color="auto"/>
      </w:divBdr>
    </w:div>
    <w:div w:id="1405878880">
      <w:bodyDiv w:val="1"/>
      <w:marLeft w:val="0"/>
      <w:marRight w:val="0"/>
      <w:marTop w:val="0"/>
      <w:marBottom w:val="0"/>
      <w:divBdr>
        <w:top w:val="none" w:sz="0" w:space="0" w:color="auto"/>
        <w:left w:val="none" w:sz="0" w:space="0" w:color="auto"/>
        <w:bottom w:val="none" w:sz="0" w:space="0" w:color="auto"/>
        <w:right w:val="none" w:sz="0" w:space="0" w:color="auto"/>
      </w:divBdr>
    </w:div>
    <w:div w:id="1406755441">
      <w:bodyDiv w:val="1"/>
      <w:marLeft w:val="0"/>
      <w:marRight w:val="0"/>
      <w:marTop w:val="0"/>
      <w:marBottom w:val="0"/>
      <w:divBdr>
        <w:top w:val="none" w:sz="0" w:space="0" w:color="auto"/>
        <w:left w:val="none" w:sz="0" w:space="0" w:color="auto"/>
        <w:bottom w:val="none" w:sz="0" w:space="0" w:color="auto"/>
        <w:right w:val="none" w:sz="0" w:space="0" w:color="auto"/>
      </w:divBdr>
    </w:div>
    <w:div w:id="1408264673">
      <w:bodyDiv w:val="1"/>
      <w:marLeft w:val="0"/>
      <w:marRight w:val="0"/>
      <w:marTop w:val="0"/>
      <w:marBottom w:val="0"/>
      <w:divBdr>
        <w:top w:val="none" w:sz="0" w:space="0" w:color="auto"/>
        <w:left w:val="none" w:sz="0" w:space="0" w:color="auto"/>
        <w:bottom w:val="none" w:sz="0" w:space="0" w:color="auto"/>
        <w:right w:val="none" w:sz="0" w:space="0" w:color="auto"/>
      </w:divBdr>
    </w:div>
    <w:div w:id="1408650034">
      <w:bodyDiv w:val="1"/>
      <w:marLeft w:val="0"/>
      <w:marRight w:val="0"/>
      <w:marTop w:val="0"/>
      <w:marBottom w:val="0"/>
      <w:divBdr>
        <w:top w:val="none" w:sz="0" w:space="0" w:color="auto"/>
        <w:left w:val="none" w:sz="0" w:space="0" w:color="auto"/>
        <w:bottom w:val="none" w:sz="0" w:space="0" w:color="auto"/>
        <w:right w:val="none" w:sz="0" w:space="0" w:color="auto"/>
      </w:divBdr>
    </w:div>
    <w:div w:id="1410035865">
      <w:bodyDiv w:val="1"/>
      <w:marLeft w:val="0"/>
      <w:marRight w:val="0"/>
      <w:marTop w:val="0"/>
      <w:marBottom w:val="0"/>
      <w:divBdr>
        <w:top w:val="none" w:sz="0" w:space="0" w:color="auto"/>
        <w:left w:val="none" w:sz="0" w:space="0" w:color="auto"/>
        <w:bottom w:val="none" w:sz="0" w:space="0" w:color="auto"/>
        <w:right w:val="none" w:sz="0" w:space="0" w:color="auto"/>
      </w:divBdr>
    </w:div>
    <w:div w:id="1415856488">
      <w:bodyDiv w:val="1"/>
      <w:marLeft w:val="0"/>
      <w:marRight w:val="0"/>
      <w:marTop w:val="0"/>
      <w:marBottom w:val="0"/>
      <w:divBdr>
        <w:top w:val="none" w:sz="0" w:space="0" w:color="auto"/>
        <w:left w:val="none" w:sz="0" w:space="0" w:color="auto"/>
        <w:bottom w:val="none" w:sz="0" w:space="0" w:color="auto"/>
        <w:right w:val="none" w:sz="0" w:space="0" w:color="auto"/>
      </w:divBdr>
    </w:div>
    <w:div w:id="1422721114">
      <w:bodyDiv w:val="1"/>
      <w:marLeft w:val="0"/>
      <w:marRight w:val="0"/>
      <w:marTop w:val="0"/>
      <w:marBottom w:val="0"/>
      <w:divBdr>
        <w:top w:val="none" w:sz="0" w:space="0" w:color="auto"/>
        <w:left w:val="none" w:sz="0" w:space="0" w:color="auto"/>
        <w:bottom w:val="none" w:sz="0" w:space="0" w:color="auto"/>
        <w:right w:val="none" w:sz="0" w:space="0" w:color="auto"/>
      </w:divBdr>
    </w:div>
    <w:div w:id="1427533581">
      <w:bodyDiv w:val="1"/>
      <w:marLeft w:val="0"/>
      <w:marRight w:val="0"/>
      <w:marTop w:val="0"/>
      <w:marBottom w:val="0"/>
      <w:divBdr>
        <w:top w:val="none" w:sz="0" w:space="0" w:color="auto"/>
        <w:left w:val="none" w:sz="0" w:space="0" w:color="auto"/>
        <w:bottom w:val="none" w:sz="0" w:space="0" w:color="auto"/>
        <w:right w:val="none" w:sz="0" w:space="0" w:color="auto"/>
      </w:divBdr>
    </w:div>
    <w:div w:id="1438018478">
      <w:bodyDiv w:val="1"/>
      <w:marLeft w:val="0"/>
      <w:marRight w:val="0"/>
      <w:marTop w:val="0"/>
      <w:marBottom w:val="0"/>
      <w:divBdr>
        <w:top w:val="none" w:sz="0" w:space="0" w:color="auto"/>
        <w:left w:val="none" w:sz="0" w:space="0" w:color="auto"/>
        <w:bottom w:val="none" w:sz="0" w:space="0" w:color="auto"/>
        <w:right w:val="none" w:sz="0" w:space="0" w:color="auto"/>
      </w:divBdr>
    </w:div>
    <w:div w:id="1445811266">
      <w:bodyDiv w:val="1"/>
      <w:marLeft w:val="0"/>
      <w:marRight w:val="0"/>
      <w:marTop w:val="0"/>
      <w:marBottom w:val="0"/>
      <w:divBdr>
        <w:top w:val="none" w:sz="0" w:space="0" w:color="auto"/>
        <w:left w:val="none" w:sz="0" w:space="0" w:color="auto"/>
        <w:bottom w:val="none" w:sz="0" w:space="0" w:color="auto"/>
        <w:right w:val="none" w:sz="0" w:space="0" w:color="auto"/>
      </w:divBdr>
    </w:div>
    <w:div w:id="1447000952">
      <w:bodyDiv w:val="1"/>
      <w:marLeft w:val="0"/>
      <w:marRight w:val="0"/>
      <w:marTop w:val="0"/>
      <w:marBottom w:val="0"/>
      <w:divBdr>
        <w:top w:val="none" w:sz="0" w:space="0" w:color="auto"/>
        <w:left w:val="none" w:sz="0" w:space="0" w:color="auto"/>
        <w:bottom w:val="none" w:sz="0" w:space="0" w:color="auto"/>
        <w:right w:val="none" w:sz="0" w:space="0" w:color="auto"/>
      </w:divBdr>
    </w:div>
    <w:div w:id="1449465494">
      <w:bodyDiv w:val="1"/>
      <w:marLeft w:val="0"/>
      <w:marRight w:val="0"/>
      <w:marTop w:val="0"/>
      <w:marBottom w:val="0"/>
      <w:divBdr>
        <w:top w:val="none" w:sz="0" w:space="0" w:color="auto"/>
        <w:left w:val="none" w:sz="0" w:space="0" w:color="auto"/>
        <w:bottom w:val="none" w:sz="0" w:space="0" w:color="auto"/>
        <w:right w:val="none" w:sz="0" w:space="0" w:color="auto"/>
      </w:divBdr>
    </w:div>
    <w:div w:id="1452095041">
      <w:bodyDiv w:val="1"/>
      <w:marLeft w:val="0"/>
      <w:marRight w:val="0"/>
      <w:marTop w:val="0"/>
      <w:marBottom w:val="0"/>
      <w:divBdr>
        <w:top w:val="none" w:sz="0" w:space="0" w:color="auto"/>
        <w:left w:val="none" w:sz="0" w:space="0" w:color="auto"/>
        <w:bottom w:val="none" w:sz="0" w:space="0" w:color="auto"/>
        <w:right w:val="none" w:sz="0" w:space="0" w:color="auto"/>
      </w:divBdr>
    </w:div>
    <w:div w:id="1453943743">
      <w:bodyDiv w:val="1"/>
      <w:marLeft w:val="0"/>
      <w:marRight w:val="0"/>
      <w:marTop w:val="0"/>
      <w:marBottom w:val="0"/>
      <w:divBdr>
        <w:top w:val="none" w:sz="0" w:space="0" w:color="auto"/>
        <w:left w:val="none" w:sz="0" w:space="0" w:color="auto"/>
        <w:bottom w:val="none" w:sz="0" w:space="0" w:color="auto"/>
        <w:right w:val="none" w:sz="0" w:space="0" w:color="auto"/>
      </w:divBdr>
    </w:div>
    <w:div w:id="1456631251">
      <w:bodyDiv w:val="1"/>
      <w:marLeft w:val="0"/>
      <w:marRight w:val="0"/>
      <w:marTop w:val="0"/>
      <w:marBottom w:val="0"/>
      <w:divBdr>
        <w:top w:val="none" w:sz="0" w:space="0" w:color="auto"/>
        <w:left w:val="none" w:sz="0" w:space="0" w:color="auto"/>
        <w:bottom w:val="none" w:sz="0" w:space="0" w:color="auto"/>
        <w:right w:val="none" w:sz="0" w:space="0" w:color="auto"/>
      </w:divBdr>
    </w:div>
    <w:div w:id="1458643678">
      <w:bodyDiv w:val="1"/>
      <w:marLeft w:val="0"/>
      <w:marRight w:val="0"/>
      <w:marTop w:val="0"/>
      <w:marBottom w:val="0"/>
      <w:divBdr>
        <w:top w:val="none" w:sz="0" w:space="0" w:color="auto"/>
        <w:left w:val="none" w:sz="0" w:space="0" w:color="auto"/>
        <w:bottom w:val="none" w:sz="0" w:space="0" w:color="auto"/>
        <w:right w:val="none" w:sz="0" w:space="0" w:color="auto"/>
      </w:divBdr>
    </w:div>
    <w:div w:id="1462652954">
      <w:bodyDiv w:val="1"/>
      <w:marLeft w:val="0"/>
      <w:marRight w:val="0"/>
      <w:marTop w:val="0"/>
      <w:marBottom w:val="0"/>
      <w:divBdr>
        <w:top w:val="none" w:sz="0" w:space="0" w:color="auto"/>
        <w:left w:val="none" w:sz="0" w:space="0" w:color="auto"/>
        <w:bottom w:val="none" w:sz="0" w:space="0" w:color="auto"/>
        <w:right w:val="none" w:sz="0" w:space="0" w:color="auto"/>
      </w:divBdr>
    </w:div>
    <w:div w:id="1466502568">
      <w:bodyDiv w:val="1"/>
      <w:marLeft w:val="0"/>
      <w:marRight w:val="0"/>
      <w:marTop w:val="0"/>
      <w:marBottom w:val="0"/>
      <w:divBdr>
        <w:top w:val="none" w:sz="0" w:space="0" w:color="auto"/>
        <w:left w:val="none" w:sz="0" w:space="0" w:color="auto"/>
        <w:bottom w:val="none" w:sz="0" w:space="0" w:color="auto"/>
        <w:right w:val="none" w:sz="0" w:space="0" w:color="auto"/>
      </w:divBdr>
    </w:div>
    <w:div w:id="1489439304">
      <w:bodyDiv w:val="1"/>
      <w:marLeft w:val="0"/>
      <w:marRight w:val="0"/>
      <w:marTop w:val="0"/>
      <w:marBottom w:val="0"/>
      <w:divBdr>
        <w:top w:val="none" w:sz="0" w:space="0" w:color="auto"/>
        <w:left w:val="none" w:sz="0" w:space="0" w:color="auto"/>
        <w:bottom w:val="none" w:sz="0" w:space="0" w:color="auto"/>
        <w:right w:val="none" w:sz="0" w:space="0" w:color="auto"/>
      </w:divBdr>
    </w:div>
    <w:div w:id="1493526191">
      <w:bodyDiv w:val="1"/>
      <w:marLeft w:val="0"/>
      <w:marRight w:val="0"/>
      <w:marTop w:val="0"/>
      <w:marBottom w:val="0"/>
      <w:divBdr>
        <w:top w:val="none" w:sz="0" w:space="0" w:color="auto"/>
        <w:left w:val="none" w:sz="0" w:space="0" w:color="auto"/>
        <w:bottom w:val="none" w:sz="0" w:space="0" w:color="auto"/>
        <w:right w:val="none" w:sz="0" w:space="0" w:color="auto"/>
      </w:divBdr>
    </w:div>
    <w:div w:id="1496144567">
      <w:bodyDiv w:val="1"/>
      <w:marLeft w:val="0"/>
      <w:marRight w:val="0"/>
      <w:marTop w:val="0"/>
      <w:marBottom w:val="0"/>
      <w:divBdr>
        <w:top w:val="none" w:sz="0" w:space="0" w:color="auto"/>
        <w:left w:val="none" w:sz="0" w:space="0" w:color="auto"/>
        <w:bottom w:val="none" w:sz="0" w:space="0" w:color="auto"/>
        <w:right w:val="none" w:sz="0" w:space="0" w:color="auto"/>
      </w:divBdr>
    </w:div>
    <w:div w:id="1509826427">
      <w:bodyDiv w:val="1"/>
      <w:marLeft w:val="0"/>
      <w:marRight w:val="0"/>
      <w:marTop w:val="0"/>
      <w:marBottom w:val="0"/>
      <w:divBdr>
        <w:top w:val="none" w:sz="0" w:space="0" w:color="auto"/>
        <w:left w:val="none" w:sz="0" w:space="0" w:color="auto"/>
        <w:bottom w:val="none" w:sz="0" w:space="0" w:color="auto"/>
        <w:right w:val="none" w:sz="0" w:space="0" w:color="auto"/>
      </w:divBdr>
    </w:div>
    <w:div w:id="1514224276">
      <w:bodyDiv w:val="1"/>
      <w:marLeft w:val="0"/>
      <w:marRight w:val="0"/>
      <w:marTop w:val="0"/>
      <w:marBottom w:val="0"/>
      <w:divBdr>
        <w:top w:val="none" w:sz="0" w:space="0" w:color="auto"/>
        <w:left w:val="none" w:sz="0" w:space="0" w:color="auto"/>
        <w:bottom w:val="none" w:sz="0" w:space="0" w:color="auto"/>
        <w:right w:val="none" w:sz="0" w:space="0" w:color="auto"/>
      </w:divBdr>
    </w:div>
    <w:div w:id="1519345524">
      <w:bodyDiv w:val="1"/>
      <w:marLeft w:val="0"/>
      <w:marRight w:val="0"/>
      <w:marTop w:val="0"/>
      <w:marBottom w:val="0"/>
      <w:divBdr>
        <w:top w:val="none" w:sz="0" w:space="0" w:color="auto"/>
        <w:left w:val="none" w:sz="0" w:space="0" w:color="auto"/>
        <w:bottom w:val="none" w:sz="0" w:space="0" w:color="auto"/>
        <w:right w:val="none" w:sz="0" w:space="0" w:color="auto"/>
      </w:divBdr>
    </w:div>
    <w:div w:id="1520463618">
      <w:bodyDiv w:val="1"/>
      <w:marLeft w:val="0"/>
      <w:marRight w:val="0"/>
      <w:marTop w:val="0"/>
      <w:marBottom w:val="0"/>
      <w:divBdr>
        <w:top w:val="none" w:sz="0" w:space="0" w:color="auto"/>
        <w:left w:val="none" w:sz="0" w:space="0" w:color="auto"/>
        <w:bottom w:val="none" w:sz="0" w:space="0" w:color="auto"/>
        <w:right w:val="none" w:sz="0" w:space="0" w:color="auto"/>
      </w:divBdr>
    </w:div>
    <w:div w:id="1520509337">
      <w:bodyDiv w:val="1"/>
      <w:marLeft w:val="0"/>
      <w:marRight w:val="0"/>
      <w:marTop w:val="0"/>
      <w:marBottom w:val="0"/>
      <w:divBdr>
        <w:top w:val="none" w:sz="0" w:space="0" w:color="auto"/>
        <w:left w:val="none" w:sz="0" w:space="0" w:color="auto"/>
        <w:bottom w:val="none" w:sz="0" w:space="0" w:color="auto"/>
        <w:right w:val="none" w:sz="0" w:space="0" w:color="auto"/>
      </w:divBdr>
    </w:div>
    <w:div w:id="1520774629">
      <w:bodyDiv w:val="1"/>
      <w:marLeft w:val="0"/>
      <w:marRight w:val="0"/>
      <w:marTop w:val="0"/>
      <w:marBottom w:val="0"/>
      <w:divBdr>
        <w:top w:val="none" w:sz="0" w:space="0" w:color="auto"/>
        <w:left w:val="none" w:sz="0" w:space="0" w:color="auto"/>
        <w:bottom w:val="none" w:sz="0" w:space="0" w:color="auto"/>
        <w:right w:val="none" w:sz="0" w:space="0" w:color="auto"/>
      </w:divBdr>
      <w:divsChild>
        <w:div w:id="1195387115">
          <w:marLeft w:val="0"/>
          <w:marRight w:val="0"/>
          <w:marTop w:val="0"/>
          <w:marBottom w:val="0"/>
          <w:divBdr>
            <w:top w:val="none" w:sz="0" w:space="0" w:color="auto"/>
            <w:left w:val="none" w:sz="0" w:space="0" w:color="auto"/>
            <w:bottom w:val="none" w:sz="0" w:space="0" w:color="auto"/>
            <w:right w:val="none" w:sz="0" w:space="0" w:color="auto"/>
          </w:divBdr>
          <w:divsChild>
            <w:div w:id="1548757750">
              <w:marLeft w:val="0"/>
              <w:marRight w:val="0"/>
              <w:marTop w:val="0"/>
              <w:marBottom w:val="0"/>
              <w:divBdr>
                <w:top w:val="none" w:sz="0" w:space="0" w:color="auto"/>
                <w:left w:val="none" w:sz="0" w:space="0" w:color="auto"/>
                <w:bottom w:val="none" w:sz="0" w:space="0" w:color="auto"/>
                <w:right w:val="none" w:sz="0" w:space="0" w:color="auto"/>
              </w:divBdr>
              <w:divsChild>
                <w:div w:id="440681949">
                  <w:marLeft w:val="0"/>
                  <w:marRight w:val="0"/>
                  <w:marTop w:val="0"/>
                  <w:marBottom w:val="0"/>
                  <w:divBdr>
                    <w:top w:val="none" w:sz="0" w:space="0" w:color="auto"/>
                    <w:left w:val="none" w:sz="0" w:space="0" w:color="auto"/>
                    <w:bottom w:val="none" w:sz="0" w:space="0" w:color="auto"/>
                    <w:right w:val="none" w:sz="0" w:space="0" w:color="auto"/>
                  </w:divBdr>
                  <w:divsChild>
                    <w:div w:id="1177425028">
                      <w:marLeft w:val="0"/>
                      <w:marRight w:val="0"/>
                      <w:marTop w:val="45"/>
                      <w:marBottom w:val="0"/>
                      <w:divBdr>
                        <w:top w:val="none" w:sz="0" w:space="0" w:color="auto"/>
                        <w:left w:val="none" w:sz="0" w:space="0" w:color="auto"/>
                        <w:bottom w:val="none" w:sz="0" w:space="0" w:color="auto"/>
                        <w:right w:val="none" w:sz="0" w:space="0" w:color="auto"/>
                      </w:divBdr>
                      <w:divsChild>
                        <w:div w:id="1730884140">
                          <w:marLeft w:val="0"/>
                          <w:marRight w:val="0"/>
                          <w:marTop w:val="0"/>
                          <w:marBottom w:val="0"/>
                          <w:divBdr>
                            <w:top w:val="none" w:sz="0" w:space="0" w:color="auto"/>
                            <w:left w:val="none" w:sz="0" w:space="0" w:color="auto"/>
                            <w:bottom w:val="none" w:sz="0" w:space="0" w:color="auto"/>
                            <w:right w:val="none" w:sz="0" w:space="0" w:color="auto"/>
                          </w:divBdr>
                          <w:divsChild>
                            <w:div w:id="384841384">
                              <w:marLeft w:val="2070"/>
                              <w:marRight w:val="3960"/>
                              <w:marTop w:val="0"/>
                              <w:marBottom w:val="0"/>
                              <w:divBdr>
                                <w:top w:val="none" w:sz="0" w:space="0" w:color="auto"/>
                                <w:left w:val="none" w:sz="0" w:space="0" w:color="auto"/>
                                <w:bottom w:val="none" w:sz="0" w:space="0" w:color="auto"/>
                                <w:right w:val="none" w:sz="0" w:space="0" w:color="auto"/>
                              </w:divBdr>
                              <w:divsChild>
                                <w:div w:id="1875073298">
                                  <w:marLeft w:val="0"/>
                                  <w:marRight w:val="0"/>
                                  <w:marTop w:val="0"/>
                                  <w:marBottom w:val="0"/>
                                  <w:divBdr>
                                    <w:top w:val="none" w:sz="0" w:space="0" w:color="auto"/>
                                    <w:left w:val="none" w:sz="0" w:space="0" w:color="auto"/>
                                    <w:bottom w:val="none" w:sz="0" w:space="0" w:color="auto"/>
                                    <w:right w:val="none" w:sz="0" w:space="0" w:color="auto"/>
                                  </w:divBdr>
                                  <w:divsChild>
                                    <w:div w:id="1128399862">
                                      <w:marLeft w:val="0"/>
                                      <w:marRight w:val="0"/>
                                      <w:marTop w:val="0"/>
                                      <w:marBottom w:val="0"/>
                                      <w:divBdr>
                                        <w:top w:val="none" w:sz="0" w:space="0" w:color="auto"/>
                                        <w:left w:val="none" w:sz="0" w:space="0" w:color="auto"/>
                                        <w:bottom w:val="none" w:sz="0" w:space="0" w:color="auto"/>
                                        <w:right w:val="none" w:sz="0" w:space="0" w:color="auto"/>
                                      </w:divBdr>
                                      <w:divsChild>
                                        <w:div w:id="599485649">
                                          <w:marLeft w:val="0"/>
                                          <w:marRight w:val="0"/>
                                          <w:marTop w:val="0"/>
                                          <w:marBottom w:val="0"/>
                                          <w:divBdr>
                                            <w:top w:val="none" w:sz="0" w:space="0" w:color="auto"/>
                                            <w:left w:val="none" w:sz="0" w:space="0" w:color="auto"/>
                                            <w:bottom w:val="none" w:sz="0" w:space="0" w:color="auto"/>
                                            <w:right w:val="none" w:sz="0" w:space="0" w:color="auto"/>
                                          </w:divBdr>
                                          <w:divsChild>
                                            <w:div w:id="831026405">
                                              <w:marLeft w:val="0"/>
                                              <w:marRight w:val="0"/>
                                              <w:marTop w:val="90"/>
                                              <w:marBottom w:val="0"/>
                                              <w:divBdr>
                                                <w:top w:val="none" w:sz="0" w:space="0" w:color="auto"/>
                                                <w:left w:val="none" w:sz="0" w:space="0" w:color="auto"/>
                                                <w:bottom w:val="none" w:sz="0" w:space="0" w:color="auto"/>
                                                <w:right w:val="none" w:sz="0" w:space="0" w:color="auto"/>
                                              </w:divBdr>
                                              <w:divsChild>
                                                <w:div w:id="371615339">
                                                  <w:marLeft w:val="0"/>
                                                  <w:marRight w:val="0"/>
                                                  <w:marTop w:val="0"/>
                                                  <w:marBottom w:val="0"/>
                                                  <w:divBdr>
                                                    <w:top w:val="none" w:sz="0" w:space="0" w:color="auto"/>
                                                    <w:left w:val="none" w:sz="0" w:space="0" w:color="auto"/>
                                                    <w:bottom w:val="none" w:sz="0" w:space="0" w:color="auto"/>
                                                    <w:right w:val="none" w:sz="0" w:space="0" w:color="auto"/>
                                                  </w:divBdr>
                                                  <w:divsChild>
                                                    <w:div w:id="1249924469">
                                                      <w:marLeft w:val="0"/>
                                                      <w:marRight w:val="0"/>
                                                      <w:marTop w:val="0"/>
                                                      <w:marBottom w:val="0"/>
                                                      <w:divBdr>
                                                        <w:top w:val="none" w:sz="0" w:space="0" w:color="auto"/>
                                                        <w:left w:val="none" w:sz="0" w:space="0" w:color="auto"/>
                                                        <w:bottom w:val="none" w:sz="0" w:space="0" w:color="auto"/>
                                                        <w:right w:val="none" w:sz="0" w:space="0" w:color="auto"/>
                                                      </w:divBdr>
                                                      <w:divsChild>
                                                        <w:div w:id="1737698796">
                                                          <w:marLeft w:val="0"/>
                                                          <w:marRight w:val="0"/>
                                                          <w:marTop w:val="0"/>
                                                          <w:marBottom w:val="390"/>
                                                          <w:divBdr>
                                                            <w:top w:val="none" w:sz="0" w:space="0" w:color="auto"/>
                                                            <w:left w:val="none" w:sz="0" w:space="0" w:color="auto"/>
                                                            <w:bottom w:val="none" w:sz="0" w:space="0" w:color="auto"/>
                                                            <w:right w:val="none" w:sz="0" w:space="0" w:color="auto"/>
                                                          </w:divBdr>
                                                          <w:divsChild>
                                                            <w:div w:id="367534552">
                                                              <w:marLeft w:val="0"/>
                                                              <w:marRight w:val="0"/>
                                                              <w:marTop w:val="0"/>
                                                              <w:marBottom w:val="0"/>
                                                              <w:divBdr>
                                                                <w:top w:val="none" w:sz="0" w:space="0" w:color="auto"/>
                                                                <w:left w:val="none" w:sz="0" w:space="0" w:color="auto"/>
                                                                <w:bottom w:val="none" w:sz="0" w:space="0" w:color="auto"/>
                                                                <w:right w:val="none" w:sz="0" w:space="0" w:color="auto"/>
                                                              </w:divBdr>
                                                              <w:divsChild>
                                                                <w:div w:id="1496068557">
                                                                  <w:marLeft w:val="0"/>
                                                                  <w:marRight w:val="0"/>
                                                                  <w:marTop w:val="0"/>
                                                                  <w:marBottom w:val="0"/>
                                                                  <w:divBdr>
                                                                    <w:top w:val="none" w:sz="0" w:space="0" w:color="auto"/>
                                                                    <w:left w:val="none" w:sz="0" w:space="0" w:color="auto"/>
                                                                    <w:bottom w:val="none" w:sz="0" w:space="0" w:color="auto"/>
                                                                    <w:right w:val="none" w:sz="0" w:space="0" w:color="auto"/>
                                                                  </w:divBdr>
                                                                  <w:divsChild>
                                                                    <w:div w:id="786583526">
                                                                      <w:marLeft w:val="0"/>
                                                                      <w:marRight w:val="0"/>
                                                                      <w:marTop w:val="0"/>
                                                                      <w:marBottom w:val="0"/>
                                                                      <w:divBdr>
                                                                        <w:top w:val="none" w:sz="0" w:space="0" w:color="auto"/>
                                                                        <w:left w:val="none" w:sz="0" w:space="0" w:color="auto"/>
                                                                        <w:bottom w:val="none" w:sz="0" w:space="0" w:color="auto"/>
                                                                        <w:right w:val="none" w:sz="0" w:space="0" w:color="auto"/>
                                                                      </w:divBdr>
                                                                      <w:divsChild>
                                                                        <w:div w:id="763647877">
                                                                          <w:marLeft w:val="0"/>
                                                                          <w:marRight w:val="0"/>
                                                                          <w:marTop w:val="0"/>
                                                                          <w:marBottom w:val="0"/>
                                                                          <w:divBdr>
                                                                            <w:top w:val="none" w:sz="0" w:space="0" w:color="auto"/>
                                                                            <w:left w:val="none" w:sz="0" w:space="0" w:color="auto"/>
                                                                            <w:bottom w:val="none" w:sz="0" w:space="0" w:color="auto"/>
                                                                            <w:right w:val="none" w:sz="0" w:space="0" w:color="auto"/>
                                                                          </w:divBdr>
                                                                          <w:divsChild>
                                                                            <w:div w:id="182512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24516806">
      <w:bodyDiv w:val="1"/>
      <w:marLeft w:val="0"/>
      <w:marRight w:val="0"/>
      <w:marTop w:val="0"/>
      <w:marBottom w:val="0"/>
      <w:divBdr>
        <w:top w:val="none" w:sz="0" w:space="0" w:color="auto"/>
        <w:left w:val="none" w:sz="0" w:space="0" w:color="auto"/>
        <w:bottom w:val="none" w:sz="0" w:space="0" w:color="auto"/>
        <w:right w:val="none" w:sz="0" w:space="0" w:color="auto"/>
      </w:divBdr>
    </w:div>
    <w:div w:id="1526092391">
      <w:bodyDiv w:val="1"/>
      <w:marLeft w:val="0"/>
      <w:marRight w:val="0"/>
      <w:marTop w:val="0"/>
      <w:marBottom w:val="0"/>
      <w:divBdr>
        <w:top w:val="none" w:sz="0" w:space="0" w:color="auto"/>
        <w:left w:val="none" w:sz="0" w:space="0" w:color="auto"/>
        <w:bottom w:val="none" w:sz="0" w:space="0" w:color="auto"/>
        <w:right w:val="none" w:sz="0" w:space="0" w:color="auto"/>
      </w:divBdr>
    </w:div>
    <w:div w:id="1527868396">
      <w:bodyDiv w:val="1"/>
      <w:marLeft w:val="0"/>
      <w:marRight w:val="0"/>
      <w:marTop w:val="0"/>
      <w:marBottom w:val="0"/>
      <w:divBdr>
        <w:top w:val="none" w:sz="0" w:space="0" w:color="auto"/>
        <w:left w:val="none" w:sz="0" w:space="0" w:color="auto"/>
        <w:bottom w:val="none" w:sz="0" w:space="0" w:color="auto"/>
        <w:right w:val="none" w:sz="0" w:space="0" w:color="auto"/>
      </w:divBdr>
    </w:div>
    <w:div w:id="1539391412">
      <w:bodyDiv w:val="1"/>
      <w:marLeft w:val="0"/>
      <w:marRight w:val="0"/>
      <w:marTop w:val="0"/>
      <w:marBottom w:val="0"/>
      <w:divBdr>
        <w:top w:val="none" w:sz="0" w:space="0" w:color="auto"/>
        <w:left w:val="none" w:sz="0" w:space="0" w:color="auto"/>
        <w:bottom w:val="none" w:sz="0" w:space="0" w:color="auto"/>
        <w:right w:val="none" w:sz="0" w:space="0" w:color="auto"/>
      </w:divBdr>
    </w:div>
    <w:div w:id="1542591951">
      <w:bodyDiv w:val="1"/>
      <w:marLeft w:val="0"/>
      <w:marRight w:val="0"/>
      <w:marTop w:val="0"/>
      <w:marBottom w:val="0"/>
      <w:divBdr>
        <w:top w:val="none" w:sz="0" w:space="0" w:color="auto"/>
        <w:left w:val="none" w:sz="0" w:space="0" w:color="auto"/>
        <w:bottom w:val="none" w:sz="0" w:space="0" w:color="auto"/>
        <w:right w:val="none" w:sz="0" w:space="0" w:color="auto"/>
      </w:divBdr>
    </w:div>
    <w:div w:id="1546795091">
      <w:bodyDiv w:val="1"/>
      <w:marLeft w:val="0"/>
      <w:marRight w:val="0"/>
      <w:marTop w:val="0"/>
      <w:marBottom w:val="0"/>
      <w:divBdr>
        <w:top w:val="none" w:sz="0" w:space="0" w:color="auto"/>
        <w:left w:val="none" w:sz="0" w:space="0" w:color="auto"/>
        <w:bottom w:val="none" w:sz="0" w:space="0" w:color="auto"/>
        <w:right w:val="none" w:sz="0" w:space="0" w:color="auto"/>
      </w:divBdr>
    </w:div>
    <w:div w:id="1552225282">
      <w:bodyDiv w:val="1"/>
      <w:marLeft w:val="0"/>
      <w:marRight w:val="0"/>
      <w:marTop w:val="0"/>
      <w:marBottom w:val="0"/>
      <w:divBdr>
        <w:top w:val="none" w:sz="0" w:space="0" w:color="auto"/>
        <w:left w:val="none" w:sz="0" w:space="0" w:color="auto"/>
        <w:bottom w:val="none" w:sz="0" w:space="0" w:color="auto"/>
        <w:right w:val="none" w:sz="0" w:space="0" w:color="auto"/>
      </w:divBdr>
    </w:div>
    <w:div w:id="1552769802">
      <w:bodyDiv w:val="1"/>
      <w:marLeft w:val="0"/>
      <w:marRight w:val="0"/>
      <w:marTop w:val="0"/>
      <w:marBottom w:val="0"/>
      <w:divBdr>
        <w:top w:val="none" w:sz="0" w:space="0" w:color="auto"/>
        <w:left w:val="none" w:sz="0" w:space="0" w:color="auto"/>
        <w:bottom w:val="none" w:sz="0" w:space="0" w:color="auto"/>
        <w:right w:val="none" w:sz="0" w:space="0" w:color="auto"/>
      </w:divBdr>
    </w:div>
    <w:div w:id="1554468461">
      <w:bodyDiv w:val="1"/>
      <w:marLeft w:val="0"/>
      <w:marRight w:val="0"/>
      <w:marTop w:val="0"/>
      <w:marBottom w:val="0"/>
      <w:divBdr>
        <w:top w:val="none" w:sz="0" w:space="0" w:color="auto"/>
        <w:left w:val="none" w:sz="0" w:space="0" w:color="auto"/>
        <w:bottom w:val="none" w:sz="0" w:space="0" w:color="auto"/>
        <w:right w:val="none" w:sz="0" w:space="0" w:color="auto"/>
      </w:divBdr>
    </w:div>
    <w:div w:id="1554734164">
      <w:bodyDiv w:val="1"/>
      <w:marLeft w:val="0"/>
      <w:marRight w:val="0"/>
      <w:marTop w:val="0"/>
      <w:marBottom w:val="0"/>
      <w:divBdr>
        <w:top w:val="none" w:sz="0" w:space="0" w:color="auto"/>
        <w:left w:val="none" w:sz="0" w:space="0" w:color="auto"/>
        <w:bottom w:val="none" w:sz="0" w:space="0" w:color="auto"/>
        <w:right w:val="none" w:sz="0" w:space="0" w:color="auto"/>
      </w:divBdr>
    </w:div>
    <w:div w:id="1555002414">
      <w:bodyDiv w:val="1"/>
      <w:marLeft w:val="0"/>
      <w:marRight w:val="0"/>
      <w:marTop w:val="0"/>
      <w:marBottom w:val="0"/>
      <w:divBdr>
        <w:top w:val="none" w:sz="0" w:space="0" w:color="auto"/>
        <w:left w:val="none" w:sz="0" w:space="0" w:color="auto"/>
        <w:bottom w:val="none" w:sz="0" w:space="0" w:color="auto"/>
        <w:right w:val="none" w:sz="0" w:space="0" w:color="auto"/>
      </w:divBdr>
    </w:div>
    <w:div w:id="1555970765">
      <w:bodyDiv w:val="1"/>
      <w:marLeft w:val="0"/>
      <w:marRight w:val="0"/>
      <w:marTop w:val="0"/>
      <w:marBottom w:val="0"/>
      <w:divBdr>
        <w:top w:val="none" w:sz="0" w:space="0" w:color="auto"/>
        <w:left w:val="none" w:sz="0" w:space="0" w:color="auto"/>
        <w:bottom w:val="none" w:sz="0" w:space="0" w:color="auto"/>
        <w:right w:val="none" w:sz="0" w:space="0" w:color="auto"/>
      </w:divBdr>
    </w:div>
    <w:div w:id="1557470610">
      <w:bodyDiv w:val="1"/>
      <w:marLeft w:val="0"/>
      <w:marRight w:val="0"/>
      <w:marTop w:val="0"/>
      <w:marBottom w:val="0"/>
      <w:divBdr>
        <w:top w:val="none" w:sz="0" w:space="0" w:color="auto"/>
        <w:left w:val="none" w:sz="0" w:space="0" w:color="auto"/>
        <w:bottom w:val="none" w:sz="0" w:space="0" w:color="auto"/>
        <w:right w:val="none" w:sz="0" w:space="0" w:color="auto"/>
      </w:divBdr>
    </w:div>
    <w:div w:id="1562667554">
      <w:bodyDiv w:val="1"/>
      <w:marLeft w:val="0"/>
      <w:marRight w:val="0"/>
      <w:marTop w:val="0"/>
      <w:marBottom w:val="0"/>
      <w:divBdr>
        <w:top w:val="none" w:sz="0" w:space="0" w:color="auto"/>
        <w:left w:val="none" w:sz="0" w:space="0" w:color="auto"/>
        <w:bottom w:val="none" w:sz="0" w:space="0" w:color="auto"/>
        <w:right w:val="none" w:sz="0" w:space="0" w:color="auto"/>
      </w:divBdr>
    </w:div>
    <w:div w:id="1562935067">
      <w:bodyDiv w:val="1"/>
      <w:marLeft w:val="0"/>
      <w:marRight w:val="0"/>
      <w:marTop w:val="0"/>
      <w:marBottom w:val="0"/>
      <w:divBdr>
        <w:top w:val="none" w:sz="0" w:space="0" w:color="auto"/>
        <w:left w:val="none" w:sz="0" w:space="0" w:color="auto"/>
        <w:bottom w:val="none" w:sz="0" w:space="0" w:color="auto"/>
        <w:right w:val="none" w:sz="0" w:space="0" w:color="auto"/>
      </w:divBdr>
    </w:div>
    <w:div w:id="1569070181">
      <w:bodyDiv w:val="1"/>
      <w:marLeft w:val="0"/>
      <w:marRight w:val="0"/>
      <w:marTop w:val="0"/>
      <w:marBottom w:val="0"/>
      <w:divBdr>
        <w:top w:val="none" w:sz="0" w:space="0" w:color="auto"/>
        <w:left w:val="none" w:sz="0" w:space="0" w:color="auto"/>
        <w:bottom w:val="none" w:sz="0" w:space="0" w:color="auto"/>
        <w:right w:val="none" w:sz="0" w:space="0" w:color="auto"/>
      </w:divBdr>
    </w:div>
    <w:div w:id="1574588523">
      <w:bodyDiv w:val="1"/>
      <w:marLeft w:val="0"/>
      <w:marRight w:val="0"/>
      <w:marTop w:val="0"/>
      <w:marBottom w:val="0"/>
      <w:divBdr>
        <w:top w:val="none" w:sz="0" w:space="0" w:color="auto"/>
        <w:left w:val="none" w:sz="0" w:space="0" w:color="auto"/>
        <w:bottom w:val="none" w:sz="0" w:space="0" w:color="auto"/>
        <w:right w:val="none" w:sz="0" w:space="0" w:color="auto"/>
      </w:divBdr>
    </w:div>
    <w:div w:id="1577203876">
      <w:bodyDiv w:val="1"/>
      <w:marLeft w:val="0"/>
      <w:marRight w:val="0"/>
      <w:marTop w:val="0"/>
      <w:marBottom w:val="0"/>
      <w:divBdr>
        <w:top w:val="none" w:sz="0" w:space="0" w:color="auto"/>
        <w:left w:val="none" w:sz="0" w:space="0" w:color="auto"/>
        <w:bottom w:val="none" w:sz="0" w:space="0" w:color="auto"/>
        <w:right w:val="none" w:sz="0" w:space="0" w:color="auto"/>
      </w:divBdr>
    </w:div>
    <w:div w:id="1578662336">
      <w:bodyDiv w:val="1"/>
      <w:marLeft w:val="0"/>
      <w:marRight w:val="0"/>
      <w:marTop w:val="0"/>
      <w:marBottom w:val="0"/>
      <w:divBdr>
        <w:top w:val="none" w:sz="0" w:space="0" w:color="auto"/>
        <w:left w:val="none" w:sz="0" w:space="0" w:color="auto"/>
        <w:bottom w:val="none" w:sz="0" w:space="0" w:color="auto"/>
        <w:right w:val="none" w:sz="0" w:space="0" w:color="auto"/>
      </w:divBdr>
    </w:div>
    <w:div w:id="1580866570">
      <w:bodyDiv w:val="1"/>
      <w:marLeft w:val="0"/>
      <w:marRight w:val="0"/>
      <w:marTop w:val="0"/>
      <w:marBottom w:val="0"/>
      <w:divBdr>
        <w:top w:val="none" w:sz="0" w:space="0" w:color="auto"/>
        <w:left w:val="none" w:sz="0" w:space="0" w:color="auto"/>
        <w:bottom w:val="none" w:sz="0" w:space="0" w:color="auto"/>
        <w:right w:val="none" w:sz="0" w:space="0" w:color="auto"/>
      </w:divBdr>
    </w:div>
    <w:div w:id="1584291280">
      <w:bodyDiv w:val="1"/>
      <w:marLeft w:val="0"/>
      <w:marRight w:val="0"/>
      <w:marTop w:val="0"/>
      <w:marBottom w:val="0"/>
      <w:divBdr>
        <w:top w:val="none" w:sz="0" w:space="0" w:color="auto"/>
        <w:left w:val="none" w:sz="0" w:space="0" w:color="auto"/>
        <w:bottom w:val="none" w:sz="0" w:space="0" w:color="auto"/>
        <w:right w:val="none" w:sz="0" w:space="0" w:color="auto"/>
      </w:divBdr>
    </w:div>
    <w:div w:id="1586383501">
      <w:bodyDiv w:val="1"/>
      <w:marLeft w:val="0"/>
      <w:marRight w:val="0"/>
      <w:marTop w:val="0"/>
      <w:marBottom w:val="0"/>
      <w:divBdr>
        <w:top w:val="none" w:sz="0" w:space="0" w:color="auto"/>
        <w:left w:val="none" w:sz="0" w:space="0" w:color="auto"/>
        <w:bottom w:val="none" w:sz="0" w:space="0" w:color="auto"/>
        <w:right w:val="none" w:sz="0" w:space="0" w:color="auto"/>
      </w:divBdr>
    </w:div>
    <w:div w:id="1588347642">
      <w:bodyDiv w:val="1"/>
      <w:marLeft w:val="0"/>
      <w:marRight w:val="0"/>
      <w:marTop w:val="0"/>
      <w:marBottom w:val="0"/>
      <w:divBdr>
        <w:top w:val="none" w:sz="0" w:space="0" w:color="auto"/>
        <w:left w:val="none" w:sz="0" w:space="0" w:color="auto"/>
        <w:bottom w:val="none" w:sz="0" w:space="0" w:color="auto"/>
        <w:right w:val="none" w:sz="0" w:space="0" w:color="auto"/>
      </w:divBdr>
    </w:div>
    <w:div w:id="1594126355">
      <w:bodyDiv w:val="1"/>
      <w:marLeft w:val="0"/>
      <w:marRight w:val="0"/>
      <w:marTop w:val="0"/>
      <w:marBottom w:val="0"/>
      <w:divBdr>
        <w:top w:val="none" w:sz="0" w:space="0" w:color="auto"/>
        <w:left w:val="none" w:sz="0" w:space="0" w:color="auto"/>
        <w:bottom w:val="none" w:sz="0" w:space="0" w:color="auto"/>
        <w:right w:val="none" w:sz="0" w:space="0" w:color="auto"/>
      </w:divBdr>
    </w:div>
    <w:div w:id="1595044680">
      <w:bodyDiv w:val="1"/>
      <w:marLeft w:val="0"/>
      <w:marRight w:val="0"/>
      <w:marTop w:val="0"/>
      <w:marBottom w:val="0"/>
      <w:divBdr>
        <w:top w:val="none" w:sz="0" w:space="0" w:color="auto"/>
        <w:left w:val="none" w:sz="0" w:space="0" w:color="auto"/>
        <w:bottom w:val="none" w:sz="0" w:space="0" w:color="auto"/>
        <w:right w:val="none" w:sz="0" w:space="0" w:color="auto"/>
      </w:divBdr>
    </w:div>
    <w:div w:id="1600021714">
      <w:bodyDiv w:val="1"/>
      <w:marLeft w:val="0"/>
      <w:marRight w:val="0"/>
      <w:marTop w:val="0"/>
      <w:marBottom w:val="0"/>
      <w:divBdr>
        <w:top w:val="none" w:sz="0" w:space="0" w:color="auto"/>
        <w:left w:val="none" w:sz="0" w:space="0" w:color="auto"/>
        <w:bottom w:val="none" w:sz="0" w:space="0" w:color="auto"/>
        <w:right w:val="none" w:sz="0" w:space="0" w:color="auto"/>
      </w:divBdr>
    </w:div>
    <w:div w:id="1602226042">
      <w:bodyDiv w:val="1"/>
      <w:marLeft w:val="0"/>
      <w:marRight w:val="0"/>
      <w:marTop w:val="0"/>
      <w:marBottom w:val="0"/>
      <w:divBdr>
        <w:top w:val="none" w:sz="0" w:space="0" w:color="auto"/>
        <w:left w:val="none" w:sz="0" w:space="0" w:color="auto"/>
        <w:bottom w:val="none" w:sz="0" w:space="0" w:color="auto"/>
        <w:right w:val="none" w:sz="0" w:space="0" w:color="auto"/>
      </w:divBdr>
    </w:div>
    <w:div w:id="1608926803">
      <w:bodyDiv w:val="1"/>
      <w:marLeft w:val="0"/>
      <w:marRight w:val="0"/>
      <w:marTop w:val="0"/>
      <w:marBottom w:val="0"/>
      <w:divBdr>
        <w:top w:val="none" w:sz="0" w:space="0" w:color="auto"/>
        <w:left w:val="none" w:sz="0" w:space="0" w:color="auto"/>
        <w:bottom w:val="none" w:sz="0" w:space="0" w:color="auto"/>
        <w:right w:val="none" w:sz="0" w:space="0" w:color="auto"/>
      </w:divBdr>
    </w:div>
    <w:div w:id="1609778986">
      <w:bodyDiv w:val="1"/>
      <w:marLeft w:val="0"/>
      <w:marRight w:val="0"/>
      <w:marTop w:val="0"/>
      <w:marBottom w:val="0"/>
      <w:divBdr>
        <w:top w:val="none" w:sz="0" w:space="0" w:color="auto"/>
        <w:left w:val="none" w:sz="0" w:space="0" w:color="auto"/>
        <w:bottom w:val="none" w:sz="0" w:space="0" w:color="auto"/>
        <w:right w:val="none" w:sz="0" w:space="0" w:color="auto"/>
      </w:divBdr>
    </w:div>
    <w:div w:id="1617448679">
      <w:bodyDiv w:val="1"/>
      <w:marLeft w:val="0"/>
      <w:marRight w:val="0"/>
      <w:marTop w:val="0"/>
      <w:marBottom w:val="0"/>
      <w:divBdr>
        <w:top w:val="none" w:sz="0" w:space="0" w:color="auto"/>
        <w:left w:val="none" w:sz="0" w:space="0" w:color="auto"/>
        <w:bottom w:val="none" w:sz="0" w:space="0" w:color="auto"/>
        <w:right w:val="none" w:sz="0" w:space="0" w:color="auto"/>
      </w:divBdr>
    </w:div>
    <w:div w:id="1620337849">
      <w:bodyDiv w:val="1"/>
      <w:marLeft w:val="0"/>
      <w:marRight w:val="0"/>
      <w:marTop w:val="0"/>
      <w:marBottom w:val="0"/>
      <w:divBdr>
        <w:top w:val="none" w:sz="0" w:space="0" w:color="auto"/>
        <w:left w:val="none" w:sz="0" w:space="0" w:color="auto"/>
        <w:bottom w:val="none" w:sz="0" w:space="0" w:color="auto"/>
        <w:right w:val="none" w:sz="0" w:space="0" w:color="auto"/>
      </w:divBdr>
    </w:div>
    <w:div w:id="1621839804">
      <w:bodyDiv w:val="1"/>
      <w:marLeft w:val="0"/>
      <w:marRight w:val="0"/>
      <w:marTop w:val="0"/>
      <w:marBottom w:val="0"/>
      <w:divBdr>
        <w:top w:val="none" w:sz="0" w:space="0" w:color="auto"/>
        <w:left w:val="none" w:sz="0" w:space="0" w:color="auto"/>
        <w:bottom w:val="none" w:sz="0" w:space="0" w:color="auto"/>
        <w:right w:val="none" w:sz="0" w:space="0" w:color="auto"/>
      </w:divBdr>
    </w:div>
    <w:div w:id="1625039813">
      <w:bodyDiv w:val="1"/>
      <w:marLeft w:val="0"/>
      <w:marRight w:val="0"/>
      <w:marTop w:val="0"/>
      <w:marBottom w:val="0"/>
      <w:divBdr>
        <w:top w:val="none" w:sz="0" w:space="0" w:color="auto"/>
        <w:left w:val="none" w:sz="0" w:space="0" w:color="auto"/>
        <w:bottom w:val="none" w:sz="0" w:space="0" w:color="auto"/>
        <w:right w:val="none" w:sz="0" w:space="0" w:color="auto"/>
      </w:divBdr>
    </w:div>
    <w:div w:id="1630280001">
      <w:bodyDiv w:val="1"/>
      <w:marLeft w:val="0"/>
      <w:marRight w:val="0"/>
      <w:marTop w:val="0"/>
      <w:marBottom w:val="0"/>
      <w:divBdr>
        <w:top w:val="none" w:sz="0" w:space="0" w:color="auto"/>
        <w:left w:val="none" w:sz="0" w:space="0" w:color="auto"/>
        <w:bottom w:val="none" w:sz="0" w:space="0" w:color="auto"/>
        <w:right w:val="none" w:sz="0" w:space="0" w:color="auto"/>
      </w:divBdr>
    </w:div>
    <w:div w:id="1635524869">
      <w:bodyDiv w:val="1"/>
      <w:marLeft w:val="0"/>
      <w:marRight w:val="0"/>
      <w:marTop w:val="0"/>
      <w:marBottom w:val="0"/>
      <w:divBdr>
        <w:top w:val="none" w:sz="0" w:space="0" w:color="auto"/>
        <w:left w:val="none" w:sz="0" w:space="0" w:color="auto"/>
        <w:bottom w:val="none" w:sz="0" w:space="0" w:color="auto"/>
        <w:right w:val="none" w:sz="0" w:space="0" w:color="auto"/>
      </w:divBdr>
    </w:div>
    <w:div w:id="1637832667">
      <w:bodyDiv w:val="1"/>
      <w:marLeft w:val="0"/>
      <w:marRight w:val="0"/>
      <w:marTop w:val="0"/>
      <w:marBottom w:val="0"/>
      <w:divBdr>
        <w:top w:val="none" w:sz="0" w:space="0" w:color="auto"/>
        <w:left w:val="none" w:sz="0" w:space="0" w:color="auto"/>
        <w:bottom w:val="none" w:sz="0" w:space="0" w:color="auto"/>
        <w:right w:val="none" w:sz="0" w:space="0" w:color="auto"/>
      </w:divBdr>
    </w:div>
    <w:div w:id="1639340503">
      <w:bodyDiv w:val="1"/>
      <w:marLeft w:val="0"/>
      <w:marRight w:val="0"/>
      <w:marTop w:val="0"/>
      <w:marBottom w:val="0"/>
      <w:divBdr>
        <w:top w:val="none" w:sz="0" w:space="0" w:color="auto"/>
        <w:left w:val="none" w:sz="0" w:space="0" w:color="auto"/>
        <w:bottom w:val="none" w:sz="0" w:space="0" w:color="auto"/>
        <w:right w:val="none" w:sz="0" w:space="0" w:color="auto"/>
      </w:divBdr>
    </w:div>
    <w:div w:id="1642229916">
      <w:bodyDiv w:val="1"/>
      <w:marLeft w:val="0"/>
      <w:marRight w:val="0"/>
      <w:marTop w:val="0"/>
      <w:marBottom w:val="0"/>
      <w:divBdr>
        <w:top w:val="none" w:sz="0" w:space="0" w:color="auto"/>
        <w:left w:val="none" w:sz="0" w:space="0" w:color="auto"/>
        <w:bottom w:val="none" w:sz="0" w:space="0" w:color="auto"/>
        <w:right w:val="none" w:sz="0" w:space="0" w:color="auto"/>
      </w:divBdr>
    </w:div>
    <w:div w:id="1645113980">
      <w:bodyDiv w:val="1"/>
      <w:marLeft w:val="0"/>
      <w:marRight w:val="0"/>
      <w:marTop w:val="0"/>
      <w:marBottom w:val="0"/>
      <w:divBdr>
        <w:top w:val="none" w:sz="0" w:space="0" w:color="auto"/>
        <w:left w:val="none" w:sz="0" w:space="0" w:color="auto"/>
        <w:bottom w:val="none" w:sz="0" w:space="0" w:color="auto"/>
        <w:right w:val="none" w:sz="0" w:space="0" w:color="auto"/>
      </w:divBdr>
    </w:div>
    <w:div w:id="1652173050">
      <w:bodyDiv w:val="1"/>
      <w:marLeft w:val="0"/>
      <w:marRight w:val="0"/>
      <w:marTop w:val="0"/>
      <w:marBottom w:val="0"/>
      <w:divBdr>
        <w:top w:val="none" w:sz="0" w:space="0" w:color="auto"/>
        <w:left w:val="none" w:sz="0" w:space="0" w:color="auto"/>
        <w:bottom w:val="none" w:sz="0" w:space="0" w:color="auto"/>
        <w:right w:val="none" w:sz="0" w:space="0" w:color="auto"/>
      </w:divBdr>
    </w:div>
    <w:div w:id="1655833950">
      <w:bodyDiv w:val="1"/>
      <w:marLeft w:val="0"/>
      <w:marRight w:val="0"/>
      <w:marTop w:val="0"/>
      <w:marBottom w:val="0"/>
      <w:divBdr>
        <w:top w:val="none" w:sz="0" w:space="0" w:color="auto"/>
        <w:left w:val="none" w:sz="0" w:space="0" w:color="auto"/>
        <w:bottom w:val="none" w:sz="0" w:space="0" w:color="auto"/>
        <w:right w:val="none" w:sz="0" w:space="0" w:color="auto"/>
      </w:divBdr>
    </w:div>
    <w:div w:id="1676152033">
      <w:bodyDiv w:val="1"/>
      <w:marLeft w:val="0"/>
      <w:marRight w:val="0"/>
      <w:marTop w:val="0"/>
      <w:marBottom w:val="0"/>
      <w:divBdr>
        <w:top w:val="none" w:sz="0" w:space="0" w:color="auto"/>
        <w:left w:val="none" w:sz="0" w:space="0" w:color="auto"/>
        <w:bottom w:val="none" w:sz="0" w:space="0" w:color="auto"/>
        <w:right w:val="none" w:sz="0" w:space="0" w:color="auto"/>
      </w:divBdr>
    </w:div>
    <w:div w:id="1676836450">
      <w:bodyDiv w:val="1"/>
      <w:marLeft w:val="0"/>
      <w:marRight w:val="0"/>
      <w:marTop w:val="0"/>
      <w:marBottom w:val="0"/>
      <w:divBdr>
        <w:top w:val="none" w:sz="0" w:space="0" w:color="auto"/>
        <w:left w:val="none" w:sz="0" w:space="0" w:color="auto"/>
        <w:bottom w:val="none" w:sz="0" w:space="0" w:color="auto"/>
        <w:right w:val="none" w:sz="0" w:space="0" w:color="auto"/>
      </w:divBdr>
    </w:div>
    <w:div w:id="1682395618">
      <w:bodyDiv w:val="1"/>
      <w:marLeft w:val="0"/>
      <w:marRight w:val="0"/>
      <w:marTop w:val="0"/>
      <w:marBottom w:val="0"/>
      <w:divBdr>
        <w:top w:val="none" w:sz="0" w:space="0" w:color="auto"/>
        <w:left w:val="none" w:sz="0" w:space="0" w:color="auto"/>
        <w:bottom w:val="none" w:sz="0" w:space="0" w:color="auto"/>
        <w:right w:val="none" w:sz="0" w:space="0" w:color="auto"/>
      </w:divBdr>
    </w:div>
    <w:div w:id="1683971386">
      <w:bodyDiv w:val="1"/>
      <w:marLeft w:val="0"/>
      <w:marRight w:val="0"/>
      <w:marTop w:val="0"/>
      <w:marBottom w:val="0"/>
      <w:divBdr>
        <w:top w:val="none" w:sz="0" w:space="0" w:color="auto"/>
        <w:left w:val="none" w:sz="0" w:space="0" w:color="auto"/>
        <w:bottom w:val="none" w:sz="0" w:space="0" w:color="auto"/>
        <w:right w:val="none" w:sz="0" w:space="0" w:color="auto"/>
      </w:divBdr>
    </w:div>
    <w:div w:id="1685594613">
      <w:bodyDiv w:val="1"/>
      <w:marLeft w:val="0"/>
      <w:marRight w:val="0"/>
      <w:marTop w:val="0"/>
      <w:marBottom w:val="0"/>
      <w:divBdr>
        <w:top w:val="none" w:sz="0" w:space="0" w:color="auto"/>
        <w:left w:val="none" w:sz="0" w:space="0" w:color="auto"/>
        <w:bottom w:val="none" w:sz="0" w:space="0" w:color="auto"/>
        <w:right w:val="none" w:sz="0" w:space="0" w:color="auto"/>
      </w:divBdr>
    </w:div>
    <w:div w:id="1686907372">
      <w:bodyDiv w:val="1"/>
      <w:marLeft w:val="0"/>
      <w:marRight w:val="0"/>
      <w:marTop w:val="0"/>
      <w:marBottom w:val="0"/>
      <w:divBdr>
        <w:top w:val="none" w:sz="0" w:space="0" w:color="auto"/>
        <w:left w:val="none" w:sz="0" w:space="0" w:color="auto"/>
        <w:bottom w:val="none" w:sz="0" w:space="0" w:color="auto"/>
        <w:right w:val="none" w:sz="0" w:space="0" w:color="auto"/>
      </w:divBdr>
    </w:div>
    <w:div w:id="1688209774">
      <w:bodyDiv w:val="1"/>
      <w:marLeft w:val="0"/>
      <w:marRight w:val="0"/>
      <w:marTop w:val="0"/>
      <w:marBottom w:val="0"/>
      <w:divBdr>
        <w:top w:val="none" w:sz="0" w:space="0" w:color="auto"/>
        <w:left w:val="none" w:sz="0" w:space="0" w:color="auto"/>
        <w:bottom w:val="none" w:sz="0" w:space="0" w:color="auto"/>
        <w:right w:val="none" w:sz="0" w:space="0" w:color="auto"/>
      </w:divBdr>
    </w:div>
    <w:div w:id="1689796261">
      <w:bodyDiv w:val="1"/>
      <w:marLeft w:val="0"/>
      <w:marRight w:val="0"/>
      <w:marTop w:val="0"/>
      <w:marBottom w:val="0"/>
      <w:divBdr>
        <w:top w:val="none" w:sz="0" w:space="0" w:color="auto"/>
        <w:left w:val="none" w:sz="0" w:space="0" w:color="auto"/>
        <w:bottom w:val="none" w:sz="0" w:space="0" w:color="auto"/>
        <w:right w:val="none" w:sz="0" w:space="0" w:color="auto"/>
      </w:divBdr>
    </w:div>
    <w:div w:id="1694264007">
      <w:bodyDiv w:val="1"/>
      <w:marLeft w:val="0"/>
      <w:marRight w:val="0"/>
      <w:marTop w:val="0"/>
      <w:marBottom w:val="0"/>
      <w:divBdr>
        <w:top w:val="none" w:sz="0" w:space="0" w:color="auto"/>
        <w:left w:val="none" w:sz="0" w:space="0" w:color="auto"/>
        <w:bottom w:val="none" w:sz="0" w:space="0" w:color="auto"/>
        <w:right w:val="none" w:sz="0" w:space="0" w:color="auto"/>
      </w:divBdr>
    </w:div>
    <w:div w:id="1694989186">
      <w:bodyDiv w:val="1"/>
      <w:marLeft w:val="0"/>
      <w:marRight w:val="0"/>
      <w:marTop w:val="0"/>
      <w:marBottom w:val="0"/>
      <w:divBdr>
        <w:top w:val="none" w:sz="0" w:space="0" w:color="auto"/>
        <w:left w:val="none" w:sz="0" w:space="0" w:color="auto"/>
        <w:bottom w:val="none" w:sz="0" w:space="0" w:color="auto"/>
        <w:right w:val="none" w:sz="0" w:space="0" w:color="auto"/>
      </w:divBdr>
    </w:div>
    <w:div w:id="1698388198">
      <w:bodyDiv w:val="1"/>
      <w:marLeft w:val="0"/>
      <w:marRight w:val="0"/>
      <w:marTop w:val="0"/>
      <w:marBottom w:val="0"/>
      <w:divBdr>
        <w:top w:val="none" w:sz="0" w:space="0" w:color="auto"/>
        <w:left w:val="none" w:sz="0" w:space="0" w:color="auto"/>
        <w:bottom w:val="none" w:sz="0" w:space="0" w:color="auto"/>
        <w:right w:val="none" w:sz="0" w:space="0" w:color="auto"/>
      </w:divBdr>
    </w:div>
    <w:div w:id="1700081547">
      <w:bodyDiv w:val="1"/>
      <w:marLeft w:val="0"/>
      <w:marRight w:val="0"/>
      <w:marTop w:val="0"/>
      <w:marBottom w:val="0"/>
      <w:divBdr>
        <w:top w:val="none" w:sz="0" w:space="0" w:color="auto"/>
        <w:left w:val="none" w:sz="0" w:space="0" w:color="auto"/>
        <w:bottom w:val="none" w:sz="0" w:space="0" w:color="auto"/>
        <w:right w:val="none" w:sz="0" w:space="0" w:color="auto"/>
      </w:divBdr>
    </w:div>
    <w:div w:id="1703090756">
      <w:bodyDiv w:val="1"/>
      <w:marLeft w:val="0"/>
      <w:marRight w:val="0"/>
      <w:marTop w:val="0"/>
      <w:marBottom w:val="0"/>
      <w:divBdr>
        <w:top w:val="none" w:sz="0" w:space="0" w:color="auto"/>
        <w:left w:val="none" w:sz="0" w:space="0" w:color="auto"/>
        <w:bottom w:val="none" w:sz="0" w:space="0" w:color="auto"/>
        <w:right w:val="none" w:sz="0" w:space="0" w:color="auto"/>
      </w:divBdr>
    </w:div>
    <w:div w:id="1703480356">
      <w:bodyDiv w:val="1"/>
      <w:marLeft w:val="0"/>
      <w:marRight w:val="0"/>
      <w:marTop w:val="0"/>
      <w:marBottom w:val="0"/>
      <w:divBdr>
        <w:top w:val="none" w:sz="0" w:space="0" w:color="auto"/>
        <w:left w:val="none" w:sz="0" w:space="0" w:color="auto"/>
        <w:bottom w:val="none" w:sz="0" w:space="0" w:color="auto"/>
        <w:right w:val="none" w:sz="0" w:space="0" w:color="auto"/>
      </w:divBdr>
    </w:div>
    <w:div w:id="1706637848">
      <w:bodyDiv w:val="1"/>
      <w:marLeft w:val="0"/>
      <w:marRight w:val="0"/>
      <w:marTop w:val="0"/>
      <w:marBottom w:val="0"/>
      <w:divBdr>
        <w:top w:val="none" w:sz="0" w:space="0" w:color="auto"/>
        <w:left w:val="none" w:sz="0" w:space="0" w:color="auto"/>
        <w:bottom w:val="none" w:sz="0" w:space="0" w:color="auto"/>
        <w:right w:val="none" w:sz="0" w:space="0" w:color="auto"/>
      </w:divBdr>
    </w:div>
    <w:div w:id="1707481156">
      <w:bodyDiv w:val="1"/>
      <w:marLeft w:val="0"/>
      <w:marRight w:val="0"/>
      <w:marTop w:val="0"/>
      <w:marBottom w:val="0"/>
      <w:divBdr>
        <w:top w:val="none" w:sz="0" w:space="0" w:color="auto"/>
        <w:left w:val="none" w:sz="0" w:space="0" w:color="auto"/>
        <w:bottom w:val="none" w:sz="0" w:space="0" w:color="auto"/>
        <w:right w:val="none" w:sz="0" w:space="0" w:color="auto"/>
      </w:divBdr>
    </w:div>
    <w:div w:id="1713073663">
      <w:bodyDiv w:val="1"/>
      <w:marLeft w:val="0"/>
      <w:marRight w:val="0"/>
      <w:marTop w:val="0"/>
      <w:marBottom w:val="0"/>
      <w:divBdr>
        <w:top w:val="none" w:sz="0" w:space="0" w:color="auto"/>
        <w:left w:val="none" w:sz="0" w:space="0" w:color="auto"/>
        <w:bottom w:val="none" w:sz="0" w:space="0" w:color="auto"/>
        <w:right w:val="none" w:sz="0" w:space="0" w:color="auto"/>
      </w:divBdr>
    </w:div>
    <w:div w:id="1718816776">
      <w:bodyDiv w:val="1"/>
      <w:marLeft w:val="0"/>
      <w:marRight w:val="0"/>
      <w:marTop w:val="0"/>
      <w:marBottom w:val="0"/>
      <w:divBdr>
        <w:top w:val="none" w:sz="0" w:space="0" w:color="auto"/>
        <w:left w:val="none" w:sz="0" w:space="0" w:color="auto"/>
        <w:bottom w:val="none" w:sz="0" w:space="0" w:color="auto"/>
        <w:right w:val="none" w:sz="0" w:space="0" w:color="auto"/>
      </w:divBdr>
    </w:div>
    <w:div w:id="1721899418">
      <w:bodyDiv w:val="1"/>
      <w:marLeft w:val="0"/>
      <w:marRight w:val="0"/>
      <w:marTop w:val="0"/>
      <w:marBottom w:val="0"/>
      <w:divBdr>
        <w:top w:val="none" w:sz="0" w:space="0" w:color="auto"/>
        <w:left w:val="none" w:sz="0" w:space="0" w:color="auto"/>
        <w:bottom w:val="none" w:sz="0" w:space="0" w:color="auto"/>
        <w:right w:val="none" w:sz="0" w:space="0" w:color="auto"/>
      </w:divBdr>
    </w:div>
    <w:div w:id="1722900172">
      <w:bodyDiv w:val="1"/>
      <w:marLeft w:val="0"/>
      <w:marRight w:val="0"/>
      <w:marTop w:val="0"/>
      <w:marBottom w:val="0"/>
      <w:divBdr>
        <w:top w:val="none" w:sz="0" w:space="0" w:color="auto"/>
        <w:left w:val="none" w:sz="0" w:space="0" w:color="auto"/>
        <w:bottom w:val="none" w:sz="0" w:space="0" w:color="auto"/>
        <w:right w:val="none" w:sz="0" w:space="0" w:color="auto"/>
      </w:divBdr>
    </w:div>
    <w:div w:id="1731075183">
      <w:bodyDiv w:val="1"/>
      <w:marLeft w:val="0"/>
      <w:marRight w:val="0"/>
      <w:marTop w:val="0"/>
      <w:marBottom w:val="0"/>
      <w:divBdr>
        <w:top w:val="none" w:sz="0" w:space="0" w:color="auto"/>
        <w:left w:val="none" w:sz="0" w:space="0" w:color="auto"/>
        <w:bottom w:val="none" w:sz="0" w:space="0" w:color="auto"/>
        <w:right w:val="none" w:sz="0" w:space="0" w:color="auto"/>
      </w:divBdr>
    </w:div>
    <w:div w:id="1733851061">
      <w:bodyDiv w:val="1"/>
      <w:marLeft w:val="0"/>
      <w:marRight w:val="0"/>
      <w:marTop w:val="0"/>
      <w:marBottom w:val="0"/>
      <w:divBdr>
        <w:top w:val="none" w:sz="0" w:space="0" w:color="auto"/>
        <w:left w:val="none" w:sz="0" w:space="0" w:color="auto"/>
        <w:bottom w:val="none" w:sz="0" w:space="0" w:color="auto"/>
        <w:right w:val="none" w:sz="0" w:space="0" w:color="auto"/>
      </w:divBdr>
    </w:div>
    <w:div w:id="1740516272">
      <w:bodyDiv w:val="1"/>
      <w:marLeft w:val="0"/>
      <w:marRight w:val="0"/>
      <w:marTop w:val="0"/>
      <w:marBottom w:val="0"/>
      <w:divBdr>
        <w:top w:val="none" w:sz="0" w:space="0" w:color="auto"/>
        <w:left w:val="none" w:sz="0" w:space="0" w:color="auto"/>
        <w:bottom w:val="none" w:sz="0" w:space="0" w:color="auto"/>
        <w:right w:val="none" w:sz="0" w:space="0" w:color="auto"/>
      </w:divBdr>
    </w:div>
    <w:div w:id="1745565934">
      <w:bodyDiv w:val="1"/>
      <w:marLeft w:val="0"/>
      <w:marRight w:val="0"/>
      <w:marTop w:val="0"/>
      <w:marBottom w:val="0"/>
      <w:divBdr>
        <w:top w:val="none" w:sz="0" w:space="0" w:color="auto"/>
        <w:left w:val="none" w:sz="0" w:space="0" w:color="auto"/>
        <w:bottom w:val="none" w:sz="0" w:space="0" w:color="auto"/>
        <w:right w:val="none" w:sz="0" w:space="0" w:color="auto"/>
      </w:divBdr>
    </w:div>
    <w:div w:id="1753506826">
      <w:bodyDiv w:val="1"/>
      <w:marLeft w:val="0"/>
      <w:marRight w:val="0"/>
      <w:marTop w:val="0"/>
      <w:marBottom w:val="0"/>
      <w:divBdr>
        <w:top w:val="none" w:sz="0" w:space="0" w:color="auto"/>
        <w:left w:val="none" w:sz="0" w:space="0" w:color="auto"/>
        <w:bottom w:val="none" w:sz="0" w:space="0" w:color="auto"/>
        <w:right w:val="none" w:sz="0" w:space="0" w:color="auto"/>
      </w:divBdr>
    </w:div>
    <w:div w:id="1764572066">
      <w:bodyDiv w:val="1"/>
      <w:marLeft w:val="0"/>
      <w:marRight w:val="0"/>
      <w:marTop w:val="0"/>
      <w:marBottom w:val="0"/>
      <w:divBdr>
        <w:top w:val="none" w:sz="0" w:space="0" w:color="auto"/>
        <w:left w:val="none" w:sz="0" w:space="0" w:color="auto"/>
        <w:bottom w:val="none" w:sz="0" w:space="0" w:color="auto"/>
        <w:right w:val="none" w:sz="0" w:space="0" w:color="auto"/>
      </w:divBdr>
    </w:div>
    <w:div w:id="1766146702">
      <w:bodyDiv w:val="1"/>
      <w:marLeft w:val="0"/>
      <w:marRight w:val="0"/>
      <w:marTop w:val="0"/>
      <w:marBottom w:val="0"/>
      <w:divBdr>
        <w:top w:val="none" w:sz="0" w:space="0" w:color="auto"/>
        <w:left w:val="none" w:sz="0" w:space="0" w:color="auto"/>
        <w:bottom w:val="none" w:sz="0" w:space="0" w:color="auto"/>
        <w:right w:val="none" w:sz="0" w:space="0" w:color="auto"/>
      </w:divBdr>
    </w:div>
    <w:div w:id="1776171415">
      <w:bodyDiv w:val="1"/>
      <w:marLeft w:val="0"/>
      <w:marRight w:val="0"/>
      <w:marTop w:val="0"/>
      <w:marBottom w:val="0"/>
      <w:divBdr>
        <w:top w:val="none" w:sz="0" w:space="0" w:color="auto"/>
        <w:left w:val="none" w:sz="0" w:space="0" w:color="auto"/>
        <w:bottom w:val="none" w:sz="0" w:space="0" w:color="auto"/>
        <w:right w:val="none" w:sz="0" w:space="0" w:color="auto"/>
      </w:divBdr>
    </w:div>
    <w:div w:id="1777673939">
      <w:bodyDiv w:val="1"/>
      <w:marLeft w:val="0"/>
      <w:marRight w:val="0"/>
      <w:marTop w:val="0"/>
      <w:marBottom w:val="0"/>
      <w:divBdr>
        <w:top w:val="none" w:sz="0" w:space="0" w:color="auto"/>
        <w:left w:val="none" w:sz="0" w:space="0" w:color="auto"/>
        <w:bottom w:val="none" w:sz="0" w:space="0" w:color="auto"/>
        <w:right w:val="none" w:sz="0" w:space="0" w:color="auto"/>
      </w:divBdr>
    </w:div>
    <w:div w:id="1779256388">
      <w:bodyDiv w:val="1"/>
      <w:marLeft w:val="0"/>
      <w:marRight w:val="0"/>
      <w:marTop w:val="0"/>
      <w:marBottom w:val="0"/>
      <w:divBdr>
        <w:top w:val="none" w:sz="0" w:space="0" w:color="auto"/>
        <w:left w:val="none" w:sz="0" w:space="0" w:color="auto"/>
        <w:bottom w:val="none" w:sz="0" w:space="0" w:color="auto"/>
        <w:right w:val="none" w:sz="0" w:space="0" w:color="auto"/>
      </w:divBdr>
    </w:div>
    <w:div w:id="1779712486">
      <w:bodyDiv w:val="1"/>
      <w:marLeft w:val="0"/>
      <w:marRight w:val="0"/>
      <w:marTop w:val="0"/>
      <w:marBottom w:val="0"/>
      <w:divBdr>
        <w:top w:val="none" w:sz="0" w:space="0" w:color="auto"/>
        <w:left w:val="none" w:sz="0" w:space="0" w:color="auto"/>
        <w:bottom w:val="none" w:sz="0" w:space="0" w:color="auto"/>
        <w:right w:val="none" w:sz="0" w:space="0" w:color="auto"/>
      </w:divBdr>
    </w:div>
    <w:div w:id="1787459124">
      <w:bodyDiv w:val="1"/>
      <w:marLeft w:val="0"/>
      <w:marRight w:val="0"/>
      <w:marTop w:val="0"/>
      <w:marBottom w:val="0"/>
      <w:divBdr>
        <w:top w:val="none" w:sz="0" w:space="0" w:color="auto"/>
        <w:left w:val="none" w:sz="0" w:space="0" w:color="auto"/>
        <w:bottom w:val="none" w:sz="0" w:space="0" w:color="auto"/>
        <w:right w:val="none" w:sz="0" w:space="0" w:color="auto"/>
      </w:divBdr>
    </w:div>
    <w:div w:id="1794446340">
      <w:bodyDiv w:val="1"/>
      <w:marLeft w:val="0"/>
      <w:marRight w:val="0"/>
      <w:marTop w:val="0"/>
      <w:marBottom w:val="0"/>
      <w:divBdr>
        <w:top w:val="none" w:sz="0" w:space="0" w:color="auto"/>
        <w:left w:val="none" w:sz="0" w:space="0" w:color="auto"/>
        <w:bottom w:val="none" w:sz="0" w:space="0" w:color="auto"/>
        <w:right w:val="none" w:sz="0" w:space="0" w:color="auto"/>
      </w:divBdr>
    </w:div>
    <w:div w:id="1795444539">
      <w:bodyDiv w:val="1"/>
      <w:marLeft w:val="0"/>
      <w:marRight w:val="0"/>
      <w:marTop w:val="0"/>
      <w:marBottom w:val="0"/>
      <w:divBdr>
        <w:top w:val="none" w:sz="0" w:space="0" w:color="auto"/>
        <w:left w:val="none" w:sz="0" w:space="0" w:color="auto"/>
        <w:bottom w:val="none" w:sz="0" w:space="0" w:color="auto"/>
        <w:right w:val="none" w:sz="0" w:space="0" w:color="auto"/>
      </w:divBdr>
    </w:div>
    <w:div w:id="1796752106">
      <w:bodyDiv w:val="1"/>
      <w:marLeft w:val="0"/>
      <w:marRight w:val="0"/>
      <w:marTop w:val="0"/>
      <w:marBottom w:val="0"/>
      <w:divBdr>
        <w:top w:val="none" w:sz="0" w:space="0" w:color="auto"/>
        <w:left w:val="none" w:sz="0" w:space="0" w:color="auto"/>
        <w:bottom w:val="none" w:sz="0" w:space="0" w:color="auto"/>
        <w:right w:val="none" w:sz="0" w:space="0" w:color="auto"/>
      </w:divBdr>
    </w:div>
    <w:div w:id="1805583977">
      <w:bodyDiv w:val="1"/>
      <w:marLeft w:val="0"/>
      <w:marRight w:val="0"/>
      <w:marTop w:val="0"/>
      <w:marBottom w:val="0"/>
      <w:divBdr>
        <w:top w:val="none" w:sz="0" w:space="0" w:color="auto"/>
        <w:left w:val="none" w:sz="0" w:space="0" w:color="auto"/>
        <w:bottom w:val="none" w:sz="0" w:space="0" w:color="auto"/>
        <w:right w:val="none" w:sz="0" w:space="0" w:color="auto"/>
      </w:divBdr>
    </w:div>
    <w:div w:id="1807509022">
      <w:bodyDiv w:val="1"/>
      <w:marLeft w:val="0"/>
      <w:marRight w:val="0"/>
      <w:marTop w:val="0"/>
      <w:marBottom w:val="0"/>
      <w:divBdr>
        <w:top w:val="none" w:sz="0" w:space="0" w:color="auto"/>
        <w:left w:val="none" w:sz="0" w:space="0" w:color="auto"/>
        <w:bottom w:val="none" w:sz="0" w:space="0" w:color="auto"/>
        <w:right w:val="none" w:sz="0" w:space="0" w:color="auto"/>
      </w:divBdr>
    </w:div>
    <w:div w:id="1808014034">
      <w:bodyDiv w:val="1"/>
      <w:marLeft w:val="0"/>
      <w:marRight w:val="0"/>
      <w:marTop w:val="0"/>
      <w:marBottom w:val="0"/>
      <w:divBdr>
        <w:top w:val="none" w:sz="0" w:space="0" w:color="auto"/>
        <w:left w:val="none" w:sz="0" w:space="0" w:color="auto"/>
        <w:bottom w:val="none" w:sz="0" w:space="0" w:color="auto"/>
        <w:right w:val="none" w:sz="0" w:space="0" w:color="auto"/>
      </w:divBdr>
    </w:div>
    <w:div w:id="1811051716">
      <w:bodyDiv w:val="1"/>
      <w:marLeft w:val="0"/>
      <w:marRight w:val="0"/>
      <w:marTop w:val="0"/>
      <w:marBottom w:val="0"/>
      <w:divBdr>
        <w:top w:val="none" w:sz="0" w:space="0" w:color="auto"/>
        <w:left w:val="none" w:sz="0" w:space="0" w:color="auto"/>
        <w:bottom w:val="none" w:sz="0" w:space="0" w:color="auto"/>
        <w:right w:val="none" w:sz="0" w:space="0" w:color="auto"/>
      </w:divBdr>
    </w:div>
    <w:div w:id="1811166328">
      <w:bodyDiv w:val="1"/>
      <w:marLeft w:val="0"/>
      <w:marRight w:val="0"/>
      <w:marTop w:val="0"/>
      <w:marBottom w:val="0"/>
      <w:divBdr>
        <w:top w:val="none" w:sz="0" w:space="0" w:color="auto"/>
        <w:left w:val="none" w:sz="0" w:space="0" w:color="auto"/>
        <w:bottom w:val="none" w:sz="0" w:space="0" w:color="auto"/>
        <w:right w:val="none" w:sz="0" w:space="0" w:color="auto"/>
      </w:divBdr>
    </w:div>
    <w:div w:id="1817259446">
      <w:bodyDiv w:val="1"/>
      <w:marLeft w:val="0"/>
      <w:marRight w:val="0"/>
      <w:marTop w:val="0"/>
      <w:marBottom w:val="0"/>
      <w:divBdr>
        <w:top w:val="none" w:sz="0" w:space="0" w:color="auto"/>
        <w:left w:val="none" w:sz="0" w:space="0" w:color="auto"/>
        <w:bottom w:val="none" w:sz="0" w:space="0" w:color="auto"/>
        <w:right w:val="none" w:sz="0" w:space="0" w:color="auto"/>
      </w:divBdr>
    </w:div>
    <w:div w:id="1822960601">
      <w:bodyDiv w:val="1"/>
      <w:marLeft w:val="0"/>
      <w:marRight w:val="0"/>
      <w:marTop w:val="0"/>
      <w:marBottom w:val="0"/>
      <w:divBdr>
        <w:top w:val="none" w:sz="0" w:space="0" w:color="auto"/>
        <w:left w:val="none" w:sz="0" w:space="0" w:color="auto"/>
        <w:bottom w:val="none" w:sz="0" w:space="0" w:color="auto"/>
        <w:right w:val="none" w:sz="0" w:space="0" w:color="auto"/>
      </w:divBdr>
    </w:div>
    <w:div w:id="1824856713">
      <w:bodyDiv w:val="1"/>
      <w:marLeft w:val="0"/>
      <w:marRight w:val="0"/>
      <w:marTop w:val="0"/>
      <w:marBottom w:val="0"/>
      <w:divBdr>
        <w:top w:val="none" w:sz="0" w:space="0" w:color="auto"/>
        <w:left w:val="none" w:sz="0" w:space="0" w:color="auto"/>
        <w:bottom w:val="none" w:sz="0" w:space="0" w:color="auto"/>
        <w:right w:val="none" w:sz="0" w:space="0" w:color="auto"/>
      </w:divBdr>
    </w:div>
    <w:div w:id="1825972147">
      <w:bodyDiv w:val="1"/>
      <w:marLeft w:val="0"/>
      <w:marRight w:val="0"/>
      <w:marTop w:val="0"/>
      <w:marBottom w:val="0"/>
      <w:divBdr>
        <w:top w:val="none" w:sz="0" w:space="0" w:color="auto"/>
        <w:left w:val="none" w:sz="0" w:space="0" w:color="auto"/>
        <w:bottom w:val="none" w:sz="0" w:space="0" w:color="auto"/>
        <w:right w:val="none" w:sz="0" w:space="0" w:color="auto"/>
      </w:divBdr>
    </w:div>
    <w:div w:id="1829900153">
      <w:bodyDiv w:val="1"/>
      <w:marLeft w:val="0"/>
      <w:marRight w:val="0"/>
      <w:marTop w:val="0"/>
      <w:marBottom w:val="0"/>
      <w:divBdr>
        <w:top w:val="none" w:sz="0" w:space="0" w:color="auto"/>
        <w:left w:val="none" w:sz="0" w:space="0" w:color="auto"/>
        <w:bottom w:val="none" w:sz="0" w:space="0" w:color="auto"/>
        <w:right w:val="none" w:sz="0" w:space="0" w:color="auto"/>
      </w:divBdr>
    </w:div>
    <w:div w:id="1831020257">
      <w:bodyDiv w:val="1"/>
      <w:marLeft w:val="0"/>
      <w:marRight w:val="0"/>
      <w:marTop w:val="0"/>
      <w:marBottom w:val="0"/>
      <w:divBdr>
        <w:top w:val="none" w:sz="0" w:space="0" w:color="auto"/>
        <w:left w:val="none" w:sz="0" w:space="0" w:color="auto"/>
        <w:bottom w:val="none" w:sz="0" w:space="0" w:color="auto"/>
        <w:right w:val="none" w:sz="0" w:space="0" w:color="auto"/>
      </w:divBdr>
    </w:div>
    <w:div w:id="1839493274">
      <w:bodyDiv w:val="1"/>
      <w:marLeft w:val="0"/>
      <w:marRight w:val="0"/>
      <w:marTop w:val="0"/>
      <w:marBottom w:val="0"/>
      <w:divBdr>
        <w:top w:val="none" w:sz="0" w:space="0" w:color="auto"/>
        <w:left w:val="none" w:sz="0" w:space="0" w:color="auto"/>
        <w:bottom w:val="none" w:sz="0" w:space="0" w:color="auto"/>
        <w:right w:val="none" w:sz="0" w:space="0" w:color="auto"/>
      </w:divBdr>
    </w:div>
    <w:div w:id="1848472506">
      <w:bodyDiv w:val="1"/>
      <w:marLeft w:val="0"/>
      <w:marRight w:val="0"/>
      <w:marTop w:val="0"/>
      <w:marBottom w:val="0"/>
      <w:divBdr>
        <w:top w:val="none" w:sz="0" w:space="0" w:color="auto"/>
        <w:left w:val="none" w:sz="0" w:space="0" w:color="auto"/>
        <w:bottom w:val="none" w:sz="0" w:space="0" w:color="auto"/>
        <w:right w:val="none" w:sz="0" w:space="0" w:color="auto"/>
      </w:divBdr>
    </w:div>
    <w:div w:id="1848785982">
      <w:bodyDiv w:val="1"/>
      <w:marLeft w:val="0"/>
      <w:marRight w:val="0"/>
      <w:marTop w:val="0"/>
      <w:marBottom w:val="0"/>
      <w:divBdr>
        <w:top w:val="none" w:sz="0" w:space="0" w:color="auto"/>
        <w:left w:val="none" w:sz="0" w:space="0" w:color="auto"/>
        <w:bottom w:val="none" w:sz="0" w:space="0" w:color="auto"/>
        <w:right w:val="none" w:sz="0" w:space="0" w:color="auto"/>
      </w:divBdr>
    </w:div>
    <w:div w:id="1853495638">
      <w:bodyDiv w:val="1"/>
      <w:marLeft w:val="0"/>
      <w:marRight w:val="0"/>
      <w:marTop w:val="0"/>
      <w:marBottom w:val="0"/>
      <w:divBdr>
        <w:top w:val="none" w:sz="0" w:space="0" w:color="auto"/>
        <w:left w:val="none" w:sz="0" w:space="0" w:color="auto"/>
        <w:bottom w:val="none" w:sz="0" w:space="0" w:color="auto"/>
        <w:right w:val="none" w:sz="0" w:space="0" w:color="auto"/>
      </w:divBdr>
    </w:div>
    <w:div w:id="1854493750">
      <w:bodyDiv w:val="1"/>
      <w:marLeft w:val="0"/>
      <w:marRight w:val="0"/>
      <w:marTop w:val="0"/>
      <w:marBottom w:val="0"/>
      <w:divBdr>
        <w:top w:val="none" w:sz="0" w:space="0" w:color="auto"/>
        <w:left w:val="none" w:sz="0" w:space="0" w:color="auto"/>
        <w:bottom w:val="none" w:sz="0" w:space="0" w:color="auto"/>
        <w:right w:val="none" w:sz="0" w:space="0" w:color="auto"/>
      </w:divBdr>
    </w:div>
    <w:div w:id="1856962910">
      <w:bodyDiv w:val="1"/>
      <w:marLeft w:val="0"/>
      <w:marRight w:val="0"/>
      <w:marTop w:val="0"/>
      <w:marBottom w:val="0"/>
      <w:divBdr>
        <w:top w:val="none" w:sz="0" w:space="0" w:color="auto"/>
        <w:left w:val="none" w:sz="0" w:space="0" w:color="auto"/>
        <w:bottom w:val="none" w:sz="0" w:space="0" w:color="auto"/>
        <w:right w:val="none" w:sz="0" w:space="0" w:color="auto"/>
      </w:divBdr>
    </w:div>
    <w:div w:id="1878202578">
      <w:bodyDiv w:val="1"/>
      <w:marLeft w:val="0"/>
      <w:marRight w:val="0"/>
      <w:marTop w:val="0"/>
      <w:marBottom w:val="0"/>
      <w:divBdr>
        <w:top w:val="none" w:sz="0" w:space="0" w:color="auto"/>
        <w:left w:val="none" w:sz="0" w:space="0" w:color="auto"/>
        <w:bottom w:val="none" w:sz="0" w:space="0" w:color="auto"/>
        <w:right w:val="none" w:sz="0" w:space="0" w:color="auto"/>
      </w:divBdr>
    </w:div>
    <w:div w:id="1884249101">
      <w:bodyDiv w:val="1"/>
      <w:marLeft w:val="0"/>
      <w:marRight w:val="0"/>
      <w:marTop w:val="0"/>
      <w:marBottom w:val="0"/>
      <w:divBdr>
        <w:top w:val="none" w:sz="0" w:space="0" w:color="auto"/>
        <w:left w:val="none" w:sz="0" w:space="0" w:color="auto"/>
        <w:bottom w:val="none" w:sz="0" w:space="0" w:color="auto"/>
        <w:right w:val="none" w:sz="0" w:space="0" w:color="auto"/>
      </w:divBdr>
    </w:div>
    <w:div w:id="1884780603">
      <w:bodyDiv w:val="1"/>
      <w:marLeft w:val="0"/>
      <w:marRight w:val="0"/>
      <w:marTop w:val="0"/>
      <w:marBottom w:val="0"/>
      <w:divBdr>
        <w:top w:val="none" w:sz="0" w:space="0" w:color="auto"/>
        <w:left w:val="none" w:sz="0" w:space="0" w:color="auto"/>
        <w:bottom w:val="none" w:sz="0" w:space="0" w:color="auto"/>
        <w:right w:val="none" w:sz="0" w:space="0" w:color="auto"/>
      </w:divBdr>
    </w:div>
    <w:div w:id="1893224340">
      <w:bodyDiv w:val="1"/>
      <w:marLeft w:val="0"/>
      <w:marRight w:val="0"/>
      <w:marTop w:val="0"/>
      <w:marBottom w:val="0"/>
      <w:divBdr>
        <w:top w:val="none" w:sz="0" w:space="0" w:color="auto"/>
        <w:left w:val="none" w:sz="0" w:space="0" w:color="auto"/>
        <w:bottom w:val="none" w:sz="0" w:space="0" w:color="auto"/>
        <w:right w:val="none" w:sz="0" w:space="0" w:color="auto"/>
      </w:divBdr>
    </w:div>
    <w:div w:id="1895196033">
      <w:bodyDiv w:val="1"/>
      <w:marLeft w:val="0"/>
      <w:marRight w:val="0"/>
      <w:marTop w:val="0"/>
      <w:marBottom w:val="0"/>
      <w:divBdr>
        <w:top w:val="none" w:sz="0" w:space="0" w:color="auto"/>
        <w:left w:val="none" w:sz="0" w:space="0" w:color="auto"/>
        <w:bottom w:val="none" w:sz="0" w:space="0" w:color="auto"/>
        <w:right w:val="none" w:sz="0" w:space="0" w:color="auto"/>
      </w:divBdr>
    </w:div>
    <w:div w:id="1898586205">
      <w:bodyDiv w:val="1"/>
      <w:marLeft w:val="0"/>
      <w:marRight w:val="0"/>
      <w:marTop w:val="0"/>
      <w:marBottom w:val="0"/>
      <w:divBdr>
        <w:top w:val="none" w:sz="0" w:space="0" w:color="auto"/>
        <w:left w:val="none" w:sz="0" w:space="0" w:color="auto"/>
        <w:bottom w:val="none" w:sz="0" w:space="0" w:color="auto"/>
        <w:right w:val="none" w:sz="0" w:space="0" w:color="auto"/>
      </w:divBdr>
    </w:div>
    <w:div w:id="1900287278">
      <w:bodyDiv w:val="1"/>
      <w:marLeft w:val="0"/>
      <w:marRight w:val="0"/>
      <w:marTop w:val="0"/>
      <w:marBottom w:val="0"/>
      <w:divBdr>
        <w:top w:val="none" w:sz="0" w:space="0" w:color="auto"/>
        <w:left w:val="none" w:sz="0" w:space="0" w:color="auto"/>
        <w:bottom w:val="none" w:sz="0" w:space="0" w:color="auto"/>
        <w:right w:val="none" w:sz="0" w:space="0" w:color="auto"/>
      </w:divBdr>
    </w:div>
    <w:div w:id="1906330042">
      <w:bodyDiv w:val="1"/>
      <w:marLeft w:val="0"/>
      <w:marRight w:val="0"/>
      <w:marTop w:val="0"/>
      <w:marBottom w:val="0"/>
      <w:divBdr>
        <w:top w:val="none" w:sz="0" w:space="0" w:color="auto"/>
        <w:left w:val="none" w:sz="0" w:space="0" w:color="auto"/>
        <w:bottom w:val="none" w:sz="0" w:space="0" w:color="auto"/>
        <w:right w:val="none" w:sz="0" w:space="0" w:color="auto"/>
      </w:divBdr>
    </w:div>
    <w:div w:id="1907454418">
      <w:bodyDiv w:val="1"/>
      <w:marLeft w:val="0"/>
      <w:marRight w:val="0"/>
      <w:marTop w:val="0"/>
      <w:marBottom w:val="0"/>
      <w:divBdr>
        <w:top w:val="none" w:sz="0" w:space="0" w:color="auto"/>
        <w:left w:val="none" w:sz="0" w:space="0" w:color="auto"/>
        <w:bottom w:val="none" w:sz="0" w:space="0" w:color="auto"/>
        <w:right w:val="none" w:sz="0" w:space="0" w:color="auto"/>
      </w:divBdr>
    </w:div>
    <w:div w:id="1909532491">
      <w:bodyDiv w:val="1"/>
      <w:marLeft w:val="0"/>
      <w:marRight w:val="0"/>
      <w:marTop w:val="0"/>
      <w:marBottom w:val="0"/>
      <w:divBdr>
        <w:top w:val="none" w:sz="0" w:space="0" w:color="auto"/>
        <w:left w:val="none" w:sz="0" w:space="0" w:color="auto"/>
        <w:bottom w:val="none" w:sz="0" w:space="0" w:color="auto"/>
        <w:right w:val="none" w:sz="0" w:space="0" w:color="auto"/>
      </w:divBdr>
    </w:div>
    <w:div w:id="1924485244">
      <w:bodyDiv w:val="1"/>
      <w:marLeft w:val="0"/>
      <w:marRight w:val="0"/>
      <w:marTop w:val="0"/>
      <w:marBottom w:val="0"/>
      <w:divBdr>
        <w:top w:val="none" w:sz="0" w:space="0" w:color="auto"/>
        <w:left w:val="none" w:sz="0" w:space="0" w:color="auto"/>
        <w:bottom w:val="none" w:sz="0" w:space="0" w:color="auto"/>
        <w:right w:val="none" w:sz="0" w:space="0" w:color="auto"/>
      </w:divBdr>
    </w:div>
    <w:div w:id="1926648029">
      <w:bodyDiv w:val="1"/>
      <w:marLeft w:val="0"/>
      <w:marRight w:val="0"/>
      <w:marTop w:val="0"/>
      <w:marBottom w:val="0"/>
      <w:divBdr>
        <w:top w:val="none" w:sz="0" w:space="0" w:color="auto"/>
        <w:left w:val="none" w:sz="0" w:space="0" w:color="auto"/>
        <w:bottom w:val="none" w:sz="0" w:space="0" w:color="auto"/>
        <w:right w:val="none" w:sz="0" w:space="0" w:color="auto"/>
      </w:divBdr>
    </w:div>
    <w:div w:id="1936089815">
      <w:bodyDiv w:val="1"/>
      <w:marLeft w:val="0"/>
      <w:marRight w:val="0"/>
      <w:marTop w:val="0"/>
      <w:marBottom w:val="0"/>
      <w:divBdr>
        <w:top w:val="none" w:sz="0" w:space="0" w:color="auto"/>
        <w:left w:val="none" w:sz="0" w:space="0" w:color="auto"/>
        <w:bottom w:val="none" w:sz="0" w:space="0" w:color="auto"/>
        <w:right w:val="none" w:sz="0" w:space="0" w:color="auto"/>
      </w:divBdr>
    </w:div>
    <w:div w:id="1947420603">
      <w:bodyDiv w:val="1"/>
      <w:marLeft w:val="0"/>
      <w:marRight w:val="0"/>
      <w:marTop w:val="0"/>
      <w:marBottom w:val="0"/>
      <w:divBdr>
        <w:top w:val="none" w:sz="0" w:space="0" w:color="auto"/>
        <w:left w:val="none" w:sz="0" w:space="0" w:color="auto"/>
        <w:bottom w:val="none" w:sz="0" w:space="0" w:color="auto"/>
        <w:right w:val="none" w:sz="0" w:space="0" w:color="auto"/>
      </w:divBdr>
    </w:div>
    <w:div w:id="1957134021">
      <w:bodyDiv w:val="1"/>
      <w:marLeft w:val="0"/>
      <w:marRight w:val="0"/>
      <w:marTop w:val="0"/>
      <w:marBottom w:val="0"/>
      <w:divBdr>
        <w:top w:val="none" w:sz="0" w:space="0" w:color="auto"/>
        <w:left w:val="none" w:sz="0" w:space="0" w:color="auto"/>
        <w:bottom w:val="none" w:sz="0" w:space="0" w:color="auto"/>
        <w:right w:val="none" w:sz="0" w:space="0" w:color="auto"/>
      </w:divBdr>
    </w:div>
    <w:div w:id="1971856858">
      <w:bodyDiv w:val="1"/>
      <w:marLeft w:val="0"/>
      <w:marRight w:val="0"/>
      <w:marTop w:val="0"/>
      <w:marBottom w:val="0"/>
      <w:divBdr>
        <w:top w:val="none" w:sz="0" w:space="0" w:color="auto"/>
        <w:left w:val="none" w:sz="0" w:space="0" w:color="auto"/>
        <w:bottom w:val="none" w:sz="0" w:space="0" w:color="auto"/>
        <w:right w:val="none" w:sz="0" w:space="0" w:color="auto"/>
      </w:divBdr>
    </w:div>
    <w:div w:id="1977179476">
      <w:bodyDiv w:val="1"/>
      <w:marLeft w:val="0"/>
      <w:marRight w:val="0"/>
      <w:marTop w:val="0"/>
      <w:marBottom w:val="0"/>
      <w:divBdr>
        <w:top w:val="none" w:sz="0" w:space="0" w:color="auto"/>
        <w:left w:val="none" w:sz="0" w:space="0" w:color="auto"/>
        <w:bottom w:val="none" w:sz="0" w:space="0" w:color="auto"/>
        <w:right w:val="none" w:sz="0" w:space="0" w:color="auto"/>
      </w:divBdr>
    </w:div>
    <w:div w:id="1977880036">
      <w:bodyDiv w:val="1"/>
      <w:marLeft w:val="0"/>
      <w:marRight w:val="0"/>
      <w:marTop w:val="0"/>
      <w:marBottom w:val="0"/>
      <w:divBdr>
        <w:top w:val="none" w:sz="0" w:space="0" w:color="auto"/>
        <w:left w:val="none" w:sz="0" w:space="0" w:color="auto"/>
        <w:bottom w:val="none" w:sz="0" w:space="0" w:color="auto"/>
        <w:right w:val="none" w:sz="0" w:space="0" w:color="auto"/>
      </w:divBdr>
    </w:div>
    <w:div w:id="1978299807">
      <w:bodyDiv w:val="1"/>
      <w:marLeft w:val="0"/>
      <w:marRight w:val="0"/>
      <w:marTop w:val="0"/>
      <w:marBottom w:val="0"/>
      <w:divBdr>
        <w:top w:val="none" w:sz="0" w:space="0" w:color="auto"/>
        <w:left w:val="none" w:sz="0" w:space="0" w:color="auto"/>
        <w:bottom w:val="none" w:sz="0" w:space="0" w:color="auto"/>
        <w:right w:val="none" w:sz="0" w:space="0" w:color="auto"/>
      </w:divBdr>
    </w:div>
    <w:div w:id="1980650491">
      <w:bodyDiv w:val="1"/>
      <w:marLeft w:val="0"/>
      <w:marRight w:val="0"/>
      <w:marTop w:val="0"/>
      <w:marBottom w:val="0"/>
      <w:divBdr>
        <w:top w:val="none" w:sz="0" w:space="0" w:color="auto"/>
        <w:left w:val="none" w:sz="0" w:space="0" w:color="auto"/>
        <w:bottom w:val="none" w:sz="0" w:space="0" w:color="auto"/>
        <w:right w:val="none" w:sz="0" w:space="0" w:color="auto"/>
      </w:divBdr>
    </w:div>
    <w:div w:id="1986662343">
      <w:bodyDiv w:val="1"/>
      <w:marLeft w:val="0"/>
      <w:marRight w:val="0"/>
      <w:marTop w:val="0"/>
      <w:marBottom w:val="0"/>
      <w:divBdr>
        <w:top w:val="none" w:sz="0" w:space="0" w:color="auto"/>
        <w:left w:val="none" w:sz="0" w:space="0" w:color="auto"/>
        <w:bottom w:val="none" w:sz="0" w:space="0" w:color="auto"/>
        <w:right w:val="none" w:sz="0" w:space="0" w:color="auto"/>
      </w:divBdr>
      <w:divsChild>
        <w:div w:id="927664579">
          <w:marLeft w:val="706"/>
          <w:marRight w:val="0"/>
          <w:marTop w:val="96"/>
          <w:marBottom w:val="144"/>
          <w:divBdr>
            <w:top w:val="none" w:sz="0" w:space="0" w:color="auto"/>
            <w:left w:val="none" w:sz="0" w:space="0" w:color="auto"/>
            <w:bottom w:val="none" w:sz="0" w:space="0" w:color="auto"/>
            <w:right w:val="none" w:sz="0" w:space="0" w:color="auto"/>
          </w:divBdr>
        </w:div>
        <w:div w:id="1900821119">
          <w:marLeft w:val="706"/>
          <w:marRight w:val="0"/>
          <w:marTop w:val="96"/>
          <w:marBottom w:val="144"/>
          <w:divBdr>
            <w:top w:val="none" w:sz="0" w:space="0" w:color="auto"/>
            <w:left w:val="none" w:sz="0" w:space="0" w:color="auto"/>
            <w:bottom w:val="none" w:sz="0" w:space="0" w:color="auto"/>
            <w:right w:val="none" w:sz="0" w:space="0" w:color="auto"/>
          </w:divBdr>
        </w:div>
      </w:divsChild>
    </w:div>
    <w:div w:id="1989745108">
      <w:bodyDiv w:val="1"/>
      <w:marLeft w:val="0"/>
      <w:marRight w:val="0"/>
      <w:marTop w:val="0"/>
      <w:marBottom w:val="0"/>
      <w:divBdr>
        <w:top w:val="none" w:sz="0" w:space="0" w:color="auto"/>
        <w:left w:val="none" w:sz="0" w:space="0" w:color="auto"/>
        <w:bottom w:val="none" w:sz="0" w:space="0" w:color="auto"/>
        <w:right w:val="none" w:sz="0" w:space="0" w:color="auto"/>
      </w:divBdr>
    </w:div>
    <w:div w:id="1990092552">
      <w:bodyDiv w:val="1"/>
      <w:marLeft w:val="0"/>
      <w:marRight w:val="0"/>
      <w:marTop w:val="0"/>
      <w:marBottom w:val="0"/>
      <w:divBdr>
        <w:top w:val="none" w:sz="0" w:space="0" w:color="auto"/>
        <w:left w:val="none" w:sz="0" w:space="0" w:color="auto"/>
        <w:bottom w:val="none" w:sz="0" w:space="0" w:color="auto"/>
        <w:right w:val="none" w:sz="0" w:space="0" w:color="auto"/>
      </w:divBdr>
    </w:div>
    <w:div w:id="2009628119">
      <w:bodyDiv w:val="1"/>
      <w:marLeft w:val="0"/>
      <w:marRight w:val="0"/>
      <w:marTop w:val="0"/>
      <w:marBottom w:val="0"/>
      <w:divBdr>
        <w:top w:val="none" w:sz="0" w:space="0" w:color="auto"/>
        <w:left w:val="none" w:sz="0" w:space="0" w:color="auto"/>
        <w:bottom w:val="none" w:sz="0" w:space="0" w:color="auto"/>
        <w:right w:val="none" w:sz="0" w:space="0" w:color="auto"/>
      </w:divBdr>
    </w:div>
    <w:div w:id="2015716970">
      <w:bodyDiv w:val="1"/>
      <w:marLeft w:val="0"/>
      <w:marRight w:val="0"/>
      <w:marTop w:val="0"/>
      <w:marBottom w:val="0"/>
      <w:divBdr>
        <w:top w:val="none" w:sz="0" w:space="0" w:color="auto"/>
        <w:left w:val="none" w:sz="0" w:space="0" w:color="auto"/>
        <w:bottom w:val="none" w:sz="0" w:space="0" w:color="auto"/>
        <w:right w:val="none" w:sz="0" w:space="0" w:color="auto"/>
      </w:divBdr>
    </w:div>
    <w:div w:id="2015758884">
      <w:bodyDiv w:val="1"/>
      <w:marLeft w:val="0"/>
      <w:marRight w:val="0"/>
      <w:marTop w:val="0"/>
      <w:marBottom w:val="0"/>
      <w:divBdr>
        <w:top w:val="none" w:sz="0" w:space="0" w:color="auto"/>
        <w:left w:val="none" w:sz="0" w:space="0" w:color="auto"/>
        <w:bottom w:val="none" w:sz="0" w:space="0" w:color="auto"/>
        <w:right w:val="none" w:sz="0" w:space="0" w:color="auto"/>
      </w:divBdr>
    </w:div>
    <w:div w:id="2016418427">
      <w:bodyDiv w:val="1"/>
      <w:marLeft w:val="0"/>
      <w:marRight w:val="0"/>
      <w:marTop w:val="0"/>
      <w:marBottom w:val="0"/>
      <w:divBdr>
        <w:top w:val="none" w:sz="0" w:space="0" w:color="auto"/>
        <w:left w:val="none" w:sz="0" w:space="0" w:color="auto"/>
        <w:bottom w:val="none" w:sz="0" w:space="0" w:color="auto"/>
        <w:right w:val="none" w:sz="0" w:space="0" w:color="auto"/>
      </w:divBdr>
    </w:div>
    <w:div w:id="2020542288">
      <w:bodyDiv w:val="1"/>
      <w:marLeft w:val="0"/>
      <w:marRight w:val="0"/>
      <w:marTop w:val="0"/>
      <w:marBottom w:val="0"/>
      <w:divBdr>
        <w:top w:val="none" w:sz="0" w:space="0" w:color="auto"/>
        <w:left w:val="none" w:sz="0" w:space="0" w:color="auto"/>
        <w:bottom w:val="none" w:sz="0" w:space="0" w:color="auto"/>
        <w:right w:val="none" w:sz="0" w:space="0" w:color="auto"/>
      </w:divBdr>
    </w:div>
    <w:div w:id="2026243932">
      <w:bodyDiv w:val="1"/>
      <w:marLeft w:val="0"/>
      <w:marRight w:val="0"/>
      <w:marTop w:val="0"/>
      <w:marBottom w:val="0"/>
      <w:divBdr>
        <w:top w:val="none" w:sz="0" w:space="0" w:color="auto"/>
        <w:left w:val="none" w:sz="0" w:space="0" w:color="auto"/>
        <w:bottom w:val="none" w:sz="0" w:space="0" w:color="auto"/>
        <w:right w:val="none" w:sz="0" w:space="0" w:color="auto"/>
      </w:divBdr>
    </w:div>
    <w:div w:id="2029519633">
      <w:bodyDiv w:val="1"/>
      <w:marLeft w:val="0"/>
      <w:marRight w:val="0"/>
      <w:marTop w:val="0"/>
      <w:marBottom w:val="0"/>
      <w:divBdr>
        <w:top w:val="none" w:sz="0" w:space="0" w:color="auto"/>
        <w:left w:val="none" w:sz="0" w:space="0" w:color="auto"/>
        <w:bottom w:val="none" w:sz="0" w:space="0" w:color="auto"/>
        <w:right w:val="none" w:sz="0" w:space="0" w:color="auto"/>
      </w:divBdr>
    </w:div>
    <w:div w:id="2029524240">
      <w:bodyDiv w:val="1"/>
      <w:marLeft w:val="0"/>
      <w:marRight w:val="0"/>
      <w:marTop w:val="0"/>
      <w:marBottom w:val="0"/>
      <w:divBdr>
        <w:top w:val="none" w:sz="0" w:space="0" w:color="auto"/>
        <w:left w:val="none" w:sz="0" w:space="0" w:color="auto"/>
        <w:bottom w:val="none" w:sz="0" w:space="0" w:color="auto"/>
        <w:right w:val="none" w:sz="0" w:space="0" w:color="auto"/>
      </w:divBdr>
    </w:div>
    <w:div w:id="2031908591">
      <w:bodyDiv w:val="1"/>
      <w:marLeft w:val="0"/>
      <w:marRight w:val="0"/>
      <w:marTop w:val="0"/>
      <w:marBottom w:val="0"/>
      <w:divBdr>
        <w:top w:val="none" w:sz="0" w:space="0" w:color="auto"/>
        <w:left w:val="none" w:sz="0" w:space="0" w:color="auto"/>
        <w:bottom w:val="none" w:sz="0" w:space="0" w:color="auto"/>
        <w:right w:val="none" w:sz="0" w:space="0" w:color="auto"/>
      </w:divBdr>
    </w:div>
    <w:div w:id="2038236205">
      <w:bodyDiv w:val="1"/>
      <w:marLeft w:val="0"/>
      <w:marRight w:val="0"/>
      <w:marTop w:val="0"/>
      <w:marBottom w:val="0"/>
      <w:divBdr>
        <w:top w:val="none" w:sz="0" w:space="0" w:color="auto"/>
        <w:left w:val="none" w:sz="0" w:space="0" w:color="auto"/>
        <w:bottom w:val="none" w:sz="0" w:space="0" w:color="auto"/>
        <w:right w:val="none" w:sz="0" w:space="0" w:color="auto"/>
      </w:divBdr>
    </w:div>
    <w:div w:id="2044405612">
      <w:bodyDiv w:val="1"/>
      <w:marLeft w:val="0"/>
      <w:marRight w:val="0"/>
      <w:marTop w:val="0"/>
      <w:marBottom w:val="0"/>
      <w:divBdr>
        <w:top w:val="none" w:sz="0" w:space="0" w:color="auto"/>
        <w:left w:val="none" w:sz="0" w:space="0" w:color="auto"/>
        <w:bottom w:val="none" w:sz="0" w:space="0" w:color="auto"/>
        <w:right w:val="none" w:sz="0" w:space="0" w:color="auto"/>
      </w:divBdr>
    </w:div>
    <w:div w:id="2044745538">
      <w:bodyDiv w:val="1"/>
      <w:marLeft w:val="0"/>
      <w:marRight w:val="0"/>
      <w:marTop w:val="0"/>
      <w:marBottom w:val="0"/>
      <w:divBdr>
        <w:top w:val="none" w:sz="0" w:space="0" w:color="auto"/>
        <w:left w:val="none" w:sz="0" w:space="0" w:color="auto"/>
        <w:bottom w:val="none" w:sz="0" w:space="0" w:color="auto"/>
        <w:right w:val="none" w:sz="0" w:space="0" w:color="auto"/>
      </w:divBdr>
    </w:div>
    <w:div w:id="2045133738">
      <w:bodyDiv w:val="1"/>
      <w:marLeft w:val="0"/>
      <w:marRight w:val="0"/>
      <w:marTop w:val="0"/>
      <w:marBottom w:val="0"/>
      <w:divBdr>
        <w:top w:val="none" w:sz="0" w:space="0" w:color="auto"/>
        <w:left w:val="none" w:sz="0" w:space="0" w:color="auto"/>
        <w:bottom w:val="none" w:sz="0" w:space="0" w:color="auto"/>
        <w:right w:val="none" w:sz="0" w:space="0" w:color="auto"/>
      </w:divBdr>
    </w:div>
    <w:div w:id="2049333677">
      <w:bodyDiv w:val="1"/>
      <w:marLeft w:val="0"/>
      <w:marRight w:val="0"/>
      <w:marTop w:val="0"/>
      <w:marBottom w:val="0"/>
      <w:divBdr>
        <w:top w:val="none" w:sz="0" w:space="0" w:color="auto"/>
        <w:left w:val="none" w:sz="0" w:space="0" w:color="auto"/>
        <w:bottom w:val="none" w:sz="0" w:space="0" w:color="auto"/>
        <w:right w:val="none" w:sz="0" w:space="0" w:color="auto"/>
      </w:divBdr>
    </w:div>
    <w:div w:id="2053654838">
      <w:bodyDiv w:val="1"/>
      <w:marLeft w:val="0"/>
      <w:marRight w:val="0"/>
      <w:marTop w:val="0"/>
      <w:marBottom w:val="0"/>
      <w:divBdr>
        <w:top w:val="none" w:sz="0" w:space="0" w:color="auto"/>
        <w:left w:val="none" w:sz="0" w:space="0" w:color="auto"/>
        <w:bottom w:val="none" w:sz="0" w:space="0" w:color="auto"/>
        <w:right w:val="none" w:sz="0" w:space="0" w:color="auto"/>
      </w:divBdr>
    </w:div>
    <w:div w:id="2056813291">
      <w:bodyDiv w:val="1"/>
      <w:marLeft w:val="0"/>
      <w:marRight w:val="0"/>
      <w:marTop w:val="0"/>
      <w:marBottom w:val="0"/>
      <w:divBdr>
        <w:top w:val="none" w:sz="0" w:space="0" w:color="auto"/>
        <w:left w:val="none" w:sz="0" w:space="0" w:color="auto"/>
        <w:bottom w:val="none" w:sz="0" w:space="0" w:color="auto"/>
        <w:right w:val="none" w:sz="0" w:space="0" w:color="auto"/>
      </w:divBdr>
    </w:div>
    <w:div w:id="2058699011">
      <w:bodyDiv w:val="1"/>
      <w:marLeft w:val="0"/>
      <w:marRight w:val="0"/>
      <w:marTop w:val="0"/>
      <w:marBottom w:val="0"/>
      <w:divBdr>
        <w:top w:val="none" w:sz="0" w:space="0" w:color="auto"/>
        <w:left w:val="none" w:sz="0" w:space="0" w:color="auto"/>
        <w:bottom w:val="none" w:sz="0" w:space="0" w:color="auto"/>
        <w:right w:val="none" w:sz="0" w:space="0" w:color="auto"/>
      </w:divBdr>
    </w:div>
    <w:div w:id="2059160288">
      <w:bodyDiv w:val="1"/>
      <w:marLeft w:val="0"/>
      <w:marRight w:val="0"/>
      <w:marTop w:val="0"/>
      <w:marBottom w:val="0"/>
      <w:divBdr>
        <w:top w:val="none" w:sz="0" w:space="0" w:color="auto"/>
        <w:left w:val="none" w:sz="0" w:space="0" w:color="auto"/>
        <w:bottom w:val="none" w:sz="0" w:space="0" w:color="auto"/>
        <w:right w:val="none" w:sz="0" w:space="0" w:color="auto"/>
      </w:divBdr>
    </w:div>
    <w:div w:id="2063864826">
      <w:bodyDiv w:val="1"/>
      <w:marLeft w:val="0"/>
      <w:marRight w:val="0"/>
      <w:marTop w:val="0"/>
      <w:marBottom w:val="0"/>
      <w:divBdr>
        <w:top w:val="none" w:sz="0" w:space="0" w:color="auto"/>
        <w:left w:val="none" w:sz="0" w:space="0" w:color="auto"/>
        <w:bottom w:val="none" w:sz="0" w:space="0" w:color="auto"/>
        <w:right w:val="none" w:sz="0" w:space="0" w:color="auto"/>
      </w:divBdr>
    </w:div>
    <w:div w:id="2064983762">
      <w:bodyDiv w:val="1"/>
      <w:marLeft w:val="0"/>
      <w:marRight w:val="0"/>
      <w:marTop w:val="0"/>
      <w:marBottom w:val="0"/>
      <w:divBdr>
        <w:top w:val="none" w:sz="0" w:space="0" w:color="auto"/>
        <w:left w:val="none" w:sz="0" w:space="0" w:color="auto"/>
        <w:bottom w:val="none" w:sz="0" w:space="0" w:color="auto"/>
        <w:right w:val="none" w:sz="0" w:space="0" w:color="auto"/>
      </w:divBdr>
    </w:div>
    <w:div w:id="2065445146">
      <w:bodyDiv w:val="1"/>
      <w:marLeft w:val="0"/>
      <w:marRight w:val="0"/>
      <w:marTop w:val="0"/>
      <w:marBottom w:val="0"/>
      <w:divBdr>
        <w:top w:val="none" w:sz="0" w:space="0" w:color="auto"/>
        <w:left w:val="none" w:sz="0" w:space="0" w:color="auto"/>
        <w:bottom w:val="none" w:sz="0" w:space="0" w:color="auto"/>
        <w:right w:val="none" w:sz="0" w:space="0" w:color="auto"/>
      </w:divBdr>
    </w:div>
    <w:div w:id="2074967015">
      <w:bodyDiv w:val="1"/>
      <w:marLeft w:val="0"/>
      <w:marRight w:val="0"/>
      <w:marTop w:val="0"/>
      <w:marBottom w:val="0"/>
      <w:divBdr>
        <w:top w:val="none" w:sz="0" w:space="0" w:color="auto"/>
        <w:left w:val="none" w:sz="0" w:space="0" w:color="auto"/>
        <w:bottom w:val="none" w:sz="0" w:space="0" w:color="auto"/>
        <w:right w:val="none" w:sz="0" w:space="0" w:color="auto"/>
      </w:divBdr>
    </w:div>
    <w:div w:id="2076320630">
      <w:bodyDiv w:val="1"/>
      <w:marLeft w:val="0"/>
      <w:marRight w:val="0"/>
      <w:marTop w:val="0"/>
      <w:marBottom w:val="0"/>
      <w:divBdr>
        <w:top w:val="none" w:sz="0" w:space="0" w:color="auto"/>
        <w:left w:val="none" w:sz="0" w:space="0" w:color="auto"/>
        <w:bottom w:val="none" w:sz="0" w:space="0" w:color="auto"/>
        <w:right w:val="none" w:sz="0" w:space="0" w:color="auto"/>
      </w:divBdr>
    </w:div>
    <w:div w:id="2078045707">
      <w:bodyDiv w:val="1"/>
      <w:marLeft w:val="0"/>
      <w:marRight w:val="0"/>
      <w:marTop w:val="0"/>
      <w:marBottom w:val="0"/>
      <w:divBdr>
        <w:top w:val="none" w:sz="0" w:space="0" w:color="auto"/>
        <w:left w:val="none" w:sz="0" w:space="0" w:color="auto"/>
        <w:bottom w:val="none" w:sz="0" w:space="0" w:color="auto"/>
        <w:right w:val="none" w:sz="0" w:space="0" w:color="auto"/>
      </w:divBdr>
    </w:div>
    <w:div w:id="2082872390">
      <w:bodyDiv w:val="1"/>
      <w:marLeft w:val="0"/>
      <w:marRight w:val="0"/>
      <w:marTop w:val="0"/>
      <w:marBottom w:val="0"/>
      <w:divBdr>
        <w:top w:val="none" w:sz="0" w:space="0" w:color="auto"/>
        <w:left w:val="none" w:sz="0" w:space="0" w:color="auto"/>
        <w:bottom w:val="none" w:sz="0" w:space="0" w:color="auto"/>
        <w:right w:val="none" w:sz="0" w:space="0" w:color="auto"/>
      </w:divBdr>
    </w:div>
    <w:div w:id="2083020713">
      <w:bodyDiv w:val="1"/>
      <w:marLeft w:val="0"/>
      <w:marRight w:val="0"/>
      <w:marTop w:val="0"/>
      <w:marBottom w:val="0"/>
      <w:divBdr>
        <w:top w:val="none" w:sz="0" w:space="0" w:color="auto"/>
        <w:left w:val="none" w:sz="0" w:space="0" w:color="auto"/>
        <w:bottom w:val="none" w:sz="0" w:space="0" w:color="auto"/>
        <w:right w:val="none" w:sz="0" w:space="0" w:color="auto"/>
      </w:divBdr>
    </w:div>
    <w:div w:id="2087994177">
      <w:bodyDiv w:val="1"/>
      <w:marLeft w:val="0"/>
      <w:marRight w:val="0"/>
      <w:marTop w:val="0"/>
      <w:marBottom w:val="0"/>
      <w:divBdr>
        <w:top w:val="none" w:sz="0" w:space="0" w:color="auto"/>
        <w:left w:val="none" w:sz="0" w:space="0" w:color="auto"/>
        <w:bottom w:val="none" w:sz="0" w:space="0" w:color="auto"/>
        <w:right w:val="none" w:sz="0" w:space="0" w:color="auto"/>
      </w:divBdr>
    </w:div>
    <w:div w:id="2089420786">
      <w:bodyDiv w:val="1"/>
      <w:marLeft w:val="0"/>
      <w:marRight w:val="0"/>
      <w:marTop w:val="0"/>
      <w:marBottom w:val="0"/>
      <w:divBdr>
        <w:top w:val="none" w:sz="0" w:space="0" w:color="auto"/>
        <w:left w:val="none" w:sz="0" w:space="0" w:color="auto"/>
        <w:bottom w:val="none" w:sz="0" w:space="0" w:color="auto"/>
        <w:right w:val="none" w:sz="0" w:space="0" w:color="auto"/>
      </w:divBdr>
    </w:div>
    <w:div w:id="2089495102">
      <w:bodyDiv w:val="1"/>
      <w:marLeft w:val="0"/>
      <w:marRight w:val="0"/>
      <w:marTop w:val="0"/>
      <w:marBottom w:val="0"/>
      <w:divBdr>
        <w:top w:val="none" w:sz="0" w:space="0" w:color="auto"/>
        <w:left w:val="none" w:sz="0" w:space="0" w:color="auto"/>
        <w:bottom w:val="none" w:sz="0" w:space="0" w:color="auto"/>
        <w:right w:val="none" w:sz="0" w:space="0" w:color="auto"/>
      </w:divBdr>
    </w:div>
    <w:div w:id="2096314930">
      <w:bodyDiv w:val="1"/>
      <w:marLeft w:val="0"/>
      <w:marRight w:val="0"/>
      <w:marTop w:val="0"/>
      <w:marBottom w:val="0"/>
      <w:divBdr>
        <w:top w:val="none" w:sz="0" w:space="0" w:color="auto"/>
        <w:left w:val="none" w:sz="0" w:space="0" w:color="auto"/>
        <w:bottom w:val="none" w:sz="0" w:space="0" w:color="auto"/>
        <w:right w:val="none" w:sz="0" w:space="0" w:color="auto"/>
      </w:divBdr>
    </w:div>
    <w:div w:id="2107380149">
      <w:bodyDiv w:val="1"/>
      <w:marLeft w:val="0"/>
      <w:marRight w:val="0"/>
      <w:marTop w:val="0"/>
      <w:marBottom w:val="0"/>
      <w:divBdr>
        <w:top w:val="none" w:sz="0" w:space="0" w:color="auto"/>
        <w:left w:val="none" w:sz="0" w:space="0" w:color="auto"/>
        <w:bottom w:val="none" w:sz="0" w:space="0" w:color="auto"/>
        <w:right w:val="none" w:sz="0" w:space="0" w:color="auto"/>
      </w:divBdr>
    </w:div>
    <w:div w:id="2111197590">
      <w:bodyDiv w:val="1"/>
      <w:marLeft w:val="0"/>
      <w:marRight w:val="0"/>
      <w:marTop w:val="0"/>
      <w:marBottom w:val="0"/>
      <w:divBdr>
        <w:top w:val="none" w:sz="0" w:space="0" w:color="auto"/>
        <w:left w:val="none" w:sz="0" w:space="0" w:color="auto"/>
        <w:bottom w:val="none" w:sz="0" w:space="0" w:color="auto"/>
        <w:right w:val="none" w:sz="0" w:space="0" w:color="auto"/>
      </w:divBdr>
    </w:div>
    <w:div w:id="2113236266">
      <w:bodyDiv w:val="1"/>
      <w:marLeft w:val="0"/>
      <w:marRight w:val="0"/>
      <w:marTop w:val="0"/>
      <w:marBottom w:val="0"/>
      <w:divBdr>
        <w:top w:val="none" w:sz="0" w:space="0" w:color="auto"/>
        <w:left w:val="none" w:sz="0" w:space="0" w:color="auto"/>
        <w:bottom w:val="none" w:sz="0" w:space="0" w:color="auto"/>
        <w:right w:val="none" w:sz="0" w:space="0" w:color="auto"/>
      </w:divBdr>
    </w:div>
    <w:div w:id="2113428994">
      <w:bodyDiv w:val="1"/>
      <w:marLeft w:val="0"/>
      <w:marRight w:val="0"/>
      <w:marTop w:val="0"/>
      <w:marBottom w:val="0"/>
      <w:divBdr>
        <w:top w:val="none" w:sz="0" w:space="0" w:color="auto"/>
        <w:left w:val="none" w:sz="0" w:space="0" w:color="auto"/>
        <w:bottom w:val="none" w:sz="0" w:space="0" w:color="auto"/>
        <w:right w:val="none" w:sz="0" w:space="0" w:color="auto"/>
      </w:divBdr>
    </w:div>
    <w:div w:id="2117170094">
      <w:bodyDiv w:val="1"/>
      <w:marLeft w:val="0"/>
      <w:marRight w:val="0"/>
      <w:marTop w:val="0"/>
      <w:marBottom w:val="0"/>
      <w:divBdr>
        <w:top w:val="none" w:sz="0" w:space="0" w:color="auto"/>
        <w:left w:val="none" w:sz="0" w:space="0" w:color="auto"/>
        <w:bottom w:val="none" w:sz="0" w:space="0" w:color="auto"/>
        <w:right w:val="none" w:sz="0" w:space="0" w:color="auto"/>
      </w:divBdr>
    </w:div>
    <w:div w:id="2117361222">
      <w:bodyDiv w:val="1"/>
      <w:marLeft w:val="0"/>
      <w:marRight w:val="0"/>
      <w:marTop w:val="0"/>
      <w:marBottom w:val="0"/>
      <w:divBdr>
        <w:top w:val="none" w:sz="0" w:space="0" w:color="auto"/>
        <w:left w:val="none" w:sz="0" w:space="0" w:color="auto"/>
        <w:bottom w:val="none" w:sz="0" w:space="0" w:color="auto"/>
        <w:right w:val="none" w:sz="0" w:space="0" w:color="auto"/>
      </w:divBdr>
    </w:div>
    <w:div w:id="2121608418">
      <w:bodyDiv w:val="1"/>
      <w:marLeft w:val="0"/>
      <w:marRight w:val="0"/>
      <w:marTop w:val="0"/>
      <w:marBottom w:val="0"/>
      <w:divBdr>
        <w:top w:val="none" w:sz="0" w:space="0" w:color="auto"/>
        <w:left w:val="none" w:sz="0" w:space="0" w:color="auto"/>
        <w:bottom w:val="none" w:sz="0" w:space="0" w:color="auto"/>
        <w:right w:val="none" w:sz="0" w:space="0" w:color="auto"/>
      </w:divBdr>
    </w:div>
    <w:div w:id="2145076757">
      <w:bodyDiv w:val="1"/>
      <w:marLeft w:val="0"/>
      <w:marRight w:val="0"/>
      <w:marTop w:val="0"/>
      <w:marBottom w:val="0"/>
      <w:divBdr>
        <w:top w:val="none" w:sz="0" w:space="0" w:color="auto"/>
        <w:left w:val="none" w:sz="0" w:space="0" w:color="auto"/>
        <w:bottom w:val="none" w:sz="0" w:space="0" w:color="auto"/>
        <w:right w:val="none" w:sz="0" w:space="0" w:color="auto"/>
      </w:divBdr>
    </w:div>
    <w:div w:id="2145417874">
      <w:bodyDiv w:val="1"/>
      <w:marLeft w:val="0"/>
      <w:marRight w:val="0"/>
      <w:marTop w:val="0"/>
      <w:marBottom w:val="0"/>
      <w:divBdr>
        <w:top w:val="none" w:sz="0" w:space="0" w:color="auto"/>
        <w:left w:val="none" w:sz="0" w:space="0" w:color="auto"/>
        <w:bottom w:val="none" w:sz="0" w:space="0" w:color="auto"/>
        <w:right w:val="none" w:sz="0" w:space="0" w:color="auto"/>
      </w:divBdr>
    </w:div>
    <w:div w:id="2146922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21" Type="http://schemas.openxmlformats.org/officeDocument/2006/relationships/footer" Target="footer4.xml"/><Relationship Id="rId42" Type="http://schemas.openxmlformats.org/officeDocument/2006/relationships/header" Target="header17.xml"/><Relationship Id="rId47" Type="http://schemas.openxmlformats.org/officeDocument/2006/relationships/header" Target="header19.xml"/><Relationship Id="rId63" Type="http://schemas.openxmlformats.org/officeDocument/2006/relationships/header" Target="header29.xm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emf"/><Relationship Id="rId11" Type="http://schemas.openxmlformats.org/officeDocument/2006/relationships/header" Target="header3.xml"/><Relationship Id="rId24" Type="http://schemas.openxmlformats.org/officeDocument/2006/relationships/chart" Target="charts/chart3.xml"/><Relationship Id="rId32" Type="http://schemas.openxmlformats.org/officeDocument/2006/relationships/header" Target="header13.xml"/><Relationship Id="rId37" Type="http://schemas.openxmlformats.org/officeDocument/2006/relationships/chart" Target="charts/chart11.xml"/><Relationship Id="rId40" Type="http://schemas.openxmlformats.org/officeDocument/2006/relationships/chart" Target="charts/chart12.xml"/><Relationship Id="rId45" Type="http://schemas.openxmlformats.org/officeDocument/2006/relationships/hyperlink" Target="https://www.internationalbudget.org/open-budget-survey/open-budget-index-rankings/" TargetMode="External"/><Relationship Id="rId53" Type="http://schemas.openxmlformats.org/officeDocument/2006/relationships/header" Target="header24.xml"/><Relationship Id="rId58" Type="http://schemas.openxmlformats.org/officeDocument/2006/relationships/header" Target="header26.xml"/><Relationship Id="rId66" Type="http://schemas.openxmlformats.org/officeDocument/2006/relationships/image" Target="media/image4.emf"/><Relationship Id="rId5" Type="http://schemas.openxmlformats.org/officeDocument/2006/relationships/settings" Target="settings.xml"/><Relationship Id="rId61" Type="http://schemas.openxmlformats.org/officeDocument/2006/relationships/header" Target="header27.xml"/><Relationship Id="rId19" Type="http://schemas.openxmlformats.org/officeDocument/2006/relationships/header" Target="header7.xml"/><Relationship Id="rId14" Type="http://schemas.openxmlformats.org/officeDocument/2006/relationships/header" Target="header6.xml"/><Relationship Id="rId22" Type="http://schemas.openxmlformats.org/officeDocument/2006/relationships/header" Target="header9.xml"/><Relationship Id="rId27" Type="http://schemas.openxmlformats.org/officeDocument/2006/relationships/chart" Target="charts/chart5.xml"/><Relationship Id="rId30" Type="http://schemas.openxmlformats.org/officeDocument/2006/relationships/header" Target="header11.xml"/><Relationship Id="rId35" Type="http://schemas.openxmlformats.org/officeDocument/2006/relationships/chart" Target="charts/chart9.xml"/><Relationship Id="rId43" Type="http://schemas.openxmlformats.org/officeDocument/2006/relationships/chart" Target="charts/chart13.xml"/><Relationship Id="rId48" Type="http://schemas.openxmlformats.org/officeDocument/2006/relationships/header" Target="header20.xml"/><Relationship Id="rId56" Type="http://schemas.openxmlformats.org/officeDocument/2006/relationships/chart" Target="charts/chart15.xml"/><Relationship Id="rId64" Type="http://schemas.openxmlformats.org/officeDocument/2006/relationships/image" Target="media/image2.emf"/><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22.xml"/><Relationship Id="rId3" Type="http://schemas.openxmlformats.org/officeDocument/2006/relationships/numbering" Target="numbering.xml"/><Relationship Id="rId12" Type="http://schemas.openxmlformats.org/officeDocument/2006/relationships/header" Target="header4.xml"/><Relationship Id="rId17" Type="http://schemas.openxmlformats.org/officeDocument/2006/relationships/footer" Target="footer3.xml"/><Relationship Id="rId25" Type="http://schemas.openxmlformats.org/officeDocument/2006/relationships/chart" Target="charts/chart4.xml"/><Relationship Id="rId33" Type="http://schemas.openxmlformats.org/officeDocument/2006/relationships/chart" Target="charts/chart7.xml"/><Relationship Id="rId38" Type="http://schemas.openxmlformats.org/officeDocument/2006/relationships/header" Target="header14.xml"/><Relationship Id="rId46" Type="http://schemas.openxmlformats.org/officeDocument/2006/relationships/header" Target="header18.xml"/><Relationship Id="rId59" Type="http://schemas.openxmlformats.org/officeDocument/2006/relationships/chart" Target="charts/chart16.xml"/><Relationship Id="rId67" Type="http://schemas.openxmlformats.org/officeDocument/2006/relationships/image" Target="media/image5.emf"/><Relationship Id="rId20" Type="http://schemas.openxmlformats.org/officeDocument/2006/relationships/header" Target="header8.xml"/><Relationship Id="rId41" Type="http://schemas.openxmlformats.org/officeDocument/2006/relationships/header" Target="header16.xml"/><Relationship Id="rId54" Type="http://schemas.openxmlformats.org/officeDocument/2006/relationships/chart" Target="charts/chart14.xml"/><Relationship Id="rId62" Type="http://schemas.openxmlformats.org/officeDocument/2006/relationships/header" Target="header28.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chart" Target="charts/chart2.xml"/><Relationship Id="rId28" Type="http://schemas.openxmlformats.org/officeDocument/2006/relationships/chart" Target="charts/chart6.xml"/><Relationship Id="rId36" Type="http://schemas.openxmlformats.org/officeDocument/2006/relationships/chart" Target="charts/chart10.xml"/><Relationship Id="rId49" Type="http://schemas.openxmlformats.org/officeDocument/2006/relationships/header" Target="header21.xml"/><Relationship Id="rId57" Type="http://schemas.openxmlformats.org/officeDocument/2006/relationships/hyperlink" Target="file:///C:\Users\GNikolova\Downloads\Desktop\&#1056;&#1072;&#1079;&#1088;&#1072;&#1073;-&#1085;&#1077;%20&#1085;&#1072;%20&#1047;&#1044;&#1041;&#1056;&#1041;-2018\0-&#1056;&#1072;&#1079;&#1088;&#1072;&#1073;&#1086;&#1090;&#1074;&#1072;&#1085;&#1077;%20&#1085;&#1072;%20&#1047;&#1044;&#1041;&#1056;&#1041;-2018\5-&#1058;&#1040;&#1041;&#1051;&#1048;&#1062;&#1048;-&#1040;&#1057;&#1041;&#1055;-2018-2020\Tables-Doklad.xlsx" TargetMode="Externa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hyperlink" Target="https://ec.europa.eu/info/publications/fiscal-rules-database_en" TargetMode="External"/><Relationship Id="rId52" Type="http://schemas.openxmlformats.org/officeDocument/2006/relationships/header" Target="header23.xml"/><Relationship Id="rId60" Type="http://schemas.openxmlformats.org/officeDocument/2006/relationships/chart" Target="charts/chart17.xml"/><Relationship Id="rId65" Type="http://schemas.openxmlformats.org/officeDocument/2006/relationships/image" Target="media/image3.emf"/><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header" Target="header5.xml"/><Relationship Id="rId18" Type="http://schemas.openxmlformats.org/officeDocument/2006/relationships/chart" Target="charts/chart1.xml"/><Relationship Id="rId39" Type="http://schemas.openxmlformats.org/officeDocument/2006/relationships/header" Target="header15.xml"/><Relationship Id="rId34" Type="http://schemas.openxmlformats.org/officeDocument/2006/relationships/chart" Target="charts/chart8.xml"/><Relationship Id="rId50" Type="http://schemas.openxmlformats.org/officeDocument/2006/relationships/footer" Target="footer5.xml"/><Relationship Id="rId55" Type="http://schemas.openxmlformats.org/officeDocument/2006/relationships/header" Target="header25.xml"/></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BG/ALL/?uri=CELEX:32011L0085"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1" Type="http://schemas.openxmlformats.org/officeDocument/2006/relationships/oleObject" Target="../embeddings/oleObject4.bin"/></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9.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2.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6604772229558263E-2"/>
          <c:y val="7.9669653362295229E-2"/>
          <c:w val="0.89441174627116138"/>
          <c:h val="0.68655624943433791"/>
        </c:manualLayout>
      </c:layout>
      <c:lineChart>
        <c:grouping val="standard"/>
        <c:varyColors val="0"/>
        <c:ser>
          <c:idx val="0"/>
          <c:order val="0"/>
          <c:tx>
            <c:v>ЕС 28</c:v>
          </c:tx>
          <c:spPr>
            <a:ln w="25400"/>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A108-4B42-835B-CD4BD07F4459}"/>
                </c:ext>
              </c:extLst>
            </c:dLbl>
            <c:dLbl>
              <c:idx val="1"/>
              <c:layout>
                <c:manualLayout>
                  <c:x val="0.45854570995526966"/>
                  <c:y val="7.5763060737739682E-2"/>
                </c:manualLayout>
              </c:layout>
              <c:tx>
                <c:rich>
                  <a:bodyPr/>
                  <a:lstStyle/>
                  <a:p>
                    <a:pPr>
                      <a:defRPr sz="1200">
                        <a:latin typeface="Times New Roman" panose="02020603050405020304" pitchFamily="18" charset="0"/>
                        <a:cs typeface="Times New Roman" panose="02020603050405020304" pitchFamily="18" charset="0"/>
                      </a:defRPr>
                    </a:pPr>
                    <a:r>
                      <a:rPr lang="bg-BG" sz="1200" b="1">
                        <a:solidFill>
                          <a:schemeClr val="accent1"/>
                        </a:solidFill>
                        <a:latin typeface="Times New Roman" panose="02020603050405020304" pitchFamily="18" charset="0"/>
                        <a:cs typeface="Times New Roman" panose="02020603050405020304" pitchFamily="18" charset="0"/>
                      </a:rPr>
                      <a:t>ЕС 28</a:t>
                    </a:r>
                    <a:endParaRPr lang="bg-BG" sz="1200">
                      <a:latin typeface="Times New Roman" panose="02020603050405020304" pitchFamily="18" charset="0"/>
                      <a:cs typeface="Times New Roman" panose="02020603050405020304" pitchFamily="18" charset="0"/>
                    </a:endParaRPr>
                  </a:p>
                </c:rich>
              </c:tx>
              <c:spPr/>
              <c:dLblPos val="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108-4B42-835B-CD4BD07F4459}"/>
                </c:ext>
              </c:extLst>
            </c:dLbl>
            <c:dLbl>
              <c:idx val="2"/>
              <c:delete val="1"/>
              <c:extLst>
                <c:ext xmlns:c15="http://schemas.microsoft.com/office/drawing/2012/chart" uri="{CE6537A1-D6FC-4f65-9D91-7224C49458BB}"/>
                <c:ext xmlns:c16="http://schemas.microsoft.com/office/drawing/2014/chart" uri="{C3380CC4-5D6E-409C-BE32-E72D297353CC}">
                  <c16:uniqueId val="{00000002-A108-4B42-835B-CD4BD07F4459}"/>
                </c:ext>
              </c:extLst>
            </c:dLbl>
            <c:dLbl>
              <c:idx val="3"/>
              <c:delete val="1"/>
              <c:extLst>
                <c:ext xmlns:c15="http://schemas.microsoft.com/office/drawing/2012/chart" uri="{CE6537A1-D6FC-4f65-9D91-7224C49458BB}"/>
                <c:ext xmlns:c16="http://schemas.microsoft.com/office/drawing/2014/chart" uri="{C3380CC4-5D6E-409C-BE32-E72D297353CC}">
                  <c16:uniqueId val="{00000003-A108-4B42-835B-CD4BD07F4459}"/>
                </c:ext>
              </c:extLst>
            </c:dLbl>
            <c:dLbl>
              <c:idx val="4"/>
              <c:delete val="1"/>
              <c:extLst>
                <c:ext xmlns:c15="http://schemas.microsoft.com/office/drawing/2012/chart" uri="{CE6537A1-D6FC-4f65-9D91-7224C49458BB}"/>
                <c:ext xmlns:c16="http://schemas.microsoft.com/office/drawing/2014/chart" uri="{C3380CC4-5D6E-409C-BE32-E72D297353CC}">
                  <c16:uniqueId val="{00000004-A108-4B42-835B-CD4BD07F4459}"/>
                </c:ext>
              </c:extLst>
            </c:dLbl>
            <c:dLbl>
              <c:idx val="5"/>
              <c:delete val="1"/>
              <c:extLst>
                <c:ext xmlns:c15="http://schemas.microsoft.com/office/drawing/2012/chart" uri="{CE6537A1-D6FC-4f65-9D91-7224C49458BB}"/>
                <c:ext xmlns:c16="http://schemas.microsoft.com/office/drawing/2014/chart" uri="{C3380CC4-5D6E-409C-BE32-E72D297353CC}">
                  <c16:uniqueId val="{00000005-A108-4B42-835B-CD4BD07F4459}"/>
                </c:ext>
              </c:extLst>
            </c:dLbl>
            <c:dLbl>
              <c:idx val="6"/>
              <c:delete val="1"/>
              <c:extLst>
                <c:ext xmlns:c15="http://schemas.microsoft.com/office/drawing/2012/chart" uri="{CE6537A1-D6FC-4f65-9D91-7224C49458BB}"/>
                <c:ext xmlns:c16="http://schemas.microsoft.com/office/drawing/2014/chart" uri="{C3380CC4-5D6E-409C-BE32-E72D297353CC}">
                  <c16:uniqueId val="{00000006-A108-4B42-835B-CD4BD07F4459}"/>
                </c:ext>
              </c:extLst>
            </c:dLbl>
            <c:dLbl>
              <c:idx val="7"/>
              <c:delete val="1"/>
              <c:extLst>
                <c:ext xmlns:c15="http://schemas.microsoft.com/office/drawing/2012/chart" uri="{CE6537A1-D6FC-4f65-9D91-7224C49458BB}"/>
                <c:ext xmlns:c16="http://schemas.microsoft.com/office/drawing/2014/chart" uri="{C3380CC4-5D6E-409C-BE32-E72D297353CC}">
                  <c16:uniqueId val="{00000007-A108-4B42-835B-CD4BD07F4459}"/>
                </c:ext>
              </c:extLst>
            </c:dLbl>
            <c:dLbl>
              <c:idx val="8"/>
              <c:delete val="1"/>
              <c:extLst>
                <c:ext xmlns:c15="http://schemas.microsoft.com/office/drawing/2012/chart" uri="{CE6537A1-D6FC-4f65-9D91-7224C49458BB}"/>
                <c:ext xmlns:c16="http://schemas.microsoft.com/office/drawing/2014/chart" uri="{C3380CC4-5D6E-409C-BE32-E72D297353CC}">
                  <c16:uniqueId val="{00000008-A108-4B42-835B-CD4BD07F4459}"/>
                </c:ext>
              </c:extLst>
            </c:dLbl>
            <c:dLbl>
              <c:idx val="9"/>
              <c:delete val="1"/>
              <c:extLst>
                <c:ext xmlns:c15="http://schemas.microsoft.com/office/drawing/2012/chart" uri="{CE6537A1-D6FC-4f65-9D91-7224C49458BB}"/>
                <c:ext xmlns:c16="http://schemas.microsoft.com/office/drawing/2014/chart" uri="{C3380CC4-5D6E-409C-BE32-E72D297353CC}">
                  <c16:uniqueId val="{00000009-A108-4B42-835B-CD4BD07F4459}"/>
                </c:ext>
              </c:extLst>
            </c:dLbl>
            <c:dLbl>
              <c:idx val="10"/>
              <c:delete val="1"/>
              <c:extLst>
                <c:ext xmlns:c15="http://schemas.microsoft.com/office/drawing/2012/chart" uri="{CE6537A1-D6FC-4f65-9D91-7224C49458BB}"/>
                <c:ext xmlns:c16="http://schemas.microsoft.com/office/drawing/2014/chart" uri="{C3380CC4-5D6E-409C-BE32-E72D297353CC}">
                  <c16:uniqueId val="{0000000A-A108-4B42-835B-CD4BD07F4459}"/>
                </c:ext>
              </c:extLst>
            </c:dLbl>
            <c:dLbl>
              <c:idx val="11"/>
              <c:delete val="1"/>
              <c:extLst>
                <c:ext xmlns:c15="http://schemas.microsoft.com/office/drawing/2012/chart" uri="{CE6537A1-D6FC-4f65-9D91-7224C49458BB}"/>
                <c:ext xmlns:c16="http://schemas.microsoft.com/office/drawing/2014/chart" uri="{C3380CC4-5D6E-409C-BE32-E72D297353CC}">
                  <c16:uniqueId val="{0000000B-A108-4B42-835B-CD4BD07F4459}"/>
                </c:ext>
              </c:extLst>
            </c:dLbl>
            <c:spPr>
              <a:noFill/>
              <a:ln>
                <a:noFill/>
              </a:ln>
              <a:effectLst/>
            </c:spPr>
            <c:txPr>
              <a:bodyPr wrap="square" lIns="38100" tIns="19050" rIns="38100" bIns="19050" anchor="ctr">
                <a:spAutoFit/>
              </a:bodyPr>
              <a:lstStyle/>
              <a:p>
                <a:pPr>
                  <a:defRPr sz="1200">
                    <a:latin typeface="Times New Roman" panose="02020603050405020304" pitchFamily="18" charset="0"/>
                    <a:cs typeface="Times New Roman" panose="02020603050405020304" pitchFamily="18" charset="0"/>
                  </a:defRPr>
                </a:pPr>
                <a:endParaRPr lang="bg-BG"/>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Data!$B$18:$K$19</c:f>
              <c:multiLvlStrCache>
                <c:ptCount val="10"/>
                <c:lvl>
                  <c:pt idx="0">
                    <c:v>I</c:v>
                  </c:pt>
                  <c:pt idx="1">
                    <c:v>II</c:v>
                  </c:pt>
                  <c:pt idx="2">
                    <c:v>III</c:v>
                  </c:pt>
                  <c:pt idx="3">
                    <c:v>IV</c:v>
                  </c:pt>
                  <c:pt idx="4">
                    <c:v>I</c:v>
                  </c:pt>
                  <c:pt idx="5">
                    <c:v>II</c:v>
                  </c:pt>
                  <c:pt idx="6">
                    <c:v>III</c:v>
                  </c:pt>
                  <c:pt idx="7">
                    <c:v>IV</c:v>
                  </c:pt>
                  <c:pt idx="8">
                    <c:v>I</c:v>
                  </c:pt>
                  <c:pt idx="9">
                    <c:v>II</c:v>
                  </c:pt>
                </c:lvl>
                <c:lvl>
                  <c:pt idx="0">
                    <c:v>2017</c:v>
                  </c:pt>
                  <c:pt idx="4">
                    <c:v>2018</c:v>
                  </c:pt>
                  <c:pt idx="8">
                    <c:v>2019</c:v>
                  </c:pt>
                </c:lvl>
              </c:multiLvlStrCache>
            </c:multiLvlStrRef>
          </c:cat>
          <c:val>
            <c:numRef>
              <c:f>Data!$B$20:$K$20</c:f>
              <c:numCache>
                <c:formatCode>#\ ##0.0</c:formatCode>
                <c:ptCount val="10"/>
                <c:pt idx="0">
                  <c:v>2.2999999999999998</c:v>
                </c:pt>
                <c:pt idx="1">
                  <c:v>2.6</c:v>
                </c:pt>
                <c:pt idx="2">
                  <c:v>2.9</c:v>
                </c:pt>
                <c:pt idx="3">
                  <c:v>2.8</c:v>
                </c:pt>
                <c:pt idx="4">
                  <c:v>2.5</c:v>
                </c:pt>
                <c:pt idx="5">
                  <c:v>2.2999999999999998</c:v>
                </c:pt>
                <c:pt idx="6">
                  <c:v>1.9</c:v>
                </c:pt>
                <c:pt idx="7">
                  <c:v>1.5</c:v>
                </c:pt>
                <c:pt idx="8">
                  <c:v>1.6</c:v>
                </c:pt>
                <c:pt idx="9">
                  <c:v>1.4</c:v>
                </c:pt>
              </c:numCache>
            </c:numRef>
          </c:val>
          <c:smooth val="0"/>
          <c:extLst>
            <c:ext xmlns:c16="http://schemas.microsoft.com/office/drawing/2014/chart" uri="{C3380CC4-5D6E-409C-BE32-E72D297353CC}">
              <c16:uniqueId val="{0000000C-A108-4B42-835B-CD4BD07F4459}"/>
            </c:ext>
          </c:extLst>
        </c:ser>
        <c:ser>
          <c:idx val="1"/>
          <c:order val="1"/>
          <c:tx>
            <c:v>еврозона</c:v>
          </c:tx>
          <c:spPr>
            <a:ln w="25400">
              <a:prstDash val="dash"/>
            </a:ln>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D-A108-4B42-835B-CD4BD07F4459}"/>
                </c:ext>
              </c:extLst>
            </c:dLbl>
            <c:dLbl>
              <c:idx val="1"/>
              <c:delete val="1"/>
              <c:extLst>
                <c:ext xmlns:c15="http://schemas.microsoft.com/office/drawing/2012/chart" uri="{CE6537A1-D6FC-4f65-9D91-7224C49458BB}"/>
                <c:ext xmlns:c16="http://schemas.microsoft.com/office/drawing/2014/chart" uri="{C3380CC4-5D6E-409C-BE32-E72D297353CC}">
                  <c16:uniqueId val="{0000000E-A108-4B42-835B-CD4BD07F4459}"/>
                </c:ext>
              </c:extLst>
            </c:dLbl>
            <c:dLbl>
              <c:idx val="2"/>
              <c:delete val="1"/>
              <c:extLst>
                <c:ext xmlns:c15="http://schemas.microsoft.com/office/drawing/2012/chart" uri="{CE6537A1-D6FC-4f65-9D91-7224C49458BB}"/>
                <c:ext xmlns:c16="http://schemas.microsoft.com/office/drawing/2014/chart" uri="{C3380CC4-5D6E-409C-BE32-E72D297353CC}">
                  <c16:uniqueId val="{0000000F-A108-4B42-835B-CD4BD07F4459}"/>
                </c:ext>
              </c:extLst>
            </c:dLbl>
            <c:dLbl>
              <c:idx val="3"/>
              <c:delete val="1"/>
              <c:extLst>
                <c:ext xmlns:c15="http://schemas.microsoft.com/office/drawing/2012/chart" uri="{CE6537A1-D6FC-4f65-9D91-7224C49458BB}"/>
                <c:ext xmlns:c16="http://schemas.microsoft.com/office/drawing/2014/chart" uri="{C3380CC4-5D6E-409C-BE32-E72D297353CC}">
                  <c16:uniqueId val="{00000010-A108-4B42-835B-CD4BD07F4459}"/>
                </c:ext>
              </c:extLst>
            </c:dLbl>
            <c:dLbl>
              <c:idx val="4"/>
              <c:layout>
                <c:manualLayout>
                  <c:x val="0.10378273138392913"/>
                  <c:y val="0.30315200226527689"/>
                </c:manualLayout>
              </c:layout>
              <c:tx>
                <c:rich>
                  <a:bodyPr/>
                  <a:lstStyle/>
                  <a:p>
                    <a:pPr>
                      <a:defRPr sz="1200">
                        <a:latin typeface="Times New Roman" panose="02020603050405020304" pitchFamily="18" charset="0"/>
                        <a:cs typeface="Times New Roman" panose="02020603050405020304" pitchFamily="18" charset="0"/>
                      </a:defRPr>
                    </a:pPr>
                    <a:r>
                      <a:rPr lang="bg-BG" sz="1200" b="1">
                        <a:solidFill>
                          <a:schemeClr val="accent2"/>
                        </a:solidFill>
                        <a:latin typeface="Times New Roman" panose="02020603050405020304" pitchFamily="18" charset="0"/>
                        <a:cs typeface="Times New Roman" panose="02020603050405020304" pitchFamily="18" charset="0"/>
                      </a:rPr>
                      <a:t>еврозона</a:t>
                    </a:r>
                    <a:endParaRPr lang="bg-BG" sz="1200">
                      <a:latin typeface="Times New Roman" panose="02020603050405020304" pitchFamily="18" charset="0"/>
                      <a:cs typeface="Times New Roman" panose="02020603050405020304" pitchFamily="18" charset="0"/>
                    </a:endParaRPr>
                  </a:p>
                </c:rich>
              </c:tx>
              <c:spPr/>
              <c:dLblPos val="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A108-4B42-835B-CD4BD07F4459}"/>
                </c:ext>
              </c:extLst>
            </c:dLbl>
            <c:dLbl>
              <c:idx val="5"/>
              <c:delete val="1"/>
              <c:extLst>
                <c:ext xmlns:c15="http://schemas.microsoft.com/office/drawing/2012/chart" uri="{CE6537A1-D6FC-4f65-9D91-7224C49458BB}"/>
                <c:ext xmlns:c16="http://schemas.microsoft.com/office/drawing/2014/chart" uri="{C3380CC4-5D6E-409C-BE32-E72D297353CC}">
                  <c16:uniqueId val="{00000012-A108-4B42-835B-CD4BD07F4459}"/>
                </c:ext>
              </c:extLst>
            </c:dLbl>
            <c:dLbl>
              <c:idx val="6"/>
              <c:delete val="1"/>
              <c:extLst>
                <c:ext xmlns:c15="http://schemas.microsoft.com/office/drawing/2012/chart" uri="{CE6537A1-D6FC-4f65-9D91-7224C49458BB}"/>
                <c:ext xmlns:c16="http://schemas.microsoft.com/office/drawing/2014/chart" uri="{C3380CC4-5D6E-409C-BE32-E72D297353CC}">
                  <c16:uniqueId val="{00000013-A108-4B42-835B-CD4BD07F4459}"/>
                </c:ext>
              </c:extLst>
            </c:dLbl>
            <c:dLbl>
              <c:idx val="7"/>
              <c:delete val="1"/>
              <c:extLst>
                <c:ext xmlns:c15="http://schemas.microsoft.com/office/drawing/2012/chart" uri="{CE6537A1-D6FC-4f65-9D91-7224C49458BB}"/>
                <c:ext xmlns:c16="http://schemas.microsoft.com/office/drawing/2014/chart" uri="{C3380CC4-5D6E-409C-BE32-E72D297353CC}">
                  <c16:uniqueId val="{00000014-A108-4B42-835B-CD4BD07F4459}"/>
                </c:ext>
              </c:extLst>
            </c:dLbl>
            <c:dLbl>
              <c:idx val="8"/>
              <c:delete val="1"/>
              <c:extLst>
                <c:ext xmlns:c15="http://schemas.microsoft.com/office/drawing/2012/chart" uri="{CE6537A1-D6FC-4f65-9D91-7224C49458BB}"/>
                <c:ext xmlns:c16="http://schemas.microsoft.com/office/drawing/2014/chart" uri="{C3380CC4-5D6E-409C-BE32-E72D297353CC}">
                  <c16:uniqueId val="{00000015-A108-4B42-835B-CD4BD07F4459}"/>
                </c:ext>
              </c:extLst>
            </c:dLbl>
            <c:dLbl>
              <c:idx val="9"/>
              <c:delete val="1"/>
              <c:extLst>
                <c:ext xmlns:c15="http://schemas.microsoft.com/office/drawing/2012/chart" uri="{CE6537A1-D6FC-4f65-9D91-7224C49458BB}"/>
                <c:ext xmlns:c16="http://schemas.microsoft.com/office/drawing/2014/chart" uri="{C3380CC4-5D6E-409C-BE32-E72D297353CC}">
                  <c16:uniqueId val="{00000016-A108-4B42-835B-CD4BD07F4459}"/>
                </c:ext>
              </c:extLst>
            </c:dLbl>
            <c:dLbl>
              <c:idx val="10"/>
              <c:delete val="1"/>
              <c:extLst>
                <c:ext xmlns:c15="http://schemas.microsoft.com/office/drawing/2012/chart" uri="{CE6537A1-D6FC-4f65-9D91-7224C49458BB}"/>
                <c:ext xmlns:c16="http://schemas.microsoft.com/office/drawing/2014/chart" uri="{C3380CC4-5D6E-409C-BE32-E72D297353CC}">
                  <c16:uniqueId val="{00000017-A108-4B42-835B-CD4BD07F4459}"/>
                </c:ext>
              </c:extLst>
            </c:dLbl>
            <c:dLbl>
              <c:idx val="11"/>
              <c:delete val="1"/>
              <c:extLst>
                <c:ext xmlns:c15="http://schemas.microsoft.com/office/drawing/2012/chart" uri="{CE6537A1-D6FC-4f65-9D91-7224C49458BB}"/>
                <c:ext xmlns:c16="http://schemas.microsoft.com/office/drawing/2014/chart" uri="{C3380CC4-5D6E-409C-BE32-E72D297353CC}">
                  <c16:uniqueId val="{00000018-A108-4B42-835B-CD4BD07F4459}"/>
                </c:ext>
              </c:extLst>
            </c:dLbl>
            <c:spPr>
              <a:noFill/>
              <a:ln>
                <a:noFill/>
              </a:ln>
              <a:effectLst/>
            </c:spPr>
            <c:txPr>
              <a:bodyPr wrap="square" lIns="38100" tIns="19050" rIns="38100" bIns="19050" anchor="ctr">
                <a:spAutoFit/>
              </a:bodyPr>
              <a:lstStyle/>
              <a:p>
                <a:pPr>
                  <a:defRPr sz="1200">
                    <a:latin typeface="Times New Roman" panose="02020603050405020304" pitchFamily="18" charset="0"/>
                    <a:cs typeface="Times New Roman" panose="02020603050405020304" pitchFamily="18" charset="0"/>
                  </a:defRPr>
                </a:pPr>
                <a:endParaRPr lang="bg-BG"/>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Data!$B$18:$K$19</c:f>
              <c:multiLvlStrCache>
                <c:ptCount val="10"/>
                <c:lvl>
                  <c:pt idx="0">
                    <c:v>I</c:v>
                  </c:pt>
                  <c:pt idx="1">
                    <c:v>II</c:v>
                  </c:pt>
                  <c:pt idx="2">
                    <c:v>III</c:v>
                  </c:pt>
                  <c:pt idx="3">
                    <c:v>IV</c:v>
                  </c:pt>
                  <c:pt idx="4">
                    <c:v>I</c:v>
                  </c:pt>
                  <c:pt idx="5">
                    <c:v>II</c:v>
                  </c:pt>
                  <c:pt idx="6">
                    <c:v>III</c:v>
                  </c:pt>
                  <c:pt idx="7">
                    <c:v>IV</c:v>
                  </c:pt>
                  <c:pt idx="8">
                    <c:v>I</c:v>
                  </c:pt>
                  <c:pt idx="9">
                    <c:v>II</c:v>
                  </c:pt>
                </c:lvl>
                <c:lvl>
                  <c:pt idx="0">
                    <c:v>2017</c:v>
                  </c:pt>
                  <c:pt idx="4">
                    <c:v>2018</c:v>
                  </c:pt>
                  <c:pt idx="8">
                    <c:v>2019</c:v>
                  </c:pt>
                </c:lvl>
              </c:multiLvlStrCache>
            </c:multiLvlStrRef>
          </c:cat>
          <c:val>
            <c:numRef>
              <c:f>Data!$B$21:$K$21</c:f>
              <c:numCache>
                <c:formatCode>#\ ##0.0</c:formatCode>
                <c:ptCount val="10"/>
                <c:pt idx="0">
                  <c:v>2.2000000000000002</c:v>
                </c:pt>
                <c:pt idx="1">
                  <c:v>2.6</c:v>
                </c:pt>
                <c:pt idx="2">
                  <c:v>2.9</c:v>
                </c:pt>
                <c:pt idx="3">
                  <c:v>3</c:v>
                </c:pt>
                <c:pt idx="4">
                  <c:v>2.6</c:v>
                </c:pt>
                <c:pt idx="5">
                  <c:v>2.2999999999999998</c:v>
                </c:pt>
                <c:pt idx="6">
                  <c:v>1.7</c:v>
                </c:pt>
                <c:pt idx="7">
                  <c:v>1.2</c:v>
                </c:pt>
                <c:pt idx="8">
                  <c:v>1.3</c:v>
                </c:pt>
                <c:pt idx="9">
                  <c:v>1.2</c:v>
                </c:pt>
              </c:numCache>
            </c:numRef>
          </c:val>
          <c:smooth val="0"/>
          <c:extLst>
            <c:ext xmlns:c16="http://schemas.microsoft.com/office/drawing/2014/chart" uri="{C3380CC4-5D6E-409C-BE32-E72D297353CC}">
              <c16:uniqueId val="{00000019-A108-4B42-835B-CD4BD07F4459}"/>
            </c:ext>
          </c:extLst>
        </c:ser>
        <c:ser>
          <c:idx val="2"/>
          <c:order val="2"/>
          <c:tx>
            <c:v>САЩ</c:v>
          </c:tx>
          <c:spPr>
            <a:ln w="31750">
              <a:solidFill>
                <a:sysClr val="window" lastClr="FFFFFF">
                  <a:lumMod val="50000"/>
                </a:sysClr>
              </a:solidFill>
            </a:ln>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A-A108-4B42-835B-CD4BD07F4459}"/>
                </c:ext>
              </c:extLst>
            </c:dLbl>
            <c:dLbl>
              <c:idx val="1"/>
              <c:delete val="1"/>
              <c:extLst>
                <c:ext xmlns:c15="http://schemas.microsoft.com/office/drawing/2012/chart" uri="{CE6537A1-D6FC-4f65-9D91-7224C49458BB}"/>
                <c:ext xmlns:c16="http://schemas.microsoft.com/office/drawing/2014/chart" uri="{C3380CC4-5D6E-409C-BE32-E72D297353CC}">
                  <c16:uniqueId val="{0000001B-A108-4B42-835B-CD4BD07F4459}"/>
                </c:ext>
              </c:extLst>
            </c:dLbl>
            <c:dLbl>
              <c:idx val="2"/>
              <c:delete val="1"/>
              <c:extLst>
                <c:ext xmlns:c15="http://schemas.microsoft.com/office/drawing/2012/chart" uri="{CE6537A1-D6FC-4f65-9D91-7224C49458BB}"/>
                <c:ext xmlns:c16="http://schemas.microsoft.com/office/drawing/2014/chart" uri="{C3380CC4-5D6E-409C-BE32-E72D297353CC}">
                  <c16:uniqueId val="{0000001C-A108-4B42-835B-CD4BD07F4459}"/>
                </c:ext>
              </c:extLst>
            </c:dLbl>
            <c:dLbl>
              <c:idx val="3"/>
              <c:delete val="1"/>
              <c:extLst>
                <c:ext xmlns:c15="http://schemas.microsoft.com/office/drawing/2012/chart" uri="{CE6537A1-D6FC-4f65-9D91-7224C49458BB}"/>
                <c:ext xmlns:c16="http://schemas.microsoft.com/office/drawing/2014/chart" uri="{C3380CC4-5D6E-409C-BE32-E72D297353CC}">
                  <c16:uniqueId val="{0000001D-A108-4B42-835B-CD4BD07F4459}"/>
                </c:ext>
              </c:extLst>
            </c:dLbl>
            <c:dLbl>
              <c:idx val="4"/>
              <c:layout>
                <c:manualLayout>
                  <c:x val="0.33360417975922035"/>
                  <c:y val="-5.2769192232713646E-2"/>
                </c:manualLayout>
              </c:layout>
              <c:tx>
                <c:rich>
                  <a:bodyPr/>
                  <a:lstStyle/>
                  <a:p>
                    <a:pPr>
                      <a:defRPr sz="1200">
                        <a:solidFill>
                          <a:schemeClr val="bg1">
                            <a:lumMod val="50000"/>
                          </a:schemeClr>
                        </a:solidFill>
                        <a:latin typeface="Times New Roman" panose="02020603050405020304" pitchFamily="18" charset="0"/>
                        <a:cs typeface="Times New Roman" panose="02020603050405020304" pitchFamily="18" charset="0"/>
                      </a:defRPr>
                    </a:pPr>
                    <a:r>
                      <a:rPr lang="bg-BG" sz="1200" b="1">
                        <a:solidFill>
                          <a:schemeClr val="bg1">
                            <a:lumMod val="50000"/>
                          </a:schemeClr>
                        </a:solidFill>
                        <a:latin typeface="Times New Roman" panose="02020603050405020304" pitchFamily="18" charset="0"/>
                        <a:cs typeface="Times New Roman" panose="02020603050405020304" pitchFamily="18" charset="0"/>
                      </a:rPr>
                      <a:t>САЩ</a:t>
                    </a:r>
                    <a:endParaRPr lang="bg-BG" sz="1200">
                      <a:solidFill>
                        <a:schemeClr val="bg1">
                          <a:lumMod val="50000"/>
                        </a:schemeClr>
                      </a:solidFill>
                      <a:latin typeface="Times New Roman" panose="02020603050405020304" pitchFamily="18" charset="0"/>
                      <a:cs typeface="Times New Roman" panose="02020603050405020304" pitchFamily="18" charset="0"/>
                    </a:endParaRPr>
                  </a:p>
                </c:rich>
              </c:tx>
              <c:spPr>
                <a:noFill/>
              </c:spPr>
              <c:dLblPos val="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A108-4B42-835B-CD4BD07F4459}"/>
                </c:ext>
              </c:extLst>
            </c:dLbl>
            <c:dLbl>
              <c:idx val="5"/>
              <c:delete val="1"/>
              <c:extLst>
                <c:ext xmlns:c15="http://schemas.microsoft.com/office/drawing/2012/chart" uri="{CE6537A1-D6FC-4f65-9D91-7224C49458BB}"/>
                <c:ext xmlns:c16="http://schemas.microsoft.com/office/drawing/2014/chart" uri="{C3380CC4-5D6E-409C-BE32-E72D297353CC}">
                  <c16:uniqueId val="{0000001F-A108-4B42-835B-CD4BD07F4459}"/>
                </c:ext>
              </c:extLst>
            </c:dLbl>
            <c:dLbl>
              <c:idx val="6"/>
              <c:delete val="1"/>
              <c:extLst>
                <c:ext xmlns:c15="http://schemas.microsoft.com/office/drawing/2012/chart" uri="{CE6537A1-D6FC-4f65-9D91-7224C49458BB}"/>
                <c:ext xmlns:c16="http://schemas.microsoft.com/office/drawing/2014/chart" uri="{C3380CC4-5D6E-409C-BE32-E72D297353CC}">
                  <c16:uniqueId val="{00000020-A108-4B42-835B-CD4BD07F4459}"/>
                </c:ext>
              </c:extLst>
            </c:dLbl>
            <c:dLbl>
              <c:idx val="7"/>
              <c:delete val="1"/>
              <c:extLst>
                <c:ext xmlns:c15="http://schemas.microsoft.com/office/drawing/2012/chart" uri="{CE6537A1-D6FC-4f65-9D91-7224C49458BB}"/>
                <c:ext xmlns:c16="http://schemas.microsoft.com/office/drawing/2014/chart" uri="{C3380CC4-5D6E-409C-BE32-E72D297353CC}">
                  <c16:uniqueId val="{00000021-A108-4B42-835B-CD4BD07F4459}"/>
                </c:ext>
              </c:extLst>
            </c:dLbl>
            <c:dLbl>
              <c:idx val="8"/>
              <c:delete val="1"/>
              <c:extLst>
                <c:ext xmlns:c15="http://schemas.microsoft.com/office/drawing/2012/chart" uri="{CE6537A1-D6FC-4f65-9D91-7224C49458BB}"/>
                <c:ext xmlns:c16="http://schemas.microsoft.com/office/drawing/2014/chart" uri="{C3380CC4-5D6E-409C-BE32-E72D297353CC}">
                  <c16:uniqueId val="{00000022-A108-4B42-835B-CD4BD07F4459}"/>
                </c:ext>
              </c:extLst>
            </c:dLbl>
            <c:dLbl>
              <c:idx val="9"/>
              <c:delete val="1"/>
              <c:extLst>
                <c:ext xmlns:c15="http://schemas.microsoft.com/office/drawing/2012/chart" uri="{CE6537A1-D6FC-4f65-9D91-7224C49458BB}"/>
                <c:ext xmlns:c16="http://schemas.microsoft.com/office/drawing/2014/chart" uri="{C3380CC4-5D6E-409C-BE32-E72D297353CC}">
                  <c16:uniqueId val="{00000023-A108-4B42-835B-CD4BD07F4459}"/>
                </c:ext>
              </c:extLst>
            </c:dLbl>
            <c:dLbl>
              <c:idx val="10"/>
              <c:delete val="1"/>
              <c:extLst>
                <c:ext xmlns:c15="http://schemas.microsoft.com/office/drawing/2012/chart" uri="{CE6537A1-D6FC-4f65-9D91-7224C49458BB}"/>
                <c:ext xmlns:c16="http://schemas.microsoft.com/office/drawing/2014/chart" uri="{C3380CC4-5D6E-409C-BE32-E72D297353CC}">
                  <c16:uniqueId val="{00000024-A108-4B42-835B-CD4BD07F4459}"/>
                </c:ext>
              </c:extLst>
            </c:dLbl>
            <c:dLbl>
              <c:idx val="11"/>
              <c:delete val="1"/>
              <c:extLst>
                <c:ext xmlns:c15="http://schemas.microsoft.com/office/drawing/2012/chart" uri="{CE6537A1-D6FC-4f65-9D91-7224C49458BB}"/>
                <c:ext xmlns:c16="http://schemas.microsoft.com/office/drawing/2014/chart" uri="{C3380CC4-5D6E-409C-BE32-E72D297353CC}">
                  <c16:uniqueId val="{00000025-A108-4B42-835B-CD4BD07F4459}"/>
                </c:ext>
              </c:extLst>
            </c:dLbl>
            <c:spPr>
              <a:noFill/>
            </c:spPr>
            <c:txPr>
              <a:bodyPr wrap="square" lIns="38100" tIns="19050" rIns="38100" bIns="19050" anchor="ctr">
                <a:spAutoFit/>
              </a:bodyPr>
              <a:lstStyle/>
              <a:p>
                <a:pPr>
                  <a:defRPr sz="1200">
                    <a:solidFill>
                      <a:schemeClr val="bg1">
                        <a:lumMod val="50000"/>
                      </a:schemeClr>
                    </a:solidFill>
                    <a:latin typeface="Times New Roman" panose="02020603050405020304" pitchFamily="18" charset="0"/>
                    <a:cs typeface="Times New Roman" panose="02020603050405020304" pitchFamily="18" charset="0"/>
                  </a:defRPr>
                </a:pPr>
                <a:endParaRPr lang="bg-BG"/>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Data!$B$18:$K$19</c:f>
              <c:multiLvlStrCache>
                <c:ptCount val="10"/>
                <c:lvl>
                  <c:pt idx="0">
                    <c:v>I</c:v>
                  </c:pt>
                  <c:pt idx="1">
                    <c:v>II</c:v>
                  </c:pt>
                  <c:pt idx="2">
                    <c:v>III</c:v>
                  </c:pt>
                  <c:pt idx="3">
                    <c:v>IV</c:v>
                  </c:pt>
                  <c:pt idx="4">
                    <c:v>I</c:v>
                  </c:pt>
                  <c:pt idx="5">
                    <c:v>II</c:v>
                  </c:pt>
                  <c:pt idx="6">
                    <c:v>III</c:v>
                  </c:pt>
                  <c:pt idx="7">
                    <c:v>IV</c:v>
                  </c:pt>
                  <c:pt idx="8">
                    <c:v>I</c:v>
                  </c:pt>
                  <c:pt idx="9">
                    <c:v>II</c:v>
                  </c:pt>
                </c:lvl>
                <c:lvl>
                  <c:pt idx="0">
                    <c:v>2017</c:v>
                  </c:pt>
                  <c:pt idx="4">
                    <c:v>2018</c:v>
                  </c:pt>
                  <c:pt idx="8">
                    <c:v>2019</c:v>
                  </c:pt>
                </c:lvl>
              </c:multiLvlStrCache>
            </c:multiLvlStrRef>
          </c:cat>
          <c:val>
            <c:numRef>
              <c:f>Data!$B$22:$K$22</c:f>
              <c:numCache>
                <c:formatCode>#\ ##0.0</c:formatCode>
                <c:ptCount val="10"/>
                <c:pt idx="0">
                  <c:v>2.0989018499954426</c:v>
                </c:pt>
                <c:pt idx="1">
                  <c:v>2.1633388890778491</c:v>
                </c:pt>
                <c:pt idx="2">
                  <c:v>2.4161126805036304</c:v>
                </c:pt>
                <c:pt idx="3">
                  <c:v>2.7956373918605095</c:v>
                </c:pt>
                <c:pt idx="4">
                  <c:v>2.8618767886730012</c:v>
                </c:pt>
                <c:pt idx="5">
                  <c:v>3.2023750069363359</c:v>
                </c:pt>
                <c:pt idx="6">
                  <c:v>3.133189455834767</c:v>
                </c:pt>
                <c:pt idx="7">
                  <c:v>2.5160322008459559</c:v>
                </c:pt>
                <c:pt idx="8">
                  <c:v>2.652088316167962</c:v>
                </c:pt>
                <c:pt idx="9">
                  <c:v>2.2787273968846335</c:v>
                </c:pt>
              </c:numCache>
            </c:numRef>
          </c:val>
          <c:smooth val="0"/>
          <c:extLst>
            <c:ext xmlns:c16="http://schemas.microsoft.com/office/drawing/2014/chart" uri="{C3380CC4-5D6E-409C-BE32-E72D297353CC}">
              <c16:uniqueId val="{00000026-A108-4B42-835B-CD4BD07F4459}"/>
            </c:ext>
          </c:extLst>
        </c:ser>
        <c:dLbls>
          <c:showLegendKey val="0"/>
          <c:showVal val="0"/>
          <c:showCatName val="0"/>
          <c:showSerName val="0"/>
          <c:showPercent val="0"/>
          <c:showBubbleSize val="0"/>
        </c:dLbls>
        <c:smooth val="0"/>
        <c:axId val="245467392"/>
        <c:axId val="247046144"/>
      </c:lineChart>
      <c:catAx>
        <c:axId val="245467392"/>
        <c:scaling>
          <c:orientation val="minMax"/>
        </c:scaling>
        <c:delete val="0"/>
        <c:axPos val="b"/>
        <c:numFmt formatCode="General" sourceLinked="1"/>
        <c:majorTickMark val="out"/>
        <c:minorTickMark val="none"/>
        <c:tickLblPos val="low"/>
        <c:txPr>
          <a:bodyPr rot="0" vert="horz"/>
          <a:lstStyle/>
          <a:p>
            <a:pPr>
              <a:defRPr sz="800">
                <a:latin typeface="Times New Roman" panose="02020603050405020304" pitchFamily="18" charset="0"/>
                <a:cs typeface="Times New Roman" panose="02020603050405020304" pitchFamily="18" charset="0"/>
              </a:defRPr>
            </a:pPr>
            <a:endParaRPr lang="bg-BG"/>
          </a:p>
        </c:txPr>
        <c:crossAx val="247046144"/>
        <c:crosses val="autoZero"/>
        <c:auto val="1"/>
        <c:lblAlgn val="ctr"/>
        <c:lblOffset val="100"/>
        <c:tickLblSkip val="1"/>
        <c:tickMarkSkip val="1"/>
        <c:noMultiLvlLbl val="0"/>
      </c:catAx>
      <c:valAx>
        <c:axId val="247046144"/>
        <c:scaling>
          <c:orientation val="minMax"/>
          <c:max val="4"/>
          <c:min val="0"/>
        </c:scaling>
        <c:delete val="0"/>
        <c:axPos val="l"/>
        <c:numFmt formatCode="#,##0" sourceLinked="0"/>
        <c:majorTickMark val="out"/>
        <c:minorTickMark val="none"/>
        <c:tickLblPos val="nextTo"/>
        <c:txPr>
          <a:bodyPr rot="0" vert="horz"/>
          <a:lstStyle/>
          <a:p>
            <a:pPr>
              <a:defRPr sz="800">
                <a:latin typeface="Times New Roman" panose="02020603050405020304" pitchFamily="18" charset="0"/>
                <a:cs typeface="Times New Roman" panose="02020603050405020304" pitchFamily="18" charset="0"/>
              </a:defRPr>
            </a:pPr>
            <a:endParaRPr lang="bg-BG"/>
          </a:p>
        </c:txPr>
        <c:crossAx val="245467392"/>
        <c:crosses val="autoZero"/>
        <c:crossBetween val="between"/>
        <c:majorUnit val="1"/>
      </c:valAx>
    </c:plotArea>
    <c:plotVisOnly val="1"/>
    <c:dispBlanksAs val="gap"/>
    <c:showDLblsOverMax val="0"/>
  </c:chart>
  <c:txPr>
    <a:bodyPr/>
    <a:lstStyle/>
    <a:p>
      <a:pPr>
        <a:defRPr sz="1000">
          <a:latin typeface="Verdana" pitchFamily="34" charset="0"/>
        </a:defRPr>
      </a:pPr>
      <a:endParaRPr lang="bg-BG"/>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898719821916079E-2"/>
          <c:y val="3.6065573770491806E-2"/>
          <c:w val="0.88206001914595733"/>
          <c:h val="0.67902368269434854"/>
        </c:manualLayout>
      </c:layout>
      <c:barChart>
        <c:barDir val="col"/>
        <c:grouping val="clustered"/>
        <c:varyColors val="0"/>
        <c:ser>
          <c:idx val="0"/>
          <c:order val="0"/>
          <c:tx>
            <c:strRef>
              <c:f>КД!$A$4</c:f>
              <c:strCache>
                <c:ptCount val="1"/>
                <c:pt idx="0">
                  <c:v>Консолидиран дълг на сектор "Държавно управление", млн. лв.</c:v>
                </c:pt>
              </c:strCache>
            </c:strRef>
          </c:tx>
          <c:spPr>
            <a:solidFill>
              <a:sysClr val="window" lastClr="FFFFFF">
                <a:lumMod val="75000"/>
              </a:sysClr>
            </a:solidFill>
            <a:ln>
              <a:noFill/>
            </a:ln>
            <a:effectLst/>
          </c:spPr>
          <c:invertIfNegative val="0"/>
          <c:cat>
            <c:strRef>
              <c:f>КД!$B$2:$G$2</c:f>
              <c:strCache>
                <c:ptCount val="6"/>
                <c:pt idx="0">
                  <c:v>2017</c:v>
                </c:pt>
                <c:pt idx="1">
                  <c:v>2018</c:v>
                </c:pt>
                <c:pt idx="2">
                  <c:v>2019 очаквано</c:v>
                </c:pt>
                <c:pt idx="3">
                  <c:v>2020 прогноза</c:v>
                </c:pt>
                <c:pt idx="4">
                  <c:v>2021 прогноза</c:v>
                </c:pt>
                <c:pt idx="5">
                  <c:v>2022 прогноза</c:v>
                </c:pt>
              </c:strCache>
            </c:strRef>
          </c:cat>
          <c:val>
            <c:numRef>
              <c:f>КД!$B$4:$G$4</c:f>
              <c:numCache>
                <c:formatCode>#,##0.0</c:formatCode>
                <c:ptCount val="6"/>
                <c:pt idx="0">
                  <c:v>25906.5740650759</c:v>
                </c:pt>
                <c:pt idx="1">
                  <c:v>24430.822069059999</c:v>
                </c:pt>
                <c:pt idx="2">
                  <c:v>24142.961646410949</c:v>
                </c:pt>
                <c:pt idx="3">
                  <c:v>25069.1</c:v>
                </c:pt>
                <c:pt idx="4">
                  <c:v>26373</c:v>
                </c:pt>
                <c:pt idx="5">
                  <c:v>26052.2</c:v>
                </c:pt>
              </c:numCache>
            </c:numRef>
          </c:val>
          <c:extLst>
            <c:ext xmlns:c16="http://schemas.microsoft.com/office/drawing/2014/chart" uri="{C3380CC4-5D6E-409C-BE32-E72D297353CC}">
              <c16:uniqueId val="{00000000-0D91-47F5-9F61-E65321143D92}"/>
            </c:ext>
          </c:extLst>
        </c:ser>
        <c:ser>
          <c:idx val="1"/>
          <c:order val="1"/>
          <c:tx>
            <c:strRef>
              <c:f>КД!$A$5</c:f>
              <c:strCache>
                <c:ptCount val="1"/>
                <c:pt idx="0">
                  <c:v>Дълг на подсектор "Централно управление", млн. лв.</c:v>
                </c:pt>
              </c:strCache>
            </c:strRef>
          </c:tx>
          <c:spPr>
            <a:solidFill>
              <a:srgbClr val="B32C16">
                <a:lumMod val="40000"/>
                <a:lumOff val="60000"/>
              </a:srgbClr>
            </a:solidFill>
            <a:ln>
              <a:noFill/>
            </a:ln>
            <a:effectLst/>
          </c:spPr>
          <c:invertIfNegative val="0"/>
          <c:cat>
            <c:strRef>
              <c:f>КД!$B$2:$G$2</c:f>
              <c:strCache>
                <c:ptCount val="6"/>
                <c:pt idx="0">
                  <c:v>2017</c:v>
                </c:pt>
                <c:pt idx="1">
                  <c:v>2018</c:v>
                </c:pt>
                <c:pt idx="2">
                  <c:v>2019 очаквано</c:v>
                </c:pt>
                <c:pt idx="3">
                  <c:v>2020 прогноза</c:v>
                </c:pt>
                <c:pt idx="4">
                  <c:v>2021 прогноза</c:v>
                </c:pt>
                <c:pt idx="5">
                  <c:v>2022 прогноза</c:v>
                </c:pt>
              </c:strCache>
            </c:strRef>
          </c:cat>
          <c:val>
            <c:numRef>
              <c:f>КД!$B$5:$G$5</c:f>
              <c:numCache>
                <c:formatCode>#,##0.0</c:formatCode>
                <c:ptCount val="6"/>
                <c:pt idx="0">
                  <c:v>25614.927350450002</c:v>
                </c:pt>
                <c:pt idx="1">
                  <c:v>23892.494870369999</c:v>
                </c:pt>
                <c:pt idx="2">
                  <c:v>23521.03681854</c:v>
                </c:pt>
                <c:pt idx="3">
                  <c:v>24533.599999999999</c:v>
                </c:pt>
                <c:pt idx="4">
                  <c:v>25925</c:v>
                </c:pt>
                <c:pt idx="5">
                  <c:v>25681.200000000001</c:v>
                </c:pt>
              </c:numCache>
            </c:numRef>
          </c:val>
          <c:extLst>
            <c:ext xmlns:c16="http://schemas.microsoft.com/office/drawing/2014/chart" uri="{C3380CC4-5D6E-409C-BE32-E72D297353CC}">
              <c16:uniqueId val="{00000001-0D91-47F5-9F61-E65321143D92}"/>
            </c:ext>
          </c:extLst>
        </c:ser>
        <c:dLbls>
          <c:showLegendKey val="0"/>
          <c:showVal val="0"/>
          <c:showCatName val="0"/>
          <c:showSerName val="0"/>
          <c:showPercent val="0"/>
          <c:showBubbleSize val="0"/>
        </c:dLbls>
        <c:gapWidth val="150"/>
        <c:axId val="247579776"/>
        <c:axId val="247581312"/>
      </c:barChart>
      <c:lineChart>
        <c:grouping val="standard"/>
        <c:varyColors val="0"/>
        <c:ser>
          <c:idx val="2"/>
          <c:order val="2"/>
          <c:tx>
            <c:strRef>
              <c:f>КД!$A$6</c:f>
              <c:strCache>
                <c:ptCount val="1"/>
                <c:pt idx="0">
                  <c:v>Консолидиран дълг на сектор "Държавно управление"/БВП (%)</c:v>
                </c:pt>
              </c:strCache>
            </c:strRef>
          </c:tx>
          <c:spPr>
            <a:ln w="28575" cap="rnd">
              <a:solidFill>
                <a:schemeClr val="accent3"/>
              </a:solidFill>
              <a:round/>
            </a:ln>
            <a:effectLst/>
          </c:spPr>
          <c:marker>
            <c:symbol val="none"/>
          </c:marker>
          <c:val>
            <c:numRef>
              <c:f>КД!$B$6:$G$6</c:f>
              <c:numCache>
                <c:formatCode>0.0%</c:formatCode>
                <c:ptCount val="6"/>
                <c:pt idx="0">
                  <c:v>0.25322153450292162</c:v>
                </c:pt>
                <c:pt idx="1">
                  <c:v>0.22271630884489016</c:v>
                </c:pt>
                <c:pt idx="2">
                  <c:v>0.20352413543608616</c:v>
                </c:pt>
                <c:pt idx="3">
                  <c:v>0.19775408842759387</c:v>
                </c:pt>
                <c:pt idx="4">
                  <c:v>0.19547838302193876</c:v>
                </c:pt>
                <c:pt idx="5">
                  <c:v>0.18173159394699373</c:v>
                </c:pt>
              </c:numCache>
            </c:numRef>
          </c:val>
          <c:smooth val="0"/>
          <c:extLst>
            <c:ext xmlns:c16="http://schemas.microsoft.com/office/drawing/2014/chart" uri="{C3380CC4-5D6E-409C-BE32-E72D297353CC}">
              <c16:uniqueId val="{00000002-0D91-47F5-9F61-E65321143D92}"/>
            </c:ext>
          </c:extLst>
        </c:ser>
        <c:ser>
          <c:idx val="3"/>
          <c:order val="3"/>
          <c:tx>
            <c:strRef>
              <c:f>КД!$A$7</c:f>
              <c:strCache>
                <c:ptCount val="1"/>
                <c:pt idx="0">
                  <c:v>Дълг на подсектор "Централно управление"/БВП (%)</c:v>
                </c:pt>
              </c:strCache>
            </c:strRef>
          </c:tx>
          <c:spPr>
            <a:ln w="28575" cap="rnd">
              <a:solidFill>
                <a:schemeClr val="accent4"/>
              </a:solidFill>
              <a:round/>
            </a:ln>
            <a:effectLst/>
          </c:spPr>
          <c:marker>
            <c:symbol val="none"/>
          </c:marker>
          <c:val>
            <c:numRef>
              <c:f>КД!$B$7:$G$7</c:f>
              <c:numCache>
                <c:formatCode>0.0%</c:formatCode>
                <c:ptCount val="6"/>
                <c:pt idx="0">
                  <c:v>0.25037085928724873</c:v>
                </c:pt>
                <c:pt idx="1">
                  <c:v>0.21780880936312344</c:v>
                </c:pt>
                <c:pt idx="2">
                  <c:v>0.19828133570204906</c:v>
                </c:pt>
                <c:pt idx="3">
                  <c:v>0.19352987158881718</c:v>
                </c:pt>
                <c:pt idx="4">
                  <c:v>0.1921577780246374</c:v>
                </c:pt>
                <c:pt idx="5">
                  <c:v>0.17914361975079016</c:v>
                </c:pt>
              </c:numCache>
            </c:numRef>
          </c:val>
          <c:smooth val="0"/>
          <c:extLst>
            <c:ext xmlns:c16="http://schemas.microsoft.com/office/drawing/2014/chart" uri="{C3380CC4-5D6E-409C-BE32-E72D297353CC}">
              <c16:uniqueId val="{00000003-0D91-47F5-9F61-E65321143D92}"/>
            </c:ext>
          </c:extLst>
        </c:ser>
        <c:dLbls>
          <c:showLegendKey val="0"/>
          <c:showVal val="0"/>
          <c:showCatName val="0"/>
          <c:showSerName val="0"/>
          <c:showPercent val="0"/>
          <c:showBubbleSize val="0"/>
        </c:dLbls>
        <c:marker val="1"/>
        <c:smooth val="0"/>
        <c:axId val="248973184"/>
        <c:axId val="248971648"/>
      </c:lineChart>
      <c:catAx>
        <c:axId val="247579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247581312"/>
        <c:crosses val="autoZero"/>
        <c:auto val="1"/>
        <c:lblAlgn val="ctr"/>
        <c:lblOffset val="100"/>
        <c:noMultiLvlLbl val="0"/>
      </c:catAx>
      <c:valAx>
        <c:axId val="24758131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247579776"/>
        <c:crosses val="autoZero"/>
        <c:crossBetween val="between"/>
      </c:valAx>
      <c:valAx>
        <c:axId val="248971648"/>
        <c:scaling>
          <c:orientation val="minMax"/>
        </c:scaling>
        <c:delete val="0"/>
        <c:axPos val="r"/>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248973184"/>
        <c:crosses val="max"/>
        <c:crossBetween val="between"/>
      </c:valAx>
      <c:catAx>
        <c:axId val="248973184"/>
        <c:scaling>
          <c:orientation val="minMax"/>
        </c:scaling>
        <c:delete val="1"/>
        <c:axPos val="b"/>
        <c:majorTickMark val="none"/>
        <c:minorTickMark val="none"/>
        <c:tickLblPos val="nextTo"/>
        <c:crossAx val="248971648"/>
        <c:crosses val="autoZero"/>
        <c:auto val="1"/>
        <c:lblAlgn val="ctr"/>
        <c:lblOffset val="100"/>
        <c:noMultiLvlLbl val="0"/>
      </c:catAx>
      <c:spPr>
        <a:noFill/>
        <a:ln>
          <a:noFill/>
        </a:ln>
        <a:effectLst/>
      </c:spPr>
    </c:plotArea>
    <c:legend>
      <c:legendPos val="b"/>
      <c:layout>
        <c:manualLayout>
          <c:xMode val="edge"/>
          <c:yMode val="edge"/>
          <c:x val="0.16101276190760425"/>
          <c:y val="0.82349013979157604"/>
          <c:w val="0.73272267845862282"/>
          <c:h val="0.157254404495972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9198376951852218E-2"/>
          <c:y val="6.1420345489443376E-2"/>
          <c:w val="0.86319014649917736"/>
          <c:h val="0.68215414531916718"/>
        </c:manualLayout>
      </c:layout>
      <c:barChart>
        <c:barDir val="col"/>
        <c:grouping val="stacked"/>
        <c:varyColors val="0"/>
        <c:ser>
          <c:idx val="0"/>
          <c:order val="0"/>
          <c:tx>
            <c:strRef>
              <c:f>'Граф II-2'!$B$4</c:f>
              <c:strCache>
                <c:ptCount val="1"/>
                <c:pt idx="0">
                  <c:v>Задължения на държавно контролирани предприятия, класифицирани извън сектор "Държавно управление"</c:v>
                </c:pt>
              </c:strCache>
            </c:strRef>
          </c:tx>
          <c:spPr>
            <a:solidFill>
              <a:srgbClr val="7598D9">
                <a:lumMod val="20000"/>
                <a:lumOff val="80000"/>
              </a:srgbClr>
            </a:solidFill>
            <a:ln>
              <a:noFill/>
            </a:ln>
            <a:effectLst/>
          </c:spPr>
          <c:invertIfNegative val="0"/>
          <c:dPt>
            <c:idx val="0"/>
            <c:invertIfNegative val="0"/>
            <c:bubble3D val="0"/>
            <c:spPr>
              <a:solidFill>
                <a:srgbClr val="7598D9">
                  <a:lumMod val="20000"/>
                  <a:lumOff val="80000"/>
                </a:srgbClr>
              </a:solidFill>
              <a:ln>
                <a:noFill/>
              </a:ln>
              <a:effectLst/>
            </c:spPr>
            <c:extLst>
              <c:ext xmlns:c16="http://schemas.microsoft.com/office/drawing/2014/chart" uri="{C3380CC4-5D6E-409C-BE32-E72D297353CC}">
                <c16:uniqueId val="{00000000-64FF-40C8-8D54-71E4E608FB8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 II-2'!$C$3:$G$3</c:f>
              <c:numCache>
                <c:formatCode>General</c:formatCode>
                <c:ptCount val="5"/>
                <c:pt idx="0">
                  <c:v>2013</c:v>
                </c:pt>
                <c:pt idx="1">
                  <c:v>2014</c:v>
                </c:pt>
                <c:pt idx="2">
                  <c:v>2015</c:v>
                </c:pt>
                <c:pt idx="3">
                  <c:v>2016</c:v>
                </c:pt>
                <c:pt idx="4">
                  <c:v>2017</c:v>
                </c:pt>
              </c:numCache>
            </c:numRef>
          </c:cat>
          <c:val>
            <c:numRef>
              <c:f>'Граф II-2'!$C$4:$G$4</c:f>
              <c:numCache>
                <c:formatCode>0.00%</c:formatCode>
                <c:ptCount val="5"/>
                <c:pt idx="0">
                  <c:v>0.12540000000000001</c:v>
                </c:pt>
                <c:pt idx="1">
                  <c:v>0.13389999999999999</c:v>
                </c:pt>
                <c:pt idx="2">
                  <c:v>0.1212</c:v>
                </c:pt>
                <c:pt idx="3">
                  <c:v>0.13070000000000001</c:v>
                </c:pt>
                <c:pt idx="4">
                  <c:v>0.10398974688868547</c:v>
                </c:pt>
              </c:numCache>
            </c:numRef>
          </c:val>
          <c:extLst>
            <c:ext xmlns:c16="http://schemas.microsoft.com/office/drawing/2014/chart" uri="{C3380CC4-5D6E-409C-BE32-E72D297353CC}">
              <c16:uniqueId val="{00000000-AF42-417B-B030-DC3CFF74D9C4}"/>
            </c:ext>
          </c:extLst>
        </c:ser>
        <c:ser>
          <c:idx val="1"/>
          <c:order val="1"/>
          <c:tx>
            <c:strRef>
              <c:f>'Граф II-2'!$B$5</c:f>
              <c:strCache>
                <c:ptCount val="1"/>
                <c:pt idx="0">
                  <c:v>Гарантиран дълг на сектор „Държавно управление“</c:v>
                </c:pt>
              </c:strCache>
            </c:strRef>
          </c:tx>
          <c:spPr>
            <a:solidFill>
              <a:srgbClr val="B32C16">
                <a:lumMod val="40000"/>
                <a:lumOff val="60000"/>
              </a:srgb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 II-2'!$C$3:$G$3</c:f>
              <c:numCache>
                <c:formatCode>General</c:formatCode>
                <c:ptCount val="5"/>
                <c:pt idx="0">
                  <c:v>2013</c:v>
                </c:pt>
                <c:pt idx="1">
                  <c:v>2014</c:v>
                </c:pt>
                <c:pt idx="2">
                  <c:v>2015</c:v>
                </c:pt>
                <c:pt idx="3">
                  <c:v>2016</c:v>
                </c:pt>
                <c:pt idx="4">
                  <c:v>2017</c:v>
                </c:pt>
              </c:numCache>
            </c:numRef>
          </c:cat>
          <c:val>
            <c:numRef>
              <c:f>'Граф II-2'!$C$5:$G$5</c:f>
              <c:numCache>
                <c:formatCode>0.00%</c:formatCode>
                <c:ptCount val="5"/>
                <c:pt idx="0">
                  <c:v>7.3000000000000001E-3</c:v>
                </c:pt>
                <c:pt idx="1">
                  <c:v>6.0000000000000001E-3</c:v>
                </c:pt>
                <c:pt idx="2">
                  <c:v>4.8999999999999998E-3</c:v>
                </c:pt>
                <c:pt idx="3">
                  <c:v>3.8E-3</c:v>
                </c:pt>
                <c:pt idx="4">
                  <c:v>2.5999999999999999E-3</c:v>
                </c:pt>
              </c:numCache>
            </c:numRef>
          </c:val>
          <c:extLst>
            <c:ext xmlns:c16="http://schemas.microsoft.com/office/drawing/2014/chart" uri="{C3380CC4-5D6E-409C-BE32-E72D297353CC}">
              <c16:uniqueId val="{00000001-AF42-417B-B030-DC3CFF74D9C4}"/>
            </c:ext>
          </c:extLst>
        </c:ser>
        <c:ser>
          <c:idx val="2"/>
          <c:order val="2"/>
          <c:tx>
            <c:strRef>
              <c:f>'Граф II-2'!$B$6</c:f>
              <c:strCache>
                <c:ptCount val="1"/>
                <c:pt idx="0">
                  <c:v>Необслужвани заеми към сектор "Държавно управление"</c:v>
                </c:pt>
              </c:strCache>
            </c:strRef>
          </c:tx>
          <c:spPr>
            <a:solidFill>
              <a:sysClr val="window" lastClr="FFFFFF">
                <a:lumMod val="65000"/>
              </a:sysClr>
            </a:solidFill>
            <a:ln>
              <a:noFill/>
            </a:ln>
            <a:effectLst/>
          </c:spPr>
          <c:invertIfNegative val="0"/>
          <c:dLbls>
            <c:dLbl>
              <c:idx val="0"/>
              <c:layout>
                <c:manualLayout>
                  <c:x val="7.2959416324669402E-3"/>
                  <c:y val="-1.5355086372360868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bg-BG"/>
                </a:p>
              </c:txPr>
              <c:dLblPos val="ctr"/>
              <c:showLegendKey val="0"/>
              <c:showVal val="1"/>
              <c:showCatName val="0"/>
              <c:showSerName val="0"/>
              <c:showPercent val="0"/>
              <c:showBubbleSize val="0"/>
              <c:extLst>
                <c:ext xmlns:c15="http://schemas.microsoft.com/office/drawing/2012/chart" uri="{CE6537A1-D6FC-4f65-9D91-7224C49458BB}">
                  <c15:layout>
                    <c:manualLayout>
                      <c:w val="6.4496124031007754E-2"/>
                      <c:h val="3.8349428970131133E-2"/>
                    </c:manualLayout>
                  </c15:layout>
                </c:ext>
                <c:ext xmlns:c16="http://schemas.microsoft.com/office/drawing/2014/chart" uri="{C3380CC4-5D6E-409C-BE32-E72D297353CC}">
                  <c16:uniqueId val="{0000000D-AF42-417B-B030-DC3CFF74D9C4}"/>
                </c:ext>
              </c:extLst>
            </c:dLbl>
            <c:dLbl>
              <c:idx val="1"/>
              <c:layout>
                <c:manualLayout>
                  <c:x val="-6.6878692375918974E-17"/>
                  <c:y val="-1.791426743442100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F42-417B-B030-DC3CFF74D9C4}"/>
                </c:ext>
              </c:extLst>
            </c:dLbl>
            <c:dLbl>
              <c:idx val="2"/>
              <c:layout>
                <c:manualLayout>
                  <c:x val="-1.823985408116802E-3"/>
                  <c:y val="-1.535508637236084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F42-417B-B030-DC3CFF74D9C4}"/>
                </c:ext>
              </c:extLst>
            </c:dLbl>
            <c:dLbl>
              <c:idx val="3"/>
              <c:layout>
                <c:manualLayout>
                  <c:x val="1.8239854081166013E-3"/>
                  <c:y val="-1.279590531030070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F42-417B-B030-DC3CFF74D9C4}"/>
                </c:ext>
              </c:extLst>
            </c:dLbl>
            <c:dLbl>
              <c:idx val="4"/>
              <c:layout>
                <c:manualLayout>
                  <c:x val="-1.3375738475183795E-16"/>
                  <c:y val="-2.303262955854126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F42-417B-B030-DC3CFF74D9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 II-2'!$C$3:$G$3</c:f>
              <c:numCache>
                <c:formatCode>General</c:formatCode>
                <c:ptCount val="5"/>
                <c:pt idx="0">
                  <c:v>2013</c:v>
                </c:pt>
                <c:pt idx="1">
                  <c:v>2014</c:v>
                </c:pt>
                <c:pt idx="2">
                  <c:v>2015</c:v>
                </c:pt>
                <c:pt idx="3">
                  <c:v>2016</c:v>
                </c:pt>
                <c:pt idx="4">
                  <c:v>2017</c:v>
                </c:pt>
              </c:numCache>
            </c:numRef>
          </c:cat>
          <c:val>
            <c:numRef>
              <c:f>'Граф II-2'!$C$6:$G$6</c:f>
              <c:numCache>
                <c:formatCode>0.00%</c:formatCode>
                <c:ptCount val="5"/>
                <c:pt idx="0">
                  <c:v>6.9999999999999999E-4</c:v>
                </c:pt>
                <c:pt idx="1">
                  <c:v>6.9999999999999999E-4</c:v>
                </c:pt>
                <c:pt idx="2">
                  <c:v>5.9999999999999995E-4</c:v>
                </c:pt>
                <c:pt idx="3">
                  <c:v>5.9999999999999995E-4</c:v>
                </c:pt>
                <c:pt idx="4">
                  <c:v>5.1944935791989018E-4</c:v>
                </c:pt>
              </c:numCache>
            </c:numRef>
          </c:val>
          <c:extLst>
            <c:ext xmlns:c16="http://schemas.microsoft.com/office/drawing/2014/chart" uri="{C3380CC4-5D6E-409C-BE32-E72D297353CC}">
              <c16:uniqueId val="{00000002-AF42-417B-B030-DC3CFF74D9C4}"/>
            </c:ext>
          </c:extLst>
        </c:ser>
        <c:dLbls>
          <c:dLblPos val="ctr"/>
          <c:showLegendKey val="0"/>
          <c:showVal val="1"/>
          <c:showCatName val="0"/>
          <c:showSerName val="0"/>
          <c:showPercent val="0"/>
          <c:showBubbleSize val="0"/>
        </c:dLbls>
        <c:gapWidth val="150"/>
        <c:overlap val="100"/>
        <c:axId val="249197312"/>
        <c:axId val="249198848"/>
      </c:barChart>
      <c:catAx>
        <c:axId val="249197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249198848"/>
        <c:crosses val="autoZero"/>
        <c:auto val="1"/>
        <c:lblAlgn val="ctr"/>
        <c:lblOffset val="100"/>
        <c:noMultiLvlLbl val="0"/>
      </c:catAx>
      <c:valAx>
        <c:axId val="249198848"/>
        <c:scaling>
          <c:orientation val="minMax"/>
          <c:max val="0.14500000000000002"/>
          <c:min val="8.0000000000000016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249197312"/>
        <c:crosses val="autoZero"/>
        <c:crossBetween val="between"/>
        <c:majorUnit val="5.000000000000001E-3"/>
      </c:valAx>
    </c:plotArea>
    <c:legend>
      <c:legendPos val="b"/>
      <c:legendEntry>
        <c:idx val="2"/>
        <c:txPr>
          <a:bodyPr rot="0" spcFirstLastPara="1" vertOverflow="ellipsis" vert="horz" wrap="square" anchor="ctr" anchorCtr="1"/>
          <a:lstStyle/>
          <a:p>
            <a:pPr>
              <a:lnSpc>
                <a:spcPts val="1000"/>
              </a:lnSpc>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legendEntry>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3995406802404799E-2"/>
          <c:y val="4.0182648401826483E-2"/>
          <c:w val="0.87449967334465828"/>
          <c:h val="0.76959493761909903"/>
        </c:manualLayout>
      </c:layout>
      <c:barChart>
        <c:barDir val="col"/>
        <c:grouping val="clustered"/>
        <c:varyColors val="0"/>
        <c:ser>
          <c:idx val="0"/>
          <c:order val="0"/>
          <c:tx>
            <c:strRef>
              <c:f>'Граф II-3'!$C$4</c:f>
              <c:strCache>
                <c:ptCount val="1"/>
                <c:pt idx="0">
                  <c:v>общо</c:v>
                </c:pt>
              </c:strCache>
            </c:strRef>
          </c:tx>
          <c:spPr>
            <a:solidFill>
              <a:sysClr val="window" lastClr="FFFFFF">
                <a:lumMod val="75000"/>
              </a:sys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 II-3'!$D$3:$H$3</c:f>
              <c:numCache>
                <c:formatCode>General</c:formatCode>
                <c:ptCount val="5"/>
                <c:pt idx="0">
                  <c:v>2013</c:v>
                </c:pt>
                <c:pt idx="1">
                  <c:v>2014</c:v>
                </c:pt>
                <c:pt idx="2">
                  <c:v>2015</c:v>
                </c:pt>
                <c:pt idx="3">
                  <c:v>2016</c:v>
                </c:pt>
                <c:pt idx="4">
                  <c:v>2017</c:v>
                </c:pt>
              </c:numCache>
            </c:numRef>
          </c:cat>
          <c:val>
            <c:numRef>
              <c:f>'Граф II-3'!$D$4:$H$4</c:f>
              <c:numCache>
                <c:formatCode>0.00%</c:formatCode>
                <c:ptCount val="5"/>
                <c:pt idx="0">
                  <c:v>0.12539999999999998</c:v>
                </c:pt>
                <c:pt idx="1">
                  <c:v>0.13390000000000002</c:v>
                </c:pt>
                <c:pt idx="2">
                  <c:v>0.12119999999999999</c:v>
                </c:pt>
                <c:pt idx="3">
                  <c:v>0.1306640929184032</c:v>
                </c:pt>
                <c:pt idx="4">
                  <c:v>0.10398974688868547</c:v>
                </c:pt>
              </c:numCache>
            </c:numRef>
          </c:val>
          <c:extLst>
            <c:ext xmlns:c16="http://schemas.microsoft.com/office/drawing/2014/chart" uri="{C3380CC4-5D6E-409C-BE32-E72D297353CC}">
              <c16:uniqueId val="{00000000-0A1C-407B-877B-4BE5C403AB2B}"/>
            </c:ext>
          </c:extLst>
        </c:ser>
        <c:ser>
          <c:idx val="1"/>
          <c:order val="1"/>
          <c:tx>
            <c:strRef>
              <c:f>'Граф II-3'!$C$5</c:f>
              <c:strCache>
                <c:ptCount val="1"/>
                <c:pt idx="0">
                  <c:v>подсектор "Централно управление"</c:v>
                </c:pt>
              </c:strCache>
            </c:strRef>
          </c:tx>
          <c:spPr>
            <a:solidFill>
              <a:srgbClr val="B32C16">
                <a:lumMod val="40000"/>
                <a:lumOff val="60000"/>
              </a:srgbClr>
            </a:solidFill>
            <a:ln>
              <a:noFill/>
            </a:ln>
            <a:effectLst/>
          </c:spPr>
          <c:invertIfNegative val="0"/>
          <c:dLbls>
            <c:dLbl>
              <c:idx val="1"/>
              <c:layout>
                <c:manualLayout>
                  <c:x val="1.1252391133115746E-2"/>
                  <c:y val="-3.3485153511504638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A1C-407B-877B-4BE5C403AB2B}"/>
                </c:ext>
              </c:extLst>
            </c:dLbl>
            <c:dLbl>
              <c:idx val="2"/>
              <c:layout>
                <c:manualLayout>
                  <c:x val="1.3502869359738944E-2"/>
                  <c:y val="-3.3485153511504638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A1C-407B-877B-4BE5C403AB2B}"/>
                </c:ext>
              </c:extLst>
            </c:dLbl>
            <c:dLbl>
              <c:idx val="3"/>
              <c:layout>
                <c:manualLayout>
                  <c:x val="1.3502869359738944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A1C-407B-877B-4BE5C403AB2B}"/>
                </c:ext>
              </c:extLst>
            </c:dLbl>
            <c:dLbl>
              <c:idx val="4"/>
              <c:layout>
                <c:manualLayout>
                  <c:x val="1.125239113311578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A1C-407B-877B-4BE5C403AB2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 II-3'!$D$3:$H$3</c:f>
              <c:numCache>
                <c:formatCode>General</c:formatCode>
                <c:ptCount val="5"/>
                <c:pt idx="0">
                  <c:v>2013</c:v>
                </c:pt>
                <c:pt idx="1">
                  <c:v>2014</c:v>
                </c:pt>
                <c:pt idx="2">
                  <c:v>2015</c:v>
                </c:pt>
                <c:pt idx="3">
                  <c:v>2016</c:v>
                </c:pt>
                <c:pt idx="4">
                  <c:v>2017</c:v>
                </c:pt>
              </c:numCache>
            </c:numRef>
          </c:cat>
          <c:val>
            <c:numRef>
              <c:f>'Граф II-3'!$D$5:$H$5</c:f>
              <c:numCache>
                <c:formatCode>0.00%</c:formatCode>
                <c:ptCount val="5"/>
                <c:pt idx="0">
                  <c:v>0.10199999999999999</c:v>
                </c:pt>
                <c:pt idx="1">
                  <c:v>0.10850000000000001</c:v>
                </c:pt>
                <c:pt idx="2">
                  <c:v>9.8299999999999998E-2</c:v>
                </c:pt>
                <c:pt idx="3">
                  <c:v>0.10880728652638537</c:v>
                </c:pt>
                <c:pt idx="4">
                  <c:v>8.151198752999976E-2</c:v>
                </c:pt>
              </c:numCache>
            </c:numRef>
          </c:val>
          <c:extLst>
            <c:ext xmlns:c16="http://schemas.microsoft.com/office/drawing/2014/chart" uri="{C3380CC4-5D6E-409C-BE32-E72D297353CC}">
              <c16:uniqueId val="{00000001-0A1C-407B-877B-4BE5C403AB2B}"/>
            </c:ext>
          </c:extLst>
        </c:ser>
        <c:ser>
          <c:idx val="2"/>
          <c:order val="2"/>
          <c:tx>
            <c:strRef>
              <c:f>'Граф II-3'!$C$6</c:f>
              <c:strCache>
                <c:ptCount val="1"/>
                <c:pt idx="0">
                  <c:v>подсектор "Местно управление"</c:v>
                </c:pt>
              </c:strCache>
            </c:strRef>
          </c:tx>
          <c:spPr>
            <a:solidFill>
              <a:srgbClr val="7598D9">
                <a:lumMod val="40000"/>
                <a:lumOff val="60000"/>
              </a:srgbClr>
            </a:solidFill>
            <a:ln>
              <a:noFill/>
            </a:ln>
            <a:effectLst/>
          </c:spPr>
          <c:invertIfNegative val="0"/>
          <c:dLbls>
            <c:dLbl>
              <c:idx val="0"/>
              <c:layout>
                <c:manualLayout>
                  <c:x val="6.7514346798694721E-3"/>
                  <c:y val="-1.3394061404601855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A1C-407B-877B-4BE5C403AB2B}"/>
                </c:ext>
              </c:extLst>
            </c:dLbl>
            <c:dLbl>
              <c:idx val="1"/>
              <c:layout>
                <c:manualLayout>
                  <c:x val="9.00191290649263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A1C-407B-877B-4BE5C403AB2B}"/>
                </c:ext>
              </c:extLst>
            </c:dLbl>
            <c:dLbl>
              <c:idx val="2"/>
              <c:layout>
                <c:manualLayout>
                  <c:x val="1.125239113311578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A1C-407B-877B-4BE5C403AB2B}"/>
                </c:ext>
              </c:extLst>
            </c:dLbl>
            <c:dLbl>
              <c:idx val="3"/>
              <c:layout>
                <c:manualLayout>
                  <c:x val="6.7514346798693897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A1C-407B-877B-4BE5C403AB2B}"/>
                </c:ext>
              </c:extLst>
            </c:dLbl>
            <c:dLbl>
              <c:idx val="4"/>
              <c:layout>
                <c:manualLayout>
                  <c:x val="9.00191290649263E-3"/>
                  <c:y val="-1.3394061404601855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A1C-407B-877B-4BE5C403AB2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 II-3'!$D$3:$H$3</c:f>
              <c:numCache>
                <c:formatCode>General</c:formatCode>
                <c:ptCount val="5"/>
                <c:pt idx="0">
                  <c:v>2013</c:v>
                </c:pt>
                <c:pt idx="1">
                  <c:v>2014</c:v>
                </c:pt>
                <c:pt idx="2">
                  <c:v>2015</c:v>
                </c:pt>
                <c:pt idx="3">
                  <c:v>2016</c:v>
                </c:pt>
                <c:pt idx="4">
                  <c:v>2017</c:v>
                </c:pt>
              </c:numCache>
            </c:numRef>
          </c:cat>
          <c:val>
            <c:numRef>
              <c:f>'Граф II-3'!$D$6:$H$6</c:f>
              <c:numCache>
                <c:formatCode>0.00%</c:formatCode>
                <c:ptCount val="5"/>
                <c:pt idx="0">
                  <c:v>2.3399999999999997E-2</c:v>
                </c:pt>
                <c:pt idx="1">
                  <c:v>2.5399999999999999E-2</c:v>
                </c:pt>
                <c:pt idx="2">
                  <c:v>2.29E-2</c:v>
                </c:pt>
                <c:pt idx="3">
                  <c:v>2.1856806392017841E-2</c:v>
                </c:pt>
                <c:pt idx="4">
                  <c:v>2.2477759358685699E-2</c:v>
                </c:pt>
              </c:numCache>
            </c:numRef>
          </c:val>
          <c:extLst>
            <c:ext xmlns:c16="http://schemas.microsoft.com/office/drawing/2014/chart" uri="{C3380CC4-5D6E-409C-BE32-E72D297353CC}">
              <c16:uniqueId val="{00000002-0A1C-407B-877B-4BE5C403AB2B}"/>
            </c:ext>
          </c:extLst>
        </c:ser>
        <c:dLbls>
          <c:showLegendKey val="0"/>
          <c:showVal val="0"/>
          <c:showCatName val="0"/>
          <c:showSerName val="0"/>
          <c:showPercent val="0"/>
          <c:showBubbleSize val="0"/>
        </c:dLbls>
        <c:gapWidth val="219"/>
        <c:overlap val="-27"/>
        <c:axId val="249243520"/>
        <c:axId val="249245056"/>
      </c:barChart>
      <c:catAx>
        <c:axId val="249243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249245056"/>
        <c:crosses val="autoZero"/>
        <c:auto val="1"/>
        <c:lblAlgn val="ctr"/>
        <c:lblOffset val="100"/>
        <c:noMultiLvlLbl val="0"/>
      </c:catAx>
      <c:valAx>
        <c:axId val="24924505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249243520"/>
        <c:crosses val="autoZero"/>
        <c:crossBetween val="between"/>
      </c:valAx>
      <c:spPr>
        <a:noFill/>
        <a:ln>
          <a:solidFill>
            <a:schemeClr val="bg1">
              <a:lumMod val="65000"/>
            </a:schemeClr>
          </a:solid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9"/>
    </mc:Choice>
    <mc:Fallback>
      <c:style val="3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1.3639958856494289E-2"/>
          <c:y val="2.174546786302875E-2"/>
          <c:w val="0.68571645230213474"/>
          <c:h val="0.87175232021076732"/>
        </c:manualLayout>
      </c:layout>
      <c:barChart>
        <c:barDir val="col"/>
        <c:grouping val="percentStacked"/>
        <c:varyColors val="0"/>
        <c:ser>
          <c:idx val="0"/>
          <c:order val="0"/>
          <c:tx>
            <c:strRef>
              <c:f>Sheet1!$A$2</c:f>
              <c:strCache>
                <c:ptCount val="1"/>
                <c:pt idx="0">
                  <c:v>Данъчни приходи</c:v>
                </c:pt>
              </c:strCache>
            </c:strRef>
          </c:tx>
          <c:invertIfNegative val="0"/>
          <c:dLbls>
            <c:dLbl>
              <c:idx val="0"/>
              <c:layout>
                <c:manualLayout>
                  <c:x val="1.101885925480929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B22-4C60-97A7-0D24592E2C68}"/>
                </c:ext>
              </c:extLst>
            </c:dLbl>
            <c:dLbl>
              <c:idx val="1"/>
              <c:layout>
                <c:manualLayout>
                  <c:x val="1.322263110577115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B22-4C60-97A7-0D24592E2C68}"/>
                </c:ext>
              </c:extLst>
            </c:dLbl>
            <c:dLbl>
              <c:idx val="2"/>
              <c:layout>
                <c:manualLayout>
                  <c:x val="1.322263110577115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B22-4C60-97A7-0D24592E2C68}"/>
                </c:ext>
              </c:extLst>
            </c:dLbl>
            <c:dLbl>
              <c:idx val="3"/>
              <c:layout>
                <c:manualLayout>
                  <c:x val="1.322263110577115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B22-4C60-97A7-0D24592E2C68}"/>
                </c:ext>
              </c:extLst>
            </c:dLbl>
            <c:numFmt formatCode="0.0%" sourceLinked="0"/>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4"/>
                <c:pt idx="0">
                  <c:v>2019 оч. изпъл.</c:v>
                </c:pt>
                <c:pt idx="1">
                  <c:v>2020 п</c:v>
                </c:pt>
                <c:pt idx="2">
                  <c:v>2021 п</c:v>
                </c:pt>
                <c:pt idx="3">
                  <c:v>2022 п</c:v>
                </c:pt>
              </c:strCache>
            </c:strRef>
          </c:cat>
          <c:val>
            <c:numRef>
              <c:f>Sheet1!$B$2:$F$2</c:f>
              <c:numCache>
                <c:formatCode>0.0%</c:formatCode>
                <c:ptCount val="4"/>
                <c:pt idx="0">
                  <c:v>0.56297885041813722</c:v>
                </c:pt>
                <c:pt idx="1">
                  <c:v>0.55772754544783099</c:v>
                </c:pt>
                <c:pt idx="2">
                  <c:v>0.56646854399660462</c:v>
                </c:pt>
                <c:pt idx="3">
                  <c:v>0.57330593980268607</c:v>
                </c:pt>
              </c:numCache>
            </c:numRef>
          </c:val>
          <c:extLst>
            <c:ext xmlns:c16="http://schemas.microsoft.com/office/drawing/2014/chart" uri="{C3380CC4-5D6E-409C-BE32-E72D297353CC}">
              <c16:uniqueId val="{00000004-8B22-4C60-97A7-0D24592E2C68}"/>
            </c:ext>
          </c:extLst>
        </c:ser>
        <c:ser>
          <c:idx val="1"/>
          <c:order val="1"/>
          <c:tx>
            <c:strRef>
              <c:f>Sheet1!$A$3</c:f>
              <c:strCache>
                <c:ptCount val="1"/>
                <c:pt idx="0">
                  <c:v>Приходи на социалното и здравното осигуряване</c:v>
                </c:pt>
              </c:strCache>
            </c:strRef>
          </c:tx>
          <c:invertIfNegative val="0"/>
          <c:dLbls>
            <c:dLbl>
              <c:idx val="0"/>
              <c:layout>
                <c:manualLayout>
                  <c:x val="2.2134674044122862E-2"/>
                  <c:y val="3.5191131835460436E-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B22-4C60-97A7-0D24592E2C68}"/>
                </c:ext>
              </c:extLst>
            </c:dLbl>
            <c:dLbl>
              <c:idx val="1"/>
              <c:layout>
                <c:manualLayout>
                  <c:x val="3.1192097609420485E-2"/>
                  <c:y val="-3.724394785847299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B22-4C60-97A7-0D24592E2C68}"/>
                </c:ext>
              </c:extLst>
            </c:dLbl>
            <c:dLbl>
              <c:idx val="2"/>
              <c:layout>
                <c:manualLayout>
                  <c:x val="2.4532347307937859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B22-4C60-97A7-0D24592E2C68}"/>
                </c:ext>
              </c:extLst>
            </c:dLbl>
            <c:dLbl>
              <c:idx val="3"/>
              <c:layout>
                <c:manualLayout>
                  <c:x val="2.8988437256153791E-2"/>
                  <c:y val="6.8279782299995497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B22-4C60-97A7-0D24592E2C68}"/>
                </c:ext>
              </c:extLst>
            </c:dLbl>
            <c:numFmt formatCode="0.0%" sourceLinked="0"/>
            <c:spPr>
              <a:noFill/>
              <a:ln>
                <a:noFill/>
              </a:ln>
              <a:effectLst/>
            </c:spPr>
            <c:txPr>
              <a:bodyPr rot="0" vert="horz" lIns="38100" tIns="19050" rIns="38100" bIns="19050">
                <a:spAutoFit/>
              </a:bodyPr>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4"/>
                <c:pt idx="0">
                  <c:v>2019 оч. изпъл.</c:v>
                </c:pt>
                <c:pt idx="1">
                  <c:v>2020 п</c:v>
                </c:pt>
                <c:pt idx="2">
                  <c:v>2021 п</c:v>
                </c:pt>
                <c:pt idx="3">
                  <c:v>2022 п</c:v>
                </c:pt>
              </c:strCache>
            </c:strRef>
          </c:cat>
          <c:val>
            <c:numRef>
              <c:f>Sheet1!$B$3:$F$3</c:f>
              <c:numCache>
                <c:formatCode>0.0%</c:formatCode>
                <c:ptCount val="4"/>
                <c:pt idx="0">
                  <c:v>0.23836828483054259</c:v>
                </c:pt>
                <c:pt idx="1">
                  <c:v>0.23989015887458226</c:v>
                </c:pt>
                <c:pt idx="2">
                  <c:v>0.24522936353191324</c:v>
                </c:pt>
                <c:pt idx="3">
                  <c:v>0.24868438661026912</c:v>
                </c:pt>
              </c:numCache>
            </c:numRef>
          </c:val>
          <c:extLst>
            <c:ext xmlns:c16="http://schemas.microsoft.com/office/drawing/2014/chart" uri="{C3380CC4-5D6E-409C-BE32-E72D297353CC}">
              <c16:uniqueId val="{00000009-8B22-4C60-97A7-0D24592E2C68}"/>
            </c:ext>
          </c:extLst>
        </c:ser>
        <c:ser>
          <c:idx val="2"/>
          <c:order val="2"/>
          <c:tx>
            <c:strRef>
              <c:f>Sheet1!$A$4</c:f>
              <c:strCache>
                <c:ptCount val="1"/>
                <c:pt idx="0">
                  <c:v>Неданъчни приходи</c:v>
                </c:pt>
              </c:strCache>
            </c:strRef>
          </c:tx>
          <c:invertIfNegative val="0"/>
          <c:dLbls>
            <c:dLbl>
              <c:idx val="0"/>
              <c:layout>
                <c:manualLayout>
                  <c:x val="2.203771850961859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B22-4C60-97A7-0D24592E2C68}"/>
                </c:ext>
              </c:extLst>
            </c:dLbl>
            <c:dLbl>
              <c:idx val="1"/>
              <c:layout>
                <c:manualLayout>
                  <c:x val="2.2037674055091525E-2"/>
                  <c:y val="-7.441567478483793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8B22-4C60-97A7-0D24592E2C68}"/>
                </c:ext>
              </c:extLst>
            </c:dLbl>
            <c:dLbl>
              <c:idx val="2"/>
              <c:layout>
                <c:manualLayout>
                  <c:x val="2.203771850961859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8B22-4C60-97A7-0D24592E2C68}"/>
                </c:ext>
              </c:extLst>
            </c:dLbl>
            <c:dLbl>
              <c:idx val="3"/>
              <c:layout>
                <c:manualLayout>
                  <c:x val="2.424149036058045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B22-4C60-97A7-0D24592E2C68}"/>
                </c:ext>
              </c:extLst>
            </c:dLbl>
            <c:numFmt formatCode="0.0%" sourceLinked="0"/>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4"/>
                <c:pt idx="0">
                  <c:v>2019 оч. изпъл.</c:v>
                </c:pt>
                <c:pt idx="1">
                  <c:v>2020 п</c:v>
                </c:pt>
                <c:pt idx="2">
                  <c:v>2021 п</c:v>
                </c:pt>
                <c:pt idx="3">
                  <c:v>2022 п</c:v>
                </c:pt>
              </c:strCache>
            </c:strRef>
          </c:cat>
          <c:val>
            <c:numRef>
              <c:f>Sheet1!$B$4:$F$4</c:f>
              <c:numCache>
                <c:formatCode>0.0%</c:formatCode>
                <c:ptCount val="4"/>
                <c:pt idx="0">
                  <c:v>0.14759309090996445</c:v>
                </c:pt>
                <c:pt idx="1">
                  <c:v>0.14484704862480005</c:v>
                </c:pt>
                <c:pt idx="2">
                  <c:v>0.1328044668573789</c:v>
                </c:pt>
                <c:pt idx="3">
                  <c:v>0.12722782267057214</c:v>
                </c:pt>
              </c:numCache>
            </c:numRef>
          </c:val>
          <c:extLst>
            <c:ext xmlns:c16="http://schemas.microsoft.com/office/drawing/2014/chart" uri="{C3380CC4-5D6E-409C-BE32-E72D297353CC}">
              <c16:uniqueId val="{0000000E-8B22-4C60-97A7-0D24592E2C68}"/>
            </c:ext>
          </c:extLst>
        </c:ser>
        <c:ser>
          <c:idx val="3"/>
          <c:order val="3"/>
          <c:tx>
            <c:strRef>
              <c:f>Sheet1!$A$5</c:f>
              <c:strCache>
                <c:ptCount val="1"/>
                <c:pt idx="0">
                  <c:v>Помощи и дарения</c:v>
                </c:pt>
              </c:strCache>
            </c:strRef>
          </c:tx>
          <c:invertIfNegative val="0"/>
          <c:dLbls>
            <c:dLbl>
              <c:idx val="0"/>
              <c:layout>
                <c:manualLayout>
                  <c:x val="1.801784067532099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8B22-4C60-97A7-0D24592E2C68}"/>
                </c:ext>
              </c:extLst>
            </c:dLbl>
            <c:dLbl>
              <c:idx val="1"/>
              <c:layout>
                <c:manualLayout>
                  <c:x val="2.0270270270270271E-2"/>
                  <c:y val="-3.724394785847299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8B22-4C60-97A7-0D24592E2C68}"/>
                </c:ext>
              </c:extLst>
            </c:dLbl>
            <c:dLbl>
              <c:idx val="2"/>
              <c:layout>
                <c:manualLayout>
                  <c:x val="1.8357893640926423E-2"/>
                  <c:y val="-6.055357992672118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F61-4816-92A0-35525219D0A8}"/>
                </c:ext>
              </c:extLst>
            </c:dLbl>
            <c:dLbl>
              <c:idx val="3"/>
              <c:layout>
                <c:manualLayout>
                  <c:x val="2.0626840938569587E-2"/>
                  <c:y val="-3.7297801789924856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8B22-4C60-97A7-0D24592E2C68}"/>
                </c:ext>
              </c:extLst>
            </c:dLbl>
            <c:spPr>
              <a:noFill/>
              <a:ln>
                <a:noFill/>
              </a:ln>
              <a:effectLst/>
            </c:spPr>
            <c:txPr>
              <a:bodyPr rot="0" vert="horz"/>
              <a:lstStyle/>
              <a:p>
                <a:pPr>
                  <a:defRPr/>
                </a:pPr>
                <a:endParaRPr lang="bg-BG"/>
              </a:p>
            </c:txPr>
            <c:showLegendKey val="1"/>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4"/>
                <c:pt idx="0">
                  <c:v>2019 оч. изпъл.</c:v>
                </c:pt>
                <c:pt idx="1">
                  <c:v>2020 п</c:v>
                </c:pt>
                <c:pt idx="2">
                  <c:v>2021 п</c:v>
                </c:pt>
                <c:pt idx="3">
                  <c:v>2022 п</c:v>
                </c:pt>
              </c:strCache>
            </c:strRef>
          </c:cat>
          <c:val>
            <c:numRef>
              <c:f>Sheet1!$B$5:$F$5</c:f>
              <c:numCache>
                <c:formatCode>0.0%</c:formatCode>
                <c:ptCount val="4"/>
                <c:pt idx="0">
                  <c:v>5.1059773841355731E-2</c:v>
                </c:pt>
                <c:pt idx="1">
                  <c:v>5.7535247052786717E-2</c:v>
                </c:pt>
                <c:pt idx="2">
                  <c:v>5.5497625614103208E-2</c:v>
                </c:pt>
                <c:pt idx="3">
                  <c:v>5.0781850916472693E-2</c:v>
                </c:pt>
              </c:numCache>
            </c:numRef>
          </c:val>
          <c:extLst>
            <c:ext xmlns:c16="http://schemas.microsoft.com/office/drawing/2014/chart" uri="{C3380CC4-5D6E-409C-BE32-E72D297353CC}">
              <c16:uniqueId val="{00000013-8B22-4C60-97A7-0D24592E2C68}"/>
            </c:ext>
          </c:extLst>
        </c:ser>
        <c:dLbls>
          <c:showLegendKey val="0"/>
          <c:showVal val="0"/>
          <c:showCatName val="0"/>
          <c:showSerName val="0"/>
          <c:showPercent val="0"/>
          <c:showBubbleSize val="0"/>
        </c:dLbls>
        <c:gapWidth val="60"/>
        <c:overlap val="100"/>
        <c:axId val="250531840"/>
        <c:axId val="250533376"/>
      </c:barChart>
      <c:catAx>
        <c:axId val="250531840"/>
        <c:scaling>
          <c:orientation val="minMax"/>
        </c:scaling>
        <c:delete val="0"/>
        <c:axPos val="b"/>
        <c:numFmt formatCode="General" sourceLinked="1"/>
        <c:majorTickMark val="out"/>
        <c:minorTickMark val="none"/>
        <c:tickLblPos val="nextTo"/>
        <c:txPr>
          <a:bodyPr rot="-60000000" vert="horz"/>
          <a:lstStyle/>
          <a:p>
            <a:pPr>
              <a:defRPr/>
            </a:pPr>
            <a:endParaRPr lang="bg-BG"/>
          </a:p>
        </c:txPr>
        <c:crossAx val="250533376"/>
        <c:crosses val="autoZero"/>
        <c:auto val="1"/>
        <c:lblAlgn val="ctr"/>
        <c:lblOffset val="100"/>
        <c:noMultiLvlLbl val="0"/>
      </c:catAx>
      <c:valAx>
        <c:axId val="250533376"/>
        <c:scaling>
          <c:orientation val="minMax"/>
        </c:scaling>
        <c:delete val="1"/>
        <c:axPos val="l"/>
        <c:numFmt formatCode="0%" sourceLinked="1"/>
        <c:majorTickMark val="out"/>
        <c:minorTickMark val="none"/>
        <c:tickLblPos val="nextTo"/>
        <c:crossAx val="250531840"/>
        <c:crosses val="autoZero"/>
        <c:crossBetween val="between"/>
      </c:valAx>
    </c:plotArea>
    <c:legend>
      <c:legendPos val="r"/>
      <c:layout>
        <c:manualLayout>
          <c:xMode val="edge"/>
          <c:yMode val="edge"/>
          <c:x val="0.72553095568936232"/>
          <c:y val="5.0380066128097624E-3"/>
          <c:w val="0.27446904431063768"/>
          <c:h val="0.79257365556578152"/>
        </c:manualLayout>
      </c:layout>
      <c:overlay val="0"/>
      <c:txPr>
        <a:bodyPr rot="0" vert="horz"/>
        <a:lstStyle/>
        <a:p>
          <a:pPr>
            <a:defRPr/>
          </a:pPr>
          <a:endParaRPr lang="bg-BG"/>
        </a:p>
      </c:txPr>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1683478445068936"/>
          <c:y val="3.9586098121034606E-2"/>
          <c:w val="0.67212858866732061"/>
          <c:h val="0.52296957781323317"/>
        </c:manualLayout>
      </c:layout>
      <c:barChart>
        <c:barDir val="bar"/>
        <c:grouping val="stacked"/>
        <c:varyColors val="0"/>
        <c:ser>
          <c:idx val="0"/>
          <c:order val="0"/>
          <c:tx>
            <c:strRef>
              <c:f>Sheet1!$A$2</c:f>
              <c:strCache>
                <c:ptCount val="1"/>
                <c:pt idx="0">
                  <c:v>Текущи нелихвени разходи</c:v>
                </c:pt>
              </c:strCache>
            </c:strRef>
          </c:tx>
          <c:spPr>
            <a:solidFill>
              <a:srgbClr val="C0504D">
                <a:lumMod val="40000"/>
                <a:lumOff val="60000"/>
                <a:alpha val="83000"/>
              </a:srgbClr>
            </a:solidFill>
          </c:spPr>
          <c:invertIfNegative val="0"/>
          <c:dLbls>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2019 ревиз. оценка</c:v>
                </c:pt>
                <c:pt idx="1">
                  <c:v>2020 п</c:v>
                </c:pt>
                <c:pt idx="2">
                  <c:v>2021 п</c:v>
                </c:pt>
                <c:pt idx="3">
                  <c:v>2022 п</c:v>
                </c:pt>
              </c:strCache>
            </c:strRef>
          </c:cat>
          <c:val>
            <c:numRef>
              <c:f>Sheet1!$B$2:$E$2</c:f>
              <c:numCache>
                <c:formatCode>0.0%</c:formatCode>
                <c:ptCount val="4"/>
                <c:pt idx="0">
                  <c:v>0.77198988894992182</c:v>
                </c:pt>
                <c:pt idx="1">
                  <c:v>0.81143989965897845</c:v>
                </c:pt>
                <c:pt idx="2">
                  <c:v>0.81838974411879373</c:v>
                </c:pt>
                <c:pt idx="3">
                  <c:v>0.81233161596261672</c:v>
                </c:pt>
              </c:numCache>
            </c:numRef>
          </c:val>
          <c:extLst>
            <c:ext xmlns:c16="http://schemas.microsoft.com/office/drawing/2014/chart" uri="{C3380CC4-5D6E-409C-BE32-E72D297353CC}">
              <c16:uniqueId val="{00000000-7AA4-4A45-AFEE-19202807CACB}"/>
            </c:ext>
          </c:extLst>
        </c:ser>
        <c:ser>
          <c:idx val="1"/>
          <c:order val="1"/>
          <c:tx>
            <c:strRef>
              <c:f>Sheet1!$A$3</c:f>
              <c:strCache>
                <c:ptCount val="1"/>
                <c:pt idx="0">
                  <c:v>Капиталови разходи</c:v>
                </c:pt>
              </c:strCache>
            </c:strRef>
          </c:tx>
          <c:spPr>
            <a:solidFill>
              <a:srgbClr val="C0504D">
                <a:lumMod val="40000"/>
                <a:lumOff val="60000"/>
              </a:srgbClr>
            </a:solidFill>
          </c:spPr>
          <c:invertIfNegative val="0"/>
          <c:dLbls>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2019 ревиз. оценка</c:v>
                </c:pt>
                <c:pt idx="1">
                  <c:v>2020 п</c:v>
                </c:pt>
                <c:pt idx="2">
                  <c:v>2021 п</c:v>
                </c:pt>
                <c:pt idx="3">
                  <c:v>2022 п</c:v>
                </c:pt>
              </c:strCache>
            </c:strRef>
          </c:cat>
          <c:val>
            <c:numRef>
              <c:f>Sheet1!$B$3:$E$3</c:f>
              <c:numCache>
                <c:formatCode>0.0%</c:formatCode>
                <c:ptCount val="4"/>
                <c:pt idx="0">
                  <c:v>0.18135676140099713</c:v>
                </c:pt>
                <c:pt idx="1">
                  <c:v>0.14002691274655887</c:v>
                </c:pt>
                <c:pt idx="2">
                  <c:v>0.13113179910833694</c:v>
                </c:pt>
                <c:pt idx="3">
                  <c:v>0.13475123415001153</c:v>
                </c:pt>
              </c:numCache>
            </c:numRef>
          </c:val>
          <c:extLst>
            <c:ext xmlns:c16="http://schemas.microsoft.com/office/drawing/2014/chart" uri="{C3380CC4-5D6E-409C-BE32-E72D297353CC}">
              <c16:uniqueId val="{00000001-7AA4-4A45-AFEE-19202807CACB}"/>
            </c:ext>
          </c:extLst>
        </c:ser>
        <c:ser>
          <c:idx val="2"/>
          <c:order val="2"/>
          <c:tx>
            <c:strRef>
              <c:f>Sheet1!$A$4</c:f>
              <c:strCache>
                <c:ptCount val="1"/>
                <c:pt idx="0">
                  <c:v>Вноска в бюджета на ЕС</c:v>
                </c:pt>
              </c:strCache>
            </c:strRef>
          </c:tx>
          <c:spPr>
            <a:solidFill>
              <a:srgbClr val="C0504D">
                <a:lumMod val="60000"/>
                <a:lumOff val="40000"/>
              </a:srgbClr>
            </a:solidFill>
          </c:spPr>
          <c:invertIfNegative val="0"/>
          <c:cat>
            <c:strRef>
              <c:f>Sheet1!$B$1:$E$1</c:f>
              <c:strCache>
                <c:ptCount val="4"/>
                <c:pt idx="0">
                  <c:v>2019 ревиз. оценка</c:v>
                </c:pt>
                <c:pt idx="1">
                  <c:v>2020 п</c:v>
                </c:pt>
                <c:pt idx="2">
                  <c:v>2021 п</c:v>
                </c:pt>
                <c:pt idx="3">
                  <c:v>2022 п</c:v>
                </c:pt>
              </c:strCache>
            </c:strRef>
          </c:cat>
          <c:val>
            <c:numRef>
              <c:f>Sheet1!$B$4:$E$4</c:f>
              <c:numCache>
                <c:formatCode>0.0%</c:formatCode>
                <c:ptCount val="4"/>
                <c:pt idx="0">
                  <c:v>2.7697968323277811E-2</c:v>
                </c:pt>
                <c:pt idx="1">
                  <c:v>2.9841703979933496E-2</c:v>
                </c:pt>
                <c:pt idx="2">
                  <c:v>3.1842490961019675E-2</c:v>
                </c:pt>
                <c:pt idx="3">
                  <c:v>3.3256943376025576E-2</c:v>
                </c:pt>
              </c:numCache>
            </c:numRef>
          </c:val>
          <c:extLst>
            <c:ext xmlns:c16="http://schemas.microsoft.com/office/drawing/2014/chart" uri="{C3380CC4-5D6E-409C-BE32-E72D297353CC}">
              <c16:uniqueId val="{00000002-7AA4-4A45-AFEE-19202807CACB}"/>
            </c:ext>
          </c:extLst>
        </c:ser>
        <c:ser>
          <c:idx val="3"/>
          <c:order val="3"/>
          <c:tx>
            <c:strRef>
              <c:f>Sheet1!$A$5</c:f>
              <c:strCache>
                <c:ptCount val="1"/>
                <c:pt idx="0">
                  <c:v>Лихви</c:v>
                </c:pt>
              </c:strCache>
            </c:strRef>
          </c:tx>
          <c:spPr>
            <a:solidFill>
              <a:srgbClr val="C0504D">
                <a:lumMod val="75000"/>
              </a:srgbClr>
            </a:solidFill>
          </c:spPr>
          <c:invertIfNegative val="0"/>
          <c:cat>
            <c:strRef>
              <c:f>Sheet1!$B$1:$E$1</c:f>
              <c:strCache>
                <c:ptCount val="4"/>
                <c:pt idx="0">
                  <c:v>2019 ревиз. оценка</c:v>
                </c:pt>
                <c:pt idx="1">
                  <c:v>2020 п</c:v>
                </c:pt>
                <c:pt idx="2">
                  <c:v>2021 п</c:v>
                </c:pt>
                <c:pt idx="3">
                  <c:v>2022 п</c:v>
                </c:pt>
              </c:strCache>
            </c:strRef>
          </c:cat>
          <c:val>
            <c:numRef>
              <c:f>Sheet1!$B$5:$E$5</c:f>
              <c:numCache>
                <c:formatCode>0.0%</c:formatCode>
                <c:ptCount val="4"/>
                <c:pt idx="0">
                  <c:v>1.4457495659548207E-2</c:v>
                </c:pt>
                <c:pt idx="1">
                  <c:v>1.398641192135907E-2</c:v>
                </c:pt>
                <c:pt idx="2">
                  <c:v>1.3878388197267128E-2</c:v>
                </c:pt>
                <c:pt idx="3">
                  <c:v>1.4908757335840427E-2</c:v>
                </c:pt>
              </c:numCache>
            </c:numRef>
          </c:val>
          <c:extLst>
            <c:ext xmlns:c16="http://schemas.microsoft.com/office/drawing/2014/chart" uri="{C3380CC4-5D6E-409C-BE32-E72D297353CC}">
              <c16:uniqueId val="{00000003-7AA4-4A45-AFEE-19202807CACB}"/>
            </c:ext>
          </c:extLst>
        </c:ser>
        <c:ser>
          <c:idx val="4"/>
          <c:order val="4"/>
          <c:tx>
            <c:strRef>
              <c:f>Sheet1!$A$6</c:f>
              <c:strCache>
                <c:ptCount val="1"/>
                <c:pt idx="0">
                  <c:v>Резерв за непредвидени и/или неотложни разходи</c:v>
                </c:pt>
              </c:strCache>
            </c:strRef>
          </c:tx>
          <c:spPr>
            <a:solidFill>
              <a:srgbClr val="C0504D">
                <a:lumMod val="50000"/>
              </a:srgbClr>
            </a:solidFill>
          </c:spPr>
          <c:invertIfNegative val="0"/>
          <c:cat>
            <c:strRef>
              <c:f>Sheet1!$B$1:$E$1</c:f>
              <c:strCache>
                <c:ptCount val="4"/>
                <c:pt idx="0">
                  <c:v>2019 ревиз. оценка</c:v>
                </c:pt>
                <c:pt idx="1">
                  <c:v>2020 п</c:v>
                </c:pt>
                <c:pt idx="2">
                  <c:v>2021 п</c:v>
                </c:pt>
                <c:pt idx="3">
                  <c:v>2022 п</c:v>
                </c:pt>
              </c:strCache>
            </c:strRef>
          </c:cat>
          <c:val>
            <c:numRef>
              <c:f>Sheet1!$B$6:$E$6</c:f>
              <c:numCache>
                <c:formatCode>0.0%</c:formatCode>
                <c:ptCount val="4"/>
                <c:pt idx="0">
                  <c:v>4.4978856662550486E-3</c:v>
                </c:pt>
                <c:pt idx="1">
                  <c:v>4.7050716931700855E-3</c:v>
                </c:pt>
                <c:pt idx="2">
                  <c:v>4.7575776145825028E-3</c:v>
                </c:pt>
                <c:pt idx="3">
                  <c:v>4.7514491755056617E-3</c:v>
                </c:pt>
              </c:numCache>
            </c:numRef>
          </c:val>
          <c:extLst>
            <c:ext xmlns:c16="http://schemas.microsoft.com/office/drawing/2014/chart" uri="{C3380CC4-5D6E-409C-BE32-E72D297353CC}">
              <c16:uniqueId val="{00000004-7AA4-4A45-AFEE-19202807CACB}"/>
            </c:ext>
          </c:extLst>
        </c:ser>
        <c:ser>
          <c:idx val="5"/>
          <c:order val="5"/>
          <c:tx>
            <c:strRef>
              <c:f>Sheet1!$A$7</c:f>
              <c:strCache>
                <c:ptCount val="1"/>
              </c:strCache>
            </c:strRef>
          </c:tx>
          <c:invertIfNegative val="0"/>
          <c:cat>
            <c:strRef>
              <c:f>Sheet1!$B$1:$E$1</c:f>
              <c:strCache>
                <c:ptCount val="4"/>
                <c:pt idx="0">
                  <c:v>2019 ревиз. оценка</c:v>
                </c:pt>
                <c:pt idx="1">
                  <c:v>2020 п</c:v>
                </c:pt>
                <c:pt idx="2">
                  <c:v>2021 п</c:v>
                </c:pt>
                <c:pt idx="3">
                  <c:v>2022 п</c:v>
                </c:pt>
              </c:strCache>
            </c:strRef>
          </c:cat>
          <c:val>
            <c:numRef>
              <c:f>Sheet1!$B$7:$E$7</c:f>
            </c:numRef>
          </c:val>
          <c:extLst>
            <c:ext xmlns:c16="http://schemas.microsoft.com/office/drawing/2014/chart" uri="{C3380CC4-5D6E-409C-BE32-E72D297353CC}">
              <c16:uniqueId val="{00000005-7AA4-4A45-AFEE-19202807CACB}"/>
            </c:ext>
          </c:extLst>
        </c:ser>
        <c:ser>
          <c:idx val="6"/>
          <c:order val="6"/>
          <c:tx>
            <c:strRef>
              <c:f>Sheet1!$A$8</c:f>
              <c:strCache>
                <c:ptCount val="1"/>
              </c:strCache>
            </c:strRef>
          </c:tx>
          <c:invertIfNegative val="0"/>
          <c:cat>
            <c:strRef>
              <c:f>Sheet1!$B$1:$E$1</c:f>
              <c:strCache>
                <c:ptCount val="4"/>
                <c:pt idx="0">
                  <c:v>2019 ревиз. оценка</c:v>
                </c:pt>
                <c:pt idx="1">
                  <c:v>2020 п</c:v>
                </c:pt>
                <c:pt idx="2">
                  <c:v>2021 п</c:v>
                </c:pt>
                <c:pt idx="3">
                  <c:v>2022 п</c:v>
                </c:pt>
              </c:strCache>
            </c:strRef>
          </c:cat>
          <c:val>
            <c:numRef>
              <c:f>Sheet1!$B$8:$E$8</c:f>
            </c:numRef>
          </c:val>
          <c:extLst>
            <c:ext xmlns:c16="http://schemas.microsoft.com/office/drawing/2014/chart" uri="{C3380CC4-5D6E-409C-BE32-E72D297353CC}">
              <c16:uniqueId val="{00000006-7AA4-4A45-AFEE-19202807CACB}"/>
            </c:ext>
          </c:extLst>
        </c:ser>
        <c:ser>
          <c:idx val="7"/>
          <c:order val="7"/>
          <c:tx>
            <c:strRef>
              <c:f>Sheet1!$A$9</c:f>
              <c:strCache>
                <c:ptCount val="1"/>
              </c:strCache>
            </c:strRef>
          </c:tx>
          <c:invertIfNegative val="0"/>
          <c:cat>
            <c:strRef>
              <c:f>Sheet1!$B$1:$E$1</c:f>
              <c:strCache>
                <c:ptCount val="4"/>
                <c:pt idx="0">
                  <c:v>2019 ревиз. оценка</c:v>
                </c:pt>
                <c:pt idx="1">
                  <c:v>2020 п</c:v>
                </c:pt>
                <c:pt idx="2">
                  <c:v>2021 п</c:v>
                </c:pt>
                <c:pt idx="3">
                  <c:v>2022 п</c:v>
                </c:pt>
              </c:strCache>
            </c:strRef>
          </c:cat>
          <c:val>
            <c:numRef>
              <c:f>Sheet1!$B$9:$E$9</c:f>
            </c:numRef>
          </c:val>
          <c:extLst>
            <c:ext xmlns:c16="http://schemas.microsoft.com/office/drawing/2014/chart" uri="{C3380CC4-5D6E-409C-BE32-E72D297353CC}">
              <c16:uniqueId val="{00000007-7AA4-4A45-AFEE-19202807CACB}"/>
            </c:ext>
          </c:extLst>
        </c:ser>
        <c:dLbls>
          <c:showLegendKey val="0"/>
          <c:showVal val="0"/>
          <c:showCatName val="0"/>
          <c:showSerName val="0"/>
          <c:showPercent val="0"/>
          <c:showBubbleSize val="0"/>
        </c:dLbls>
        <c:gapWidth val="28"/>
        <c:overlap val="100"/>
        <c:axId val="250829440"/>
        <c:axId val="250839424"/>
      </c:barChart>
      <c:catAx>
        <c:axId val="250829440"/>
        <c:scaling>
          <c:orientation val="minMax"/>
        </c:scaling>
        <c:delete val="0"/>
        <c:axPos val="l"/>
        <c:numFmt formatCode="General" sourceLinked="0"/>
        <c:majorTickMark val="none"/>
        <c:minorTickMark val="none"/>
        <c:tickLblPos val="nextTo"/>
        <c:txPr>
          <a:bodyPr rot="-60000000" vert="horz"/>
          <a:lstStyle/>
          <a:p>
            <a:pPr>
              <a:defRPr/>
            </a:pPr>
            <a:endParaRPr lang="bg-BG"/>
          </a:p>
        </c:txPr>
        <c:crossAx val="250839424"/>
        <c:crosses val="autoZero"/>
        <c:auto val="1"/>
        <c:lblAlgn val="ctr"/>
        <c:lblOffset val="100"/>
        <c:noMultiLvlLbl val="0"/>
      </c:catAx>
      <c:valAx>
        <c:axId val="250839424"/>
        <c:scaling>
          <c:orientation val="minMax"/>
          <c:max val="1"/>
        </c:scaling>
        <c:delete val="0"/>
        <c:axPos val="b"/>
        <c:numFmt formatCode="0.0%" sourceLinked="1"/>
        <c:majorTickMark val="out"/>
        <c:minorTickMark val="none"/>
        <c:tickLblPos val="nextTo"/>
        <c:txPr>
          <a:bodyPr rot="-60000000" vert="horz"/>
          <a:lstStyle/>
          <a:p>
            <a:pPr>
              <a:defRPr/>
            </a:pPr>
            <a:endParaRPr lang="bg-BG"/>
          </a:p>
        </c:txPr>
        <c:crossAx val="250829440"/>
        <c:crosses val="autoZero"/>
        <c:crossBetween val="between"/>
        <c:majorUnit val="0.2"/>
      </c:valAx>
      <c:dTable>
        <c:showHorzBorder val="1"/>
        <c:showVertBorder val="1"/>
        <c:showOutline val="0"/>
        <c:showKeys val="1"/>
      </c:dTable>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151386943961305"/>
          <c:y val="9.2602759517445635E-2"/>
          <c:w val="0.83053691275167785"/>
          <c:h val="0.78697783456977755"/>
        </c:manualLayout>
      </c:layout>
      <c:barChart>
        <c:barDir val="col"/>
        <c:grouping val="clustered"/>
        <c:varyColors val="0"/>
        <c:ser>
          <c:idx val="0"/>
          <c:order val="0"/>
          <c:tx>
            <c:strRef>
              <c:f>Sheet1!$A$2</c:f>
              <c:strCache>
                <c:ptCount val="1"/>
                <c:pt idx="0">
                  <c:v>млн. лв.</c:v>
                </c:pt>
              </c:strCache>
            </c:strRef>
          </c:tx>
          <c:spPr>
            <a:solidFill>
              <a:srgbClr val="FBA68F"/>
            </a:solidFill>
            <a:ln>
              <a:solidFill>
                <a:srgbClr val="990000"/>
              </a:solidFill>
            </a:ln>
          </c:spPr>
          <c:invertIfNegative val="0"/>
          <c:dLbls>
            <c:numFmt formatCode="#,##0.0" sourceLinked="0"/>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 п</c:v>
                </c:pt>
                <c:pt idx="1">
                  <c:v>2021 п</c:v>
                </c:pt>
                <c:pt idx="2">
                  <c:v>2022 п</c:v>
                </c:pt>
              </c:strCache>
            </c:strRef>
          </c:cat>
          <c:val>
            <c:numRef>
              <c:f>Sheet1!$B$2:$D$2</c:f>
              <c:numCache>
                <c:formatCode>#,##0.00</c:formatCode>
                <c:ptCount val="3"/>
                <c:pt idx="0">
                  <c:v>2599.6896749999996</c:v>
                </c:pt>
                <c:pt idx="1">
                  <c:v>2613.1132000000002</c:v>
                </c:pt>
                <c:pt idx="2">
                  <c:v>2722.8564999999999</c:v>
                </c:pt>
              </c:numCache>
            </c:numRef>
          </c:val>
          <c:extLst>
            <c:ext xmlns:c16="http://schemas.microsoft.com/office/drawing/2014/chart" uri="{C3380CC4-5D6E-409C-BE32-E72D297353CC}">
              <c16:uniqueId val="{00000000-4023-49FE-A4A3-B14544B0A6C1}"/>
            </c:ext>
          </c:extLst>
        </c:ser>
        <c:dLbls>
          <c:showLegendKey val="0"/>
          <c:showVal val="0"/>
          <c:showCatName val="0"/>
          <c:showSerName val="0"/>
          <c:showPercent val="0"/>
          <c:showBubbleSize val="0"/>
        </c:dLbls>
        <c:gapWidth val="173"/>
        <c:axId val="253147776"/>
        <c:axId val="253178240"/>
      </c:barChart>
      <c:lineChart>
        <c:grouping val="standard"/>
        <c:varyColors val="0"/>
        <c:ser>
          <c:idx val="1"/>
          <c:order val="1"/>
          <c:tx>
            <c:strRef>
              <c:f>Sheet1!$A$3</c:f>
              <c:strCache>
                <c:ptCount val="1"/>
                <c:pt idx="0">
                  <c:v>% от БВП</c:v>
                </c:pt>
              </c:strCache>
            </c:strRef>
          </c:tx>
          <c:spPr>
            <a:ln>
              <a:solidFill>
                <a:srgbClr val="800000"/>
              </a:solidFill>
            </a:ln>
          </c:spPr>
          <c:marker>
            <c:spPr>
              <a:solidFill>
                <a:srgbClr val="800000"/>
              </a:solidFill>
              <a:ln>
                <a:solidFill>
                  <a:srgbClr val="800000"/>
                </a:solidFill>
              </a:ln>
            </c:spPr>
          </c:marker>
          <c:dPt>
            <c:idx val="0"/>
            <c:bubble3D val="0"/>
            <c:extLst>
              <c:ext xmlns:c16="http://schemas.microsoft.com/office/drawing/2014/chart" uri="{C3380CC4-5D6E-409C-BE32-E72D297353CC}">
                <c16:uniqueId val="{00000001-4023-49FE-A4A3-B14544B0A6C1}"/>
              </c:ext>
            </c:extLst>
          </c:dPt>
          <c:dPt>
            <c:idx val="1"/>
            <c:bubble3D val="0"/>
            <c:extLst>
              <c:ext xmlns:c16="http://schemas.microsoft.com/office/drawing/2014/chart" uri="{C3380CC4-5D6E-409C-BE32-E72D297353CC}">
                <c16:uniqueId val="{00000003-4023-49FE-A4A3-B14544B0A6C1}"/>
              </c:ext>
            </c:extLst>
          </c:dPt>
          <c:dPt>
            <c:idx val="2"/>
            <c:bubble3D val="0"/>
            <c:spPr>
              <a:ln w="38083">
                <a:solidFill>
                  <a:srgbClr val="800000"/>
                </a:solidFill>
              </a:ln>
            </c:spPr>
            <c:extLst>
              <c:ext xmlns:c16="http://schemas.microsoft.com/office/drawing/2014/chart" uri="{C3380CC4-5D6E-409C-BE32-E72D297353CC}">
                <c16:uniqueId val="{00000005-4023-49FE-A4A3-B14544B0A6C1}"/>
              </c:ext>
            </c:extLst>
          </c:dPt>
          <c:dPt>
            <c:idx val="3"/>
            <c:bubble3D val="0"/>
            <c:extLst>
              <c:ext xmlns:c16="http://schemas.microsoft.com/office/drawing/2014/chart" uri="{C3380CC4-5D6E-409C-BE32-E72D297353CC}">
                <c16:uniqueId val="{00000007-4023-49FE-A4A3-B14544B0A6C1}"/>
              </c:ext>
            </c:extLst>
          </c:dPt>
          <c:dLbls>
            <c:dLbl>
              <c:idx val="0"/>
              <c:layout>
                <c:manualLayout>
                  <c:x val="-9.6836853726617513E-3"/>
                  <c:y val="-3.0783493165049285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023-49FE-A4A3-B14544B0A6C1}"/>
                </c:ext>
              </c:extLst>
            </c:dLbl>
            <c:dLbl>
              <c:idx val="1"/>
              <c:layout>
                <c:manualLayout>
                  <c:x val="-3.6138711827688207E-2"/>
                  <c:y val="-5.6005446353104164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023-49FE-A4A3-B14544B0A6C1}"/>
                </c:ext>
              </c:extLst>
            </c:dLbl>
            <c:dLbl>
              <c:idx val="3"/>
              <c:layout>
                <c:manualLayout>
                  <c:x val="-1.8951689106308584E-2"/>
                  <c:y val="-6.6703762490650992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023-49FE-A4A3-B14544B0A6C1}"/>
                </c:ext>
              </c:extLst>
            </c:dLbl>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 п</c:v>
                </c:pt>
                <c:pt idx="1">
                  <c:v>2021 п</c:v>
                </c:pt>
                <c:pt idx="2">
                  <c:v>2022 п</c:v>
                </c:pt>
              </c:strCache>
            </c:strRef>
          </c:cat>
          <c:val>
            <c:numRef>
              <c:f>Sheet1!$B$3:$D$3</c:f>
              <c:numCache>
                <c:formatCode>0.0%</c:formatCode>
                <c:ptCount val="3"/>
                <c:pt idx="0">
                  <c:v>2.050728833387052E-2</c:v>
                </c:pt>
                <c:pt idx="1">
                  <c:v>1.9368564179485123E-2</c:v>
                </c:pt>
                <c:pt idx="2">
                  <c:v>1.8993752992931854E-2</c:v>
                </c:pt>
              </c:numCache>
            </c:numRef>
          </c:val>
          <c:smooth val="1"/>
          <c:extLst>
            <c:ext xmlns:c16="http://schemas.microsoft.com/office/drawing/2014/chart" uri="{C3380CC4-5D6E-409C-BE32-E72D297353CC}">
              <c16:uniqueId val="{00000008-4023-49FE-A4A3-B14544B0A6C1}"/>
            </c:ext>
          </c:extLst>
        </c:ser>
        <c:dLbls>
          <c:showLegendKey val="0"/>
          <c:showVal val="0"/>
          <c:showCatName val="0"/>
          <c:showSerName val="0"/>
          <c:showPercent val="0"/>
          <c:showBubbleSize val="0"/>
        </c:dLbls>
        <c:marker val="1"/>
        <c:smooth val="0"/>
        <c:axId val="253179776"/>
        <c:axId val="253181312"/>
      </c:lineChart>
      <c:catAx>
        <c:axId val="253147776"/>
        <c:scaling>
          <c:orientation val="minMax"/>
        </c:scaling>
        <c:delete val="0"/>
        <c:axPos val="b"/>
        <c:numFmt formatCode="General" sourceLinked="0"/>
        <c:majorTickMark val="out"/>
        <c:minorTickMark val="none"/>
        <c:tickLblPos val="nextTo"/>
        <c:txPr>
          <a:bodyPr rot="0" vert="horz"/>
          <a:lstStyle/>
          <a:p>
            <a:pPr>
              <a:defRPr/>
            </a:pPr>
            <a:endParaRPr lang="bg-BG"/>
          </a:p>
        </c:txPr>
        <c:crossAx val="253178240"/>
        <c:crosses val="autoZero"/>
        <c:auto val="1"/>
        <c:lblAlgn val="ctr"/>
        <c:lblOffset val="100"/>
        <c:tickLblSkip val="1"/>
        <c:tickMarkSkip val="1"/>
        <c:noMultiLvlLbl val="0"/>
      </c:catAx>
      <c:valAx>
        <c:axId val="253178240"/>
        <c:scaling>
          <c:orientation val="minMax"/>
          <c:max val="4500"/>
          <c:min val="0"/>
        </c:scaling>
        <c:delete val="0"/>
        <c:axPos val="l"/>
        <c:numFmt formatCode="#,##0" sourceLinked="0"/>
        <c:majorTickMark val="out"/>
        <c:minorTickMark val="none"/>
        <c:tickLblPos val="nextTo"/>
        <c:txPr>
          <a:bodyPr rot="0" vert="horz"/>
          <a:lstStyle/>
          <a:p>
            <a:pPr>
              <a:defRPr/>
            </a:pPr>
            <a:endParaRPr lang="bg-BG"/>
          </a:p>
        </c:txPr>
        <c:crossAx val="253147776"/>
        <c:crossesAt val="1"/>
        <c:crossBetween val="between"/>
        <c:majorUnit val="500"/>
      </c:valAx>
      <c:catAx>
        <c:axId val="253179776"/>
        <c:scaling>
          <c:orientation val="minMax"/>
        </c:scaling>
        <c:delete val="1"/>
        <c:axPos val="b"/>
        <c:numFmt formatCode="General" sourceLinked="1"/>
        <c:majorTickMark val="out"/>
        <c:minorTickMark val="none"/>
        <c:tickLblPos val="nextTo"/>
        <c:crossAx val="253181312"/>
        <c:crosses val="autoZero"/>
        <c:auto val="1"/>
        <c:lblAlgn val="ctr"/>
        <c:lblOffset val="100"/>
        <c:noMultiLvlLbl val="0"/>
      </c:catAx>
      <c:valAx>
        <c:axId val="253181312"/>
        <c:scaling>
          <c:orientation val="minMax"/>
          <c:max val="3.0000000000000006E-2"/>
          <c:min val="0"/>
        </c:scaling>
        <c:delete val="0"/>
        <c:axPos val="r"/>
        <c:numFmt formatCode="0.0%" sourceLinked="1"/>
        <c:majorTickMark val="out"/>
        <c:minorTickMark val="none"/>
        <c:tickLblPos val="nextTo"/>
        <c:crossAx val="253179776"/>
        <c:crosses val="max"/>
        <c:crossBetween val="between"/>
      </c:valAx>
    </c:plotArea>
    <c:legend>
      <c:legendPos val="b"/>
      <c:layout>
        <c:manualLayout>
          <c:xMode val="edge"/>
          <c:yMode val="edge"/>
          <c:x val="0.10861007079997353"/>
          <c:y val="4.1792990161944044E-2"/>
          <c:w val="0.28691272414477598"/>
          <c:h val="6.8452157765993532E-2"/>
        </c:manualLayout>
      </c:layout>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2"/>
    </mc:Choice>
    <mc:Fallback>
      <c:style val="1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310092065097094"/>
          <c:y val="4.8326115791008005E-2"/>
          <c:w val="0.83164983164983164"/>
          <c:h val="0.81807561556424424"/>
        </c:manualLayout>
      </c:layout>
      <c:barChart>
        <c:barDir val="col"/>
        <c:grouping val="clustered"/>
        <c:varyColors val="0"/>
        <c:ser>
          <c:idx val="0"/>
          <c:order val="0"/>
          <c:tx>
            <c:strRef>
              <c:f>Sheet1!$A$2</c:f>
              <c:strCache>
                <c:ptCount val="1"/>
                <c:pt idx="0">
                  <c:v>млн. лв.</c:v>
                </c:pt>
              </c:strCache>
            </c:strRef>
          </c:tx>
          <c:spPr>
            <a:solidFill>
              <a:srgbClr val="CCDAEC"/>
            </a:solidFill>
            <a:ln>
              <a:solidFill>
                <a:sysClr val="windowText" lastClr="000000">
                  <a:lumMod val="50000"/>
                  <a:lumOff val="50000"/>
                </a:sysClr>
              </a:solidFill>
            </a:ln>
          </c:spPr>
          <c:invertIfNegative val="0"/>
          <c:dPt>
            <c:idx val="2"/>
            <c:invertIfNegative val="0"/>
            <c:bubble3D val="0"/>
            <c:extLst>
              <c:ext xmlns:c16="http://schemas.microsoft.com/office/drawing/2014/chart" uri="{C3380CC4-5D6E-409C-BE32-E72D297353CC}">
                <c16:uniqueId val="{00000000-5101-49C0-9010-69F840432AAC}"/>
              </c:ext>
            </c:extLst>
          </c:dPt>
          <c:dLbls>
            <c:dLbl>
              <c:idx val="3"/>
              <c:layout>
                <c:manualLayout>
                  <c:x val="0"/>
                  <c:y val="0.13184925469222003"/>
                </c:manualLayout>
              </c:layout>
              <c:numFmt formatCode="#,##0.0" sourceLinked="0"/>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101-49C0-9010-69F840432AAC}"/>
                </c:ext>
              </c:extLst>
            </c:dLbl>
            <c:numFmt formatCode="#,##0.0" sourceLinked="0"/>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 п</c:v>
                </c:pt>
                <c:pt idx="1">
                  <c:v>2021 п</c:v>
                </c:pt>
                <c:pt idx="2">
                  <c:v>2022 п</c:v>
                </c:pt>
              </c:strCache>
            </c:strRef>
          </c:cat>
          <c:val>
            <c:numRef>
              <c:f>Sheet1!$B$2:$D$2</c:f>
              <c:numCache>
                <c:formatCode>#,##0.00</c:formatCode>
                <c:ptCount val="3"/>
                <c:pt idx="0">
                  <c:v>1560.4145605515664</c:v>
                </c:pt>
                <c:pt idx="1">
                  <c:v>1681.7807909999997</c:v>
                </c:pt>
                <c:pt idx="2">
                  <c:v>1690.0804375</c:v>
                </c:pt>
              </c:numCache>
            </c:numRef>
          </c:val>
          <c:extLst>
            <c:ext xmlns:c16="http://schemas.microsoft.com/office/drawing/2014/chart" uri="{C3380CC4-5D6E-409C-BE32-E72D297353CC}">
              <c16:uniqueId val="{00000002-5101-49C0-9010-69F840432AAC}"/>
            </c:ext>
          </c:extLst>
        </c:ser>
        <c:dLbls>
          <c:showLegendKey val="0"/>
          <c:showVal val="0"/>
          <c:showCatName val="0"/>
          <c:showSerName val="0"/>
          <c:showPercent val="0"/>
          <c:showBubbleSize val="0"/>
        </c:dLbls>
        <c:gapWidth val="173"/>
        <c:axId val="253227008"/>
        <c:axId val="253228544"/>
      </c:barChart>
      <c:lineChart>
        <c:grouping val="standard"/>
        <c:varyColors val="0"/>
        <c:ser>
          <c:idx val="1"/>
          <c:order val="1"/>
          <c:tx>
            <c:strRef>
              <c:f>Sheet1!$A$3</c:f>
              <c:strCache>
                <c:ptCount val="1"/>
                <c:pt idx="0">
                  <c:v>% от БВП</c:v>
                </c:pt>
              </c:strCache>
            </c:strRef>
          </c:tx>
          <c:spPr>
            <a:ln w="38058">
              <a:solidFill>
                <a:sysClr val="windowText" lastClr="000000">
                  <a:lumMod val="50000"/>
                  <a:lumOff val="50000"/>
                </a:sysClr>
              </a:solidFill>
            </a:ln>
          </c:spPr>
          <c:marker>
            <c:spPr>
              <a:solidFill>
                <a:sysClr val="windowText" lastClr="000000">
                  <a:lumMod val="50000"/>
                  <a:lumOff val="50000"/>
                </a:sysClr>
              </a:solidFill>
              <a:ln>
                <a:solidFill>
                  <a:sysClr val="windowText" lastClr="000000">
                    <a:lumMod val="50000"/>
                    <a:lumOff val="50000"/>
                  </a:sysClr>
                </a:solidFill>
              </a:ln>
            </c:spPr>
          </c:marker>
          <c:dLbls>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 п</c:v>
                </c:pt>
                <c:pt idx="1">
                  <c:v>2021 п</c:v>
                </c:pt>
                <c:pt idx="2">
                  <c:v>2022 п</c:v>
                </c:pt>
              </c:strCache>
            </c:strRef>
          </c:cat>
          <c:val>
            <c:numRef>
              <c:f>Sheet1!$B$3:$D$3</c:f>
              <c:numCache>
                <c:formatCode>0.0%</c:formatCode>
                <c:ptCount val="3"/>
                <c:pt idx="0">
                  <c:v>1.2309111976451896E-2</c:v>
                </c:pt>
                <c:pt idx="1">
                  <c:v>1.2465468080873321E-2</c:v>
                </c:pt>
                <c:pt idx="2">
                  <c:v>1.1789446255453124E-2</c:v>
                </c:pt>
              </c:numCache>
            </c:numRef>
          </c:val>
          <c:smooth val="1"/>
          <c:extLst>
            <c:ext xmlns:c16="http://schemas.microsoft.com/office/drawing/2014/chart" uri="{C3380CC4-5D6E-409C-BE32-E72D297353CC}">
              <c16:uniqueId val="{00000003-5101-49C0-9010-69F840432AAC}"/>
            </c:ext>
          </c:extLst>
        </c:ser>
        <c:dLbls>
          <c:showLegendKey val="0"/>
          <c:showVal val="0"/>
          <c:showCatName val="0"/>
          <c:showSerName val="0"/>
          <c:showPercent val="0"/>
          <c:showBubbleSize val="0"/>
        </c:dLbls>
        <c:marker val="1"/>
        <c:smooth val="0"/>
        <c:axId val="253230080"/>
        <c:axId val="253698816"/>
      </c:lineChart>
      <c:catAx>
        <c:axId val="253227008"/>
        <c:scaling>
          <c:orientation val="minMax"/>
        </c:scaling>
        <c:delete val="0"/>
        <c:axPos val="b"/>
        <c:numFmt formatCode="General" sourceLinked="0"/>
        <c:majorTickMark val="out"/>
        <c:minorTickMark val="none"/>
        <c:tickLblPos val="nextTo"/>
        <c:txPr>
          <a:bodyPr rot="0" vert="horz"/>
          <a:lstStyle/>
          <a:p>
            <a:pPr>
              <a:defRPr/>
            </a:pPr>
            <a:endParaRPr lang="bg-BG"/>
          </a:p>
        </c:txPr>
        <c:crossAx val="253228544"/>
        <c:crosses val="autoZero"/>
        <c:auto val="1"/>
        <c:lblAlgn val="ctr"/>
        <c:lblOffset val="100"/>
        <c:tickLblSkip val="1"/>
        <c:tickMarkSkip val="1"/>
        <c:noMultiLvlLbl val="0"/>
      </c:catAx>
      <c:valAx>
        <c:axId val="253228544"/>
        <c:scaling>
          <c:orientation val="minMax"/>
          <c:max val="3500"/>
        </c:scaling>
        <c:delete val="0"/>
        <c:axPos val="l"/>
        <c:numFmt formatCode="#,##0" sourceLinked="0"/>
        <c:majorTickMark val="out"/>
        <c:minorTickMark val="none"/>
        <c:tickLblPos val="nextTo"/>
        <c:txPr>
          <a:bodyPr rot="0" vert="horz"/>
          <a:lstStyle/>
          <a:p>
            <a:pPr>
              <a:defRPr/>
            </a:pPr>
            <a:endParaRPr lang="bg-BG"/>
          </a:p>
        </c:txPr>
        <c:crossAx val="253227008"/>
        <c:crossesAt val="1"/>
        <c:crossBetween val="between"/>
      </c:valAx>
      <c:catAx>
        <c:axId val="253230080"/>
        <c:scaling>
          <c:orientation val="minMax"/>
        </c:scaling>
        <c:delete val="1"/>
        <c:axPos val="b"/>
        <c:numFmt formatCode="General" sourceLinked="1"/>
        <c:majorTickMark val="out"/>
        <c:minorTickMark val="none"/>
        <c:tickLblPos val="nextTo"/>
        <c:crossAx val="253698816"/>
        <c:crosses val="autoZero"/>
        <c:auto val="1"/>
        <c:lblAlgn val="ctr"/>
        <c:lblOffset val="100"/>
        <c:noMultiLvlLbl val="0"/>
      </c:catAx>
      <c:valAx>
        <c:axId val="253698816"/>
        <c:scaling>
          <c:orientation val="minMax"/>
          <c:max val="2.5000000000000005E-2"/>
        </c:scaling>
        <c:delete val="0"/>
        <c:axPos val="r"/>
        <c:numFmt formatCode="0.0%" sourceLinked="0"/>
        <c:majorTickMark val="out"/>
        <c:minorTickMark val="none"/>
        <c:tickLblPos val="nextTo"/>
        <c:txPr>
          <a:bodyPr rot="0" vert="horz"/>
          <a:lstStyle/>
          <a:p>
            <a:pPr>
              <a:defRPr/>
            </a:pPr>
            <a:endParaRPr lang="bg-BG"/>
          </a:p>
        </c:txPr>
        <c:crossAx val="253230080"/>
        <c:crosses val="max"/>
        <c:crossBetween val="between"/>
      </c:valAx>
    </c:plotArea>
    <c:legend>
      <c:legendPos val="b"/>
      <c:layout>
        <c:manualLayout>
          <c:xMode val="edge"/>
          <c:yMode val="edge"/>
          <c:x val="0.10099878691634133"/>
          <c:y val="7.1406309505429463E-2"/>
          <c:w val="0.31874933280398776"/>
          <c:h val="8.3715300293345687E-2"/>
        </c:manualLayout>
      </c:layout>
      <c:overlay val="0"/>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4465360122034899E-2"/>
          <c:y val="4.9045942427928209E-2"/>
          <c:w val="0.83389261744966447"/>
          <c:h val="0.82619892025691899"/>
        </c:manualLayout>
      </c:layout>
      <c:barChart>
        <c:barDir val="col"/>
        <c:grouping val="clustered"/>
        <c:varyColors val="0"/>
        <c:ser>
          <c:idx val="0"/>
          <c:order val="0"/>
          <c:tx>
            <c:strRef>
              <c:f>Sheet1!$A$2</c:f>
              <c:strCache>
                <c:ptCount val="1"/>
                <c:pt idx="0">
                  <c:v>млн. лв.</c:v>
                </c:pt>
              </c:strCache>
            </c:strRef>
          </c:tx>
          <c:spPr>
            <a:solidFill>
              <a:schemeClr val="accent5">
                <a:lumMod val="60000"/>
                <a:lumOff val="40000"/>
              </a:schemeClr>
            </a:solidFill>
            <a:ln>
              <a:solidFill>
                <a:schemeClr val="tx1">
                  <a:lumMod val="50000"/>
                  <a:lumOff val="50000"/>
                </a:schemeClr>
              </a:solidFill>
            </a:ln>
          </c:spPr>
          <c:invertIfNegative val="0"/>
          <c:dLbls>
            <c:dLbl>
              <c:idx val="3"/>
              <c:layout>
                <c:manualLayout>
                  <c:x val="0"/>
                  <c:y val="0.17455305891641598"/>
                </c:manualLayout>
              </c:layout>
              <c:numFmt formatCode="#,##0.0" sourceLinked="0"/>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8F6-4DB6-8F1D-7E89880B1B08}"/>
                </c:ext>
              </c:extLst>
            </c:dLbl>
            <c:numFmt formatCode="#,##0.0" sourceLinked="0"/>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 п</c:v>
                </c:pt>
                <c:pt idx="1">
                  <c:v>2021 п</c:v>
                </c:pt>
                <c:pt idx="2">
                  <c:v>2022 п</c:v>
                </c:pt>
              </c:strCache>
            </c:strRef>
          </c:cat>
          <c:val>
            <c:numRef>
              <c:f>Sheet1!$B$2:$D$2</c:f>
              <c:numCache>
                <c:formatCode>#,##0.0</c:formatCode>
                <c:ptCount val="3"/>
                <c:pt idx="0">
                  <c:v>891.2885</c:v>
                </c:pt>
                <c:pt idx="1">
                  <c:v>770.88959999999997</c:v>
                </c:pt>
                <c:pt idx="2">
                  <c:v>692.22119999999995</c:v>
                </c:pt>
              </c:numCache>
            </c:numRef>
          </c:val>
          <c:extLst>
            <c:ext xmlns:c16="http://schemas.microsoft.com/office/drawing/2014/chart" uri="{C3380CC4-5D6E-409C-BE32-E72D297353CC}">
              <c16:uniqueId val="{00000001-48F6-4DB6-8F1D-7E89880B1B08}"/>
            </c:ext>
          </c:extLst>
        </c:ser>
        <c:dLbls>
          <c:showLegendKey val="0"/>
          <c:showVal val="0"/>
          <c:showCatName val="0"/>
          <c:showSerName val="0"/>
          <c:showPercent val="0"/>
          <c:showBubbleSize val="0"/>
        </c:dLbls>
        <c:gapWidth val="173"/>
        <c:axId val="254217216"/>
        <c:axId val="254243584"/>
      </c:barChart>
      <c:lineChart>
        <c:grouping val="standard"/>
        <c:varyColors val="0"/>
        <c:ser>
          <c:idx val="1"/>
          <c:order val="1"/>
          <c:tx>
            <c:strRef>
              <c:f>Sheet1!$A$3</c:f>
              <c:strCache>
                <c:ptCount val="1"/>
                <c:pt idx="0">
                  <c:v>% от БВП</c:v>
                </c:pt>
              </c:strCache>
            </c:strRef>
          </c:tx>
          <c:spPr>
            <a:ln w="38051">
              <a:solidFill>
                <a:schemeClr val="tx1">
                  <a:lumMod val="50000"/>
                  <a:lumOff val="50000"/>
                </a:schemeClr>
              </a:solidFill>
            </a:ln>
          </c:spPr>
          <c:marker>
            <c:spPr>
              <a:solidFill>
                <a:schemeClr val="tx1">
                  <a:lumMod val="50000"/>
                  <a:lumOff val="50000"/>
                </a:schemeClr>
              </a:solidFill>
              <a:ln>
                <a:solidFill>
                  <a:schemeClr val="tx1">
                    <a:lumMod val="50000"/>
                    <a:lumOff val="50000"/>
                  </a:schemeClr>
                </a:solidFill>
              </a:ln>
            </c:spPr>
          </c:marker>
          <c:dLbls>
            <c:dLbl>
              <c:idx val="0"/>
              <c:layout>
                <c:manualLayout>
                  <c:x val="-4.4957053979363691E-2"/>
                  <c:y val="-7.1271321176236788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8F6-4DB6-8F1D-7E89880B1B08}"/>
                </c:ext>
              </c:extLst>
            </c:dLbl>
            <c:dLbl>
              <c:idx val="2"/>
              <c:layout>
                <c:manualLayout>
                  <c:x val="-3.1729540751850464E-2"/>
                  <c:y val="-0.114787422133591"/>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8F6-4DB6-8F1D-7E89880B1B08}"/>
                </c:ext>
              </c:extLst>
            </c:dLbl>
            <c:dLbl>
              <c:idx val="3"/>
              <c:layout>
                <c:manualLayout>
                  <c:x val="-3.6138711827688207E-2"/>
                  <c:y val="-0.12022693475326028"/>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8F6-4DB6-8F1D-7E89880B1B08}"/>
                </c:ext>
              </c:extLst>
            </c:dLbl>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 п</c:v>
                </c:pt>
                <c:pt idx="1">
                  <c:v>2021 п</c:v>
                </c:pt>
                <c:pt idx="2">
                  <c:v>2022 п</c:v>
                </c:pt>
              </c:strCache>
            </c:strRef>
          </c:cat>
          <c:val>
            <c:numRef>
              <c:f>Sheet1!$B$3:$D$3</c:f>
              <c:numCache>
                <c:formatCode>0.0%</c:formatCode>
                <c:ptCount val="3"/>
                <c:pt idx="0">
                  <c:v>7.0308046510062627E-3</c:v>
                </c:pt>
                <c:pt idx="1">
                  <c:v>5.7138836131927278E-3</c:v>
                </c:pt>
                <c:pt idx="2">
                  <c:v>4.8287078255026946E-3</c:v>
                </c:pt>
              </c:numCache>
            </c:numRef>
          </c:val>
          <c:smooth val="1"/>
          <c:extLst>
            <c:ext xmlns:c16="http://schemas.microsoft.com/office/drawing/2014/chart" uri="{C3380CC4-5D6E-409C-BE32-E72D297353CC}">
              <c16:uniqueId val="{00000005-48F6-4DB6-8F1D-7E89880B1B08}"/>
            </c:ext>
          </c:extLst>
        </c:ser>
        <c:dLbls>
          <c:showLegendKey val="0"/>
          <c:showVal val="0"/>
          <c:showCatName val="0"/>
          <c:showSerName val="0"/>
          <c:showPercent val="0"/>
          <c:showBubbleSize val="0"/>
        </c:dLbls>
        <c:marker val="1"/>
        <c:smooth val="0"/>
        <c:axId val="254245120"/>
        <c:axId val="254263296"/>
      </c:lineChart>
      <c:catAx>
        <c:axId val="254217216"/>
        <c:scaling>
          <c:orientation val="minMax"/>
        </c:scaling>
        <c:delete val="0"/>
        <c:axPos val="b"/>
        <c:numFmt formatCode="General" sourceLinked="0"/>
        <c:majorTickMark val="out"/>
        <c:minorTickMark val="none"/>
        <c:tickLblPos val="nextTo"/>
        <c:txPr>
          <a:bodyPr rot="0" vert="horz"/>
          <a:lstStyle/>
          <a:p>
            <a:pPr>
              <a:defRPr/>
            </a:pPr>
            <a:endParaRPr lang="bg-BG"/>
          </a:p>
        </c:txPr>
        <c:crossAx val="254243584"/>
        <c:crosses val="autoZero"/>
        <c:auto val="1"/>
        <c:lblAlgn val="ctr"/>
        <c:lblOffset val="100"/>
        <c:tickLblSkip val="1"/>
        <c:tickMarkSkip val="1"/>
        <c:noMultiLvlLbl val="0"/>
      </c:catAx>
      <c:valAx>
        <c:axId val="254243584"/>
        <c:scaling>
          <c:orientation val="minMax"/>
          <c:max val="1400"/>
          <c:min val="0"/>
        </c:scaling>
        <c:delete val="0"/>
        <c:axPos val="l"/>
        <c:numFmt formatCode="#,##0" sourceLinked="0"/>
        <c:majorTickMark val="out"/>
        <c:minorTickMark val="none"/>
        <c:tickLblPos val="nextTo"/>
        <c:txPr>
          <a:bodyPr rot="0" vert="horz"/>
          <a:lstStyle/>
          <a:p>
            <a:pPr>
              <a:defRPr/>
            </a:pPr>
            <a:endParaRPr lang="bg-BG"/>
          </a:p>
        </c:txPr>
        <c:crossAx val="254217216"/>
        <c:crossesAt val="1"/>
        <c:crossBetween val="between"/>
        <c:majorUnit val="200"/>
      </c:valAx>
      <c:catAx>
        <c:axId val="254245120"/>
        <c:scaling>
          <c:orientation val="minMax"/>
        </c:scaling>
        <c:delete val="1"/>
        <c:axPos val="b"/>
        <c:numFmt formatCode="General" sourceLinked="1"/>
        <c:majorTickMark val="out"/>
        <c:minorTickMark val="none"/>
        <c:tickLblPos val="nextTo"/>
        <c:crossAx val="254263296"/>
        <c:crosses val="autoZero"/>
        <c:auto val="1"/>
        <c:lblAlgn val="ctr"/>
        <c:lblOffset val="100"/>
        <c:noMultiLvlLbl val="0"/>
      </c:catAx>
      <c:valAx>
        <c:axId val="254263296"/>
        <c:scaling>
          <c:orientation val="minMax"/>
          <c:max val="1.0000000000000002E-2"/>
        </c:scaling>
        <c:delete val="0"/>
        <c:axPos val="r"/>
        <c:numFmt formatCode="0.0%" sourceLinked="1"/>
        <c:majorTickMark val="out"/>
        <c:minorTickMark val="none"/>
        <c:tickLblPos val="nextTo"/>
        <c:crossAx val="254245120"/>
        <c:crosses val="max"/>
        <c:crossBetween val="between"/>
      </c:valAx>
    </c:plotArea>
    <c:legend>
      <c:legendPos val="b"/>
      <c:layout>
        <c:manualLayout>
          <c:xMode val="edge"/>
          <c:yMode val="edge"/>
          <c:x val="0.10663449897045697"/>
          <c:y val="3.5871695813304232E-2"/>
          <c:w val="0.28691269651899576"/>
          <c:h val="6.8452229988105434E-2"/>
        </c:manualLayout>
      </c:layout>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0055135323867932E-2"/>
          <c:y val="5.0175632604604309E-2"/>
          <c:w val="0.83389261744966447"/>
          <c:h val="0.82420961468428966"/>
        </c:manualLayout>
      </c:layout>
      <c:barChart>
        <c:barDir val="col"/>
        <c:grouping val="clustered"/>
        <c:varyColors val="0"/>
        <c:ser>
          <c:idx val="0"/>
          <c:order val="0"/>
          <c:tx>
            <c:strRef>
              <c:f>Sheet1!$A$2</c:f>
              <c:strCache>
                <c:ptCount val="1"/>
                <c:pt idx="0">
                  <c:v>млн. лв.</c:v>
                </c:pt>
              </c:strCache>
            </c:strRef>
          </c:tx>
          <c:spPr>
            <a:solidFill>
              <a:schemeClr val="accent3">
                <a:lumMod val="40000"/>
                <a:lumOff val="60000"/>
              </a:schemeClr>
            </a:solidFill>
            <a:ln>
              <a:solidFill>
                <a:schemeClr val="accent3">
                  <a:lumMod val="75000"/>
                </a:schemeClr>
              </a:solidFill>
            </a:ln>
          </c:spPr>
          <c:invertIfNegative val="0"/>
          <c:dLbls>
            <c:dLbl>
              <c:idx val="3"/>
              <c:layout>
                <c:manualLayout>
                  <c:x val="0"/>
                  <c:y val="0.1481065409897428"/>
                </c:manualLayout>
              </c:layout>
              <c:numFmt formatCode="#,##0.0" sourceLinked="0"/>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5A0-4E98-BCCA-063664B05C79}"/>
                </c:ext>
              </c:extLst>
            </c:dLbl>
            <c:numFmt formatCode="#,##0.0" sourceLinked="0"/>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 п</c:v>
                </c:pt>
                <c:pt idx="1">
                  <c:v>2021 п</c:v>
                </c:pt>
                <c:pt idx="2">
                  <c:v>2022 п</c:v>
                </c:pt>
              </c:strCache>
            </c:strRef>
          </c:cat>
          <c:val>
            <c:numRef>
              <c:f>Sheet1!$B$2:$D$2</c:f>
              <c:numCache>
                <c:formatCode>#,##0.0</c:formatCode>
                <c:ptCount val="3"/>
                <c:pt idx="0">
                  <c:v>1037.8549</c:v>
                </c:pt>
                <c:pt idx="1">
                  <c:v>1028.0774000000001</c:v>
                </c:pt>
                <c:pt idx="2">
                  <c:v>858.57740000000013</c:v>
                </c:pt>
              </c:numCache>
            </c:numRef>
          </c:val>
          <c:extLst>
            <c:ext xmlns:c16="http://schemas.microsoft.com/office/drawing/2014/chart" uri="{C3380CC4-5D6E-409C-BE32-E72D297353CC}">
              <c16:uniqueId val="{00000001-95A0-4E98-BCCA-063664B05C79}"/>
            </c:ext>
          </c:extLst>
        </c:ser>
        <c:dLbls>
          <c:showLegendKey val="0"/>
          <c:showVal val="0"/>
          <c:showCatName val="0"/>
          <c:showSerName val="0"/>
          <c:showPercent val="0"/>
          <c:showBubbleSize val="0"/>
        </c:dLbls>
        <c:gapWidth val="174"/>
        <c:axId val="258040960"/>
        <c:axId val="258042496"/>
      </c:barChart>
      <c:lineChart>
        <c:grouping val="standard"/>
        <c:varyColors val="0"/>
        <c:ser>
          <c:idx val="1"/>
          <c:order val="1"/>
          <c:tx>
            <c:strRef>
              <c:f>Sheet1!$A$3</c:f>
              <c:strCache>
                <c:ptCount val="1"/>
                <c:pt idx="0">
                  <c:v>% от БВП</c:v>
                </c:pt>
              </c:strCache>
            </c:strRef>
          </c:tx>
          <c:spPr>
            <a:ln w="38076">
              <a:solidFill>
                <a:schemeClr val="accent3">
                  <a:lumMod val="75000"/>
                </a:schemeClr>
              </a:solidFill>
            </a:ln>
          </c:spPr>
          <c:marker>
            <c:spPr>
              <a:solidFill>
                <a:schemeClr val="accent3">
                  <a:lumMod val="75000"/>
                </a:schemeClr>
              </a:solidFill>
              <a:ln>
                <a:solidFill>
                  <a:schemeClr val="accent3">
                    <a:lumMod val="75000"/>
                  </a:schemeClr>
                </a:solidFill>
              </a:ln>
            </c:spPr>
          </c:marker>
          <c:dLbls>
            <c:dLbl>
              <c:idx val="1"/>
              <c:layout>
                <c:manualLayout>
                  <c:x val="-1.1888270910580622E-2"/>
                  <c:y val="-8.888017705413942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5A0-4E98-BCCA-063664B05C79}"/>
                </c:ext>
              </c:extLst>
            </c:dLbl>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 п</c:v>
                </c:pt>
                <c:pt idx="1">
                  <c:v>2021 п</c:v>
                </c:pt>
                <c:pt idx="2">
                  <c:v>2022 п</c:v>
                </c:pt>
              </c:strCache>
            </c:strRef>
          </c:cat>
          <c:val>
            <c:numRef>
              <c:f>Sheet1!$B$3:$D$3</c:f>
              <c:numCache>
                <c:formatCode>0.0%</c:formatCode>
                <c:ptCount val="3"/>
                <c:pt idx="0">
                  <c:v>8.1869731944141984E-3</c:v>
                </c:pt>
                <c:pt idx="1">
                  <c:v>7.6201762339948367E-3</c:v>
                </c:pt>
                <c:pt idx="2">
                  <c:v>5.9891540596846184E-3</c:v>
                </c:pt>
              </c:numCache>
            </c:numRef>
          </c:val>
          <c:smooth val="1"/>
          <c:extLst>
            <c:ext xmlns:c16="http://schemas.microsoft.com/office/drawing/2014/chart" uri="{C3380CC4-5D6E-409C-BE32-E72D297353CC}">
              <c16:uniqueId val="{00000003-95A0-4E98-BCCA-063664B05C79}"/>
            </c:ext>
          </c:extLst>
        </c:ser>
        <c:dLbls>
          <c:showLegendKey val="0"/>
          <c:showVal val="0"/>
          <c:showCatName val="0"/>
          <c:showSerName val="0"/>
          <c:showPercent val="0"/>
          <c:showBubbleSize val="0"/>
        </c:dLbls>
        <c:marker val="1"/>
        <c:smooth val="0"/>
        <c:axId val="258048384"/>
        <c:axId val="258049920"/>
      </c:lineChart>
      <c:catAx>
        <c:axId val="258040960"/>
        <c:scaling>
          <c:orientation val="minMax"/>
        </c:scaling>
        <c:delete val="0"/>
        <c:axPos val="b"/>
        <c:numFmt formatCode="General" sourceLinked="0"/>
        <c:majorTickMark val="out"/>
        <c:minorTickMark val="none"/>
        <c:tickLblPos val="nextTo"/>
        <c:txPr>
          <a:bodyPr rot="0" vert="horz"/>
          <a:lstStyle/>
          <a:p>
            <a:pPr>
              <a:defRPr/>
            </a:pPr>
            <a:endParaRPr lang="bg-BG"/>
          </a:p>
        </c:txPr>
        <c:crossAx val="258042496"/>
        <c:crosses val="autoZero"/>
        <c:auto val="1"/>
        <c:lblAlgn val="ctr"/>
        <c:lblOffset val="100"/>
        <c:tickLblSkip val="1"/>
        <c:tickMarkSkip val="1"/>
        <c:noMultiLvlLbl val="0"/>
      </c:catAx>
      <c:valAx>
        <c:axId val="258042496"/>
        <c:scaling>
          <c:orientation val="minMax"/>
          <c:max val="1600"/>
          <c:min val="0"/>
        </c:scaling>
        <c:delete val="0"/>
        <c:axPos val="l"/>
        <c:numFmt formatCode="#,##0" sourceLinked="0"/>
        <c:majorTickMark val="out"/>
        <c:minorTickMark val="none"/>
        <c:tickLblPos val="nextTo"/>
        <c:txPr>
          <a:bodyPr rot="0" vert="horz"/>
          <a:lstStyle/>
          <a:p>
            <a:pPr>
              <a:defRPr/>
            </a:pPr>
            <a:endParaRPr lang="bg-BG"/>
          </a:p>
        </c:txPr>
        <c:crossAx val="258040960"/>
        <c:crossesAt val="1"/>
        <c:crossBetween val="between"/>
        <c:majorUnit val="200"/>
      </c:valAx>
      <c:catAx>
        <c:axId val="258048384"/>
        <c:scaling>
          <c:orientation val="minMax"/>
        </c:scaling>
        <c:delete val="1"/>
        <c:axPos val="b"/>
        <c:numFmt formatCode="General" sourceLinked="1"/>
        <c:majorTickMark val="out"/>
        <c:minorTickMark val="none"/>
        <c:tickLblPos val="nextTo"/>
        <c:crossAx val="258049920"/>
        <c:crosses val="autoZero"/>
        <c:auto val="1"/>
        <c:lblAlgn val="ctr"/>
        <c:lblOffset val="100"/>
        <c:noMultiLvlLbl val="0"/>
      </c:catAx>
      <c:valAx>
        <c:axId val="258049920"/>
        <c:scaling>
          <c:orientation val="minMax"/>
          <c:max val="1.3000000000000003E-2"/>
        </c:scaling>
        <c:delete val="0"/>
        <c:axPos val="r"/>
        <c:numFmt formatCode="0.0%" sourceLinked="1"/>
        <c:majorTickMark val="out"/>
        <c:minorTickMark val="none"/>
        <c:tickLblPos val="nextTo"/>
        <c:crossAx val="258048384"/>
        <c:crosses val="max"/>
        <c:crossBetween val="between"/>
      </c:valAx>
    </c:plotArea>
    <c:legend>
      <c:legendPos val="b"/>
      <c:layout>
        <c:manualLayout>
          <c:xMode val="edge"/>
          <c:yMode val="edge"/>
          <c:x val="0.10001626059368841"/>
          <c:y val="4.648301845152239E-2"/>
          <c:w val="0.32882473024205311"/>
          <c:h val="7.5265501722194636E-2"/>
        </c:manualLayout>
      </c:layout>
      <c:overlay val="0"/>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6"/>
    </mc:Choice>
    <mc:Fallback>
      <c:style val="16"/>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605830516509683E-2"/>
          <c:y val="5.0200808796104501E-2"/>
          <c:w val="0.89928469983508064"/>
          <c:h val="0.84589392303784605"/>
        </c:manualLayout>
      </c:layout>
      <c:barChart>
        <c:barDir val="col"/>
        <c:grouping val="clustered"/>
        <c:varyColors val="0"/>
        <c:ser>
          <c:idx val="1"/>
          <c:order val="0"/>
          <c:tx>
            <c:strRef>
              <c:f>'КФП показателиСАЛДО'!$B$3:$C$3</c:f>
              <c:strCache>
                <c:ptCount val="1"/>
                <c:pt idx="0">
                  <c:v>Приходи</c:v>
                </c:pt>
              </c:strCache>
            </c:strRef>
          </c:tx>
          <c:spPr>
            <a:solidFill>
              <a:schemeClr val="accent5">
                <a:lumMod val="60000"/>
                <a:lumOff val="40000"/>
              </a:schemeClr>
            </a:solidFill>
            <a:ln>
              <a:solidFill>
                <a:schemeClr val="tx1">
                  <a:lumMod val="50000"/>
                  <a:lumOff val="50000"/>
                </a:schemeClr>
              </a:solidFill>
            </a:ln>
          </c:spPr>
          <c:invertIfNegative val="0"/>
          <c:dPt>
            <c:idx val="0"/>
            <c:invertIfNegative val="0"/>
            <c:bubble3D val="0"/>
            <c:spPr>
              <a:solidFill>
                <a:schemeClr val="accent5">
                  <a:lumMod val="60000"/>
                  <a:lumOff val="40000"/>
                </a:schemeClr>
              </a:solidFill>
              <a:ln>
                <a:solidFill>
                  <a:schemeClr val="tx2">
                    <a:lumMod val="75000"/>
                  </a:schemeClr>
                </a:solidFill>
              </a:ln>
            </c:spPr>
            <c:extLst>
              <c:ext xmlns:c16="http://schemas.microsoft.com/office/drawing/2014/chart" uri="{C3380CC4-5D6E-409C-BE32-E72D297353CC}">
                <c16:uniqueId val="{00000001-2E21-490F-BCDB-3FC8074912CA}"/>
              </c:ext>
            </c:extLst>
          </c:dPt>
          <c:dPt>
            <c:idx val="1"/>
            <c:invertIfNegative val="0"/>
            <c:bubble3D val="0"/>
            <c:spPr>
              <a:solidFill>
                <a:schemeClr val="accent5">
                  <a:lumMod val="60000"/>
                  <a:lumOff val="40000"/>
                </a:schemeClr>
              </a:solidFill>
              <a:ln>
                <a:solidFill>
                  <a:schemeClr val="tx2">
                    <a:lumMod val="75000"/>
                  </a:schemeClr>
                </a:solidFill>
              </a:ln>
            </c:spPr>
            <c:extLst>
              <c:ext xmlns:c16="http://schemas.microsoft.com/office/drawing/2014/chart" uri="{C3380CC4-5D6E-409C-BE32-E72D297353CC}">
                <c16:uniqueId val="{00000003-2E21-490F-BCDB-3FC8074912CA}"/>
              </c:ext>
            </c:extLst>
          </c:dPt>
          <c:dPt>
            <c:idx val="2"/>
            <c:invertIfNegative val="0"/>
            <c:bubble3D val="0"/>
            <c:spPr>
              <a:solidFill>
                <a:schemeClr val="accent5">
                  <a:lumMod val="60000"/>
                  <a:lumOff val="40000"/>
                </a:schemeClr>
              </a:solidFill>
              <a:ln>
                <a:solidFill>
                  <a:schemeClr val="tx2">
                    <a:lumMod val="75000"/>
                  </a:schemeClr>
                </a:solidFill>
              </a:ln>
            </c:spPr>
            <c:extLst>
              <c:ext xmlns:c16="http://schemas.microsoft.com/office/drawing/2014/chart" uri="{C3380CC4-5D6E-409C-BE32-E72D297353CC}">
                <c16:uniqueId val="{00000005-2E21-490F-BCDB-3FC8074912CA}"/>
              </c:ext>
            </c:extLst>
          </c:dPt>
          <c:dPt>
            <c:idx val="3"/>
            <c:invertIfNegative val="0"/>
            <c:bubble3D val="0"/>
            <c:spPr>
              <a:solidFill>
                <a:schemeClr val="accent5">
                  <a:lumMod val="60000"/>
                  <a:lumOff val="40000"/>
                </a:schemeClr>
              </a:solidFill>
              <a:ln>
                <a:solidFill>
                  <a:schemeClr val="tx2">
                    <a:lumMod val="75000"/>
                  </a:schemeClr>
                </a:solidFill>
              </a:ln>
            </c:spPr>
            <c:extLst>
              <c:ext xmlns:c16="http://schemas.microsoft.com/office/drawing/2014/chart" uri="{C3380CC4-5D6E-409C-BE32-E72D297353CC}">
                <c16:uniqueId val="{00000007-2E21-490F-BCDB-3FC8074912CA}"/>
              </c:ext>
            </c:extLst>
          </c:dPt>
          <c:dLbls>
            <c:dLbl>
              <c:idx val="0"/>
              <c:layout>
                <c:manualLayout>
                  <c:x val="-5.6772738118478988E-3"/>
                  <c:y val="8.7408746037892799E-3"/>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E21-490F-BCDB-3FC8074912CA}"/>
                </c:ext>
              </c:extLst>
            </c:dLbl>
            <c:dLbl>
              <c:idx val="1"/>
              <c:layout>
                <c:manualLayout>
                  <c:x val="3.4378429968981148E-3"/>
                  <c:y val="1.3570270929248599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E21-490F-BCDB-3FC8074912CA}"/>
                </c:ext>
              </c:extLst>
            </c:dLbl>
            <c:dLbl>
              <c:idx val="2"/>
              <c:layout>
                <c:manualLayout>
                  <c:x val="-1.728429779610882E-3"/>
                  <c:y val="1.7948909321077847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E21-490F-BCDB-3FC8074912CA}"/>
                </c:ext>
              </c:extLst>
            </c:dLbl>
            <c:dLbl>
              <c:idx val="3"/>
              <c:layout>
                <c:manualLayout>
                  <c:x val="-2.6486193358061646E-3"/>
                  <c:y val="9.4029229952813272E-3"/>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E21-490F-BCDB-3FC8074912CA}"/>
                </c:ext>
              </c:extLst>
            </c:dLbl>
            <c:dLbl>
              <c:idx val="4"/>
              <c:layout>
                <c:manualLayout>
                  <c:x val="-8.1925243215565796E-3"/>
                  <c:y val="1.238390092879257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E21-490F-BCDB-3FC8074912CA}"/>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'КФП показателиСАЛДО'!$D$2:$G$2</c:f>
              <c:strCache>
                <c:ptCount val="3"/>
                <c:pt idx="0">
                  <c:v>2020 п</c:v>
                </c:pt>
                <c:pt idx="1">
                  <c:v>2021 п</c:v>
                </c:pt>
                <c:pt idx="2">
                  <c:v>2022 п</c:v>
                </c:pt>
              </c:strCache>
            </c:strRef>
          </c:cat>
          <c:val>
            <c:numRef>
              <c:f>'КФП показателиСАЛДО'!$D$3:$G$3</c:f>
              <c:numCache>
                <c:formatCode>#,##0.0</c:formatCode>
                <c:ptCount val="3"/>
                <c:pt idx="0">
                  <c:v>198.82499999999999</c:v>
                </c:pt>
                <c:pt idx="1">
                  <c:v>188.49099999999999</c:v>
                </c:pt>
                <c:pt idx="2">
                  <c:v>119.441</c:v>
                </c:pt>
              </c:numCache>
            </c:numRef>
          </c:val>
          <c:extLst>
            <c:ext xmlns:c16="http://schemas.microsoft.com/office/drawing/2014/chart" uri="{C3380CC4-5D6E-409C-BE32-E72D297353CC}">
              <c16:uniqueId val="{00000009-2E21-490F-BCDB-3FC8074912CA}"/>
            </c:ext>
          </c:extLst>
        </c:ser>
        <c:ser>
          <c:idx val="0"/>
          <c:order val="1"/>
          <c:tx>
            <c:strRef>
              <c:f>'КФП показателиСАЛДО'!$B$4:$C$4</c:f>
              <c:strCache>
                <c:ptCount val="1"/>
                <c:pt idx="0">
                  <c:v>Разходи </c:v>
                </c:pt>
              </c:strCache>
            </c:strRef>
          </c:tx>
          <c:spPr>
            <a:solidFill>
              <a:schemeClr val="accent3">
                <a:lumMod val="40000"/>
                <a:lumOff val="60000"/>
              </a:schemeClr>
            </a:solidFill>
            <a:ln>
              <a:solidFill>
                <a:schemeClr val="accent3">
                  <a:lumMod val="75000"/>
                </a:schemeClr>
              </a:solidFill>
            </a:ln>
          </c:spPr>
          <c:invertIfNegative val="0"/>
          <c:dLbls>
            <c:dLbl>
              <c:idx val="0"/>
              <c:layout>
                <c:manualLayout>
                  <c:x val="6.8031496062992121E-4"/>
                  <c:y val="1.1428075307380471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E21-490F-BCDB-3FC8074912CA}"/>
                </c:ext>
              </c:extLst>
            </c:dLbl>
            <c:dLbl>
              <c:idx val="1"/>
              <c:layout>
                <c:manualLayout>
                  <c:x val="1.749438067869458E-3"/>
                  <c:y val="1.2548095597460066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E21-490F-BCDB-3FC8074912CA}"/>
                </c:ext>
              </c:extLst>
            </c:dLbl>
            <c:dLbl>
              <c:idx val="2"/>
              <c:layout>
                <c:manualLayout>
                  <c:x val="1.0550106675262011E-2"/>
                  <c:y val="8.5248728073213723E-3"/>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E21-490F-BCDB-3FC8074912CA}"/>
                </c:ext>
              </c:extLst>
            </c:dLbl>
            <c:dLbl>
              <c:idx val="3"/>
              <c:layout>
                <c:manualLayout>
                  <c:x val="6.4870123993121549E-3"/>
                  <c:y val="1.1639768054237521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E21-490F-BCDB-3FC8074912CA}"/>
                </c:ext>
              </c:extLst>
            </c:dLbl>
            <c:dLbl>
              <c:idx val="4"/>
              <c:layout>
                <c:manualLayout>
                  <c:x val="8.1925243215565796E-3"/>
                  <c:y val="8.255608915758595E-3"/>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2E21-490F-BCDB-3FC8074912CA}"/>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'КФП показателиСАЛДО'!$D$2:$G$2</c:f>
              <c:strCache>
                <c:ptCount val="3"/>
                <c:pt idx="0">
                  <c:v>2020 п</c:v>
                </c:pt>
                <c:pt idx="1">
                  <c:v>2021 п</c:v>
                </c:pt>
                <c:pt idx="2">
                  <c:v>2022 п</c:v>
                </c:pt>
              </c:strCache>
            </c:strRef>
          </c:cat>
          <c:val>
            <c:numRef>
              <c:f>'КФП показателиСАЛДО'!$D$4:$G$4</c:f>
              <c:numCache>
                <c:formatCode>#,##0.0</c:formatCode>
                <c:ptCount val="3"/>
                <c:pt idx="0">
                  <c:v>340.67349999999999</c:v>
                </c:pt>
                <c:pt idx="1">
                  <c:v>284.6952</c:v>
                </c:pt>
                <c:pt idx="2">
                  <c:v>196.15570000000002</c:v>
                </c:pt>
              </c:numCache>
            </c:numRef>
          </c:val>
          <c:extLst>
            <c:ext xmlns:c16="http://schemas.microsoft.com/office/drawing/2014/chart" uri="{C3380CC4-5D6E-409C-BE32-E72D297353CC}">
              <c16:uniqueId val="{0000000F-2E21-490F-BCDB-3FC8074912CA}"/>
            </c:ext>
          </c:extLst>
        </c:ser>
        <c:dLbls>
          <c:showLegendKey val="0"/>
          <c:showVal val="0"/>
          <c:showCatName val="0"/>
          <c:showSerName val="0"/>
          <c:showPercent val="0"/>
          <c:showBubbleSize val="0"/>
        </c:dLbls>
        <c:gapWidth val="119"/>
        <c:axId val="258837504"/>
        <c:axId val="258863872"/>
      </c:barChart>
      <c:catAx>
        <c:axId val="258837504"/>
        <c:scaling>
          <c:orientation val="minMax"/>
        </c:scaling>
        <c:delete val="0"/>
        <c:axPos val="b"/>
        <c:numFmt formatCode="General" sourceLinked="1"/>
        <c:majorTickMark val="out"/>
        <c:minorTickMark val="none"/>
        <c:tickLblPos val="nextTo"/>
        <c:txPr>
          <a:bodyPr rot="0" vert="horz"/>
          <a:lstStyle/>
          <a:p>
            <a:pPr>
              <a:defRPr/>
            </a:pPr>
            <a:endParaRPr lang="bg-BG"/>
          </a:p>
        </c:txPr>
        <c:crossAx val="258863872"/>
        <c:crosses val="autoZero"/>
        <c:auto val="0"/>
        <c:lblAlgn val="ctr"/>
        <c:lblOffset val="100"/>
        <c:tickLblSkip val="1"/>
        <c:tickMarkSkip val="1"/>
        <c:noMultiLvlLbl val="0"/>
      </c:catAx>
      <c:valAx>
        <c:axId val="258863872"/>
        <c:scaling>
          <c:orientation val="minMax"/>
          <c:max val="600"/>
        </c:scaling>
        <c:delete val="0"/>
        <c:axPos val="l"/>
        <c:numFmt formatCode="#,##0" sourceLinked="0"/>
        <c:majorTickMark val="out"/>
        <c:minorTickMark val="none"/>
        <c:tickLblPos val="nextTo"/>
        <c:txPr>
          <a:bodyPr rot="0" vert="horz"/>
          <a:lstStyle/>
          <a:p>
            <a:pPr>
              <a:defRPr/>
            </a:pPr>
            <a:endParaRPr lang="bg-BG"/>
          </a:p>
        </c:txPr>
        <c:crossAx val="258837504"/>
        <c:crosses val="autoZero"/>
        <c:crossBetween val="between"/>
        <c:majorUnit val="100"/>
        <c:minorUnit val="50"/>
      </c:valAx>
    </c:plotArea>
    <c:legend>
      <c:legendPos val="b"/>
      <c:layout>
        <c:manualLayout>
          <c:xMode val="edge"/>
          <c:yMode val="edge"/>
          <c:x val="0.63504069567061694"/>
          <c:y val="0.12172796047552878"/>
          <c:w val="0.27987380365333125"/>
          <c:h val="9.1220009263547924E-2"/>
        </c:manualLayout>
      </c:layout>
      <c:overlay val="0"/>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7824806442520216E-2"/>
          <c:y val="3.5466696556168902E-2"/>
          <c:w val="0.62123455294083552"/>
          <c:h val="0.8064240606669133"/>
        </c:manualLayout>
      </c:layout>
      <c:lineChart>
        <c:grouping val="standard"/>
        <c:varyColors val="0"/>
        <c:ser>
          <c:idx val="0"/>
          <c:order val="0"/>
          <c:tx>
            <c:strRef>
              <c:f>'Графика л.р.ВП'!$B$10</c:f>
              <c:strCache>
                <c:ptCount val="1"/>
                <c:pt idx="0">
                  <c:v>външни лихвeни разходи/БВП</c:v>
                </c:pt>
              </c:strCache>
            </c:strRef>
          </c:tx>
          <c:spPr>
            <a:ln>
              <a:solidFill>
                <a:schemeClr val="accent5">
                  <a:lumMod val="75000"/>
                </a:schemeClr>
              </a:solidFill>
            </a:ln>
          </c:spPr>
          <c:marker>
            <c:spPr>
              <a:solidFill>
                <a:schemeClr val="accent5">
                  <a:lumMod val="75000"/>
                </a:schemeClr>
              </a:solidFill>
              <a:ln>
                <a:solidFill>
                  <a:schemeClr val="accent5">
                    <a:lumMod val="75000"/>
                  </a:schemeClr>
                </a:solidFill>
              </a:ln>
            </c:spPr>
          </c:marker>
          <c:dLbls>
            <c:dLbl>
              <c:idx val="0"/>
              <c:layout>
                <c:manualLayout>
                  <c:x val="-4.614083132047711E-2"/>
                  <c:y val="-5.23679379567761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A74-4D28-B0B6-58AD4E65EFFE}"/>
                </c:ext>
              </c:extLst>
            </c:dLbl>
            <c:dLbl>
              <c:idx val="1"/>
              <c:layout>
                <c:manualLayout>
                  <c:x val="-3.51102923613952E-2"/>
                  <c:y val="-5.76047317524538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A74-4D28-B0B6-58AD4E65EFFE}"/>
                </c:ext>
              </c:extLst>
            </c:dLbl>
            <c:dLbl>
              <c:idx val="2"/>
              <c:layout>
                <c:manualLayout>
                  <c:x val="-4.1728615736844346E-2"/>
                  <c:y val="-5.76047317524538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A74-4D28-B0B6-58AD4E65EFFE}"/>
                </c:ext>
              </c:extLst>
            </c:dLbl>
            <c:dLbl>
              <c:idx val="3"/>
              <c:layout>
                <c:manualLayout>
                  <c:x val="-4.3934723528660728E-2"/>
                  <c:y val="-4.18943503654209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A74-4D28-B0B6-58AD4E65EFFE}"/>
                </c:ext>
              </c:extLst>
            </c:dLbl>
            <c:dLbl>
              <c:idx val="4"/>
              <c:layout>
                <c:manualLayout>
                  <c:x val="-5.7171370279559021E-2"/>
                  <c:y val="-4.71311441610986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A74-4D28-B0B6-58AD4E65EFFE}"/>
                </c:ext>
              </c:extLst>
            </c:dLbl>
            <c:spPr>
              <a:noFill/>
              <a:ln>
                <a:noFill/>
              </a:ln>
              <a:effectLst/>
            </c:spPr>
            <c:txPr>
              <a:bodyPr rot="0" vert="horz"/>
              <a:lstStyle/>
              <a:p>
                <a:pPr>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'Графика л.р.ВП'!$C$9:$G$9</c:f>
              <c:strCache>
                <c:ptCount val="5"/>
                <c:pt idx="0">
                  <c:v>2018</c:v>
                </c:pt>
                <c:pt idx="1">
                  <c:v>2019 П</c:v>
                </c:pt>
                <c:pt idx="2">
                  <c:v>2020 П</c:v>
                </c:pt>
                <c:pt idx="3">
                  <c:v>2021 П</c:v>
                </c:pt>
                <c:pt idx="4">
                  <c:v>2022 П</c:v>
                </c:pt>
              </c:strCache>
            </c:strRef>
          </c:cat>
          <c:val>
            <c:numRef>
              <c:f>'Графика л.р.ВП'!$C$10:$G$10</c:f>
              <c:numCache>
                <c:formatCode>0.0%</c:formatCode>
                <c:ptCount val="5"/>
                <c:pt idx="0">
                  <c:v>4.0000000000000001E-3</c:v>
                </c:pt>
                <c:pt idx="1">
                  <c:v>3.0000000000000001E-3</c:v>
                </c:pt>
                <c:pt idx="2">
                  <c:v>3.0000000000000001E-3</c:v>
                </c:pt>
                <c:pt idx="3">
                  <c:v>3.0000000000000001E-3</c:v>
                </c:pt>
                <c:pt idx="4">
                  <c:v>3.0000000000000001E-3</c:v>
                </c:pt>
              </c:numCache>
            </c:numRef>
          </c:val>
          <c:smooth val="0"/>
          <c:extLst>
            <c:ext xmlns:c16="http://schemas.microsoft.com/office/drawing/2014/chart" uri="{C3380CC4-5D6E-409C-BE32-E72D297353CC}">
              <c16:uniqueId val="{00000000-74C0-4F1C-BF2C-75BFE4297DAE}"/>
            </c:ext>
          </c:extLst>
        </c:ser>
        <c:ser>
          <c:idx val="1"/>
          <c:order val="1"/>
          <c:tx>
            <c:strRef>
              <c:f>'Графика л.р.ВП'!$B$11</c:f>
              <c:strCache>
                <c:ptCount val="1"/>
                <c:pt idx="0">
                  <c:v>вътрешни лихвени разходи/БВП</c:v>
                </c:pt>
              </c:strCache>
            </c:strRef>
          </c:tx>
          <c:spPr>
            <a:ln>
              <a:solidFill>
                <a:schemeClr val="bg1">
                  <a:lumMod val="65000"/>
                </a:schemeClr>
              </a:solidFill>
            </a:ln>
          </c:spPr>
          <c:marker>
            <c:spPr>
              <a:solidFill>
                <a:schemeClr val="bg1">
                  <a:lumMod val="50000"/>
                </a:schemeClr>
              </a:solidFill>
              <a:ln>
                <a:solidFill>
                  <a:schemeClr val="bg1">
                    <a:lumMod val="65000"/>
                  </a:schemeClr>
                </a:solidFill>
              </a:ln>
            </c:spPr>
          </c:marker>
          <c:dLbls>
            <c:dLbl>
              <c:idx val="0"/>
              <c:layout>
                <c:manualLayout>
                  <c:x val="-4.614083132047711E-2"/>
                  <c:y val="-5.76047317524538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A74-4D28-B0B6-58AD4E65EFFE}"/>
                </c:ext>
              </c:extLst>
            </c:dLbl>
            <c:dLbl>
              <c:idx val="1"/>
              <c:layout>
                <c:manualLayout>
                  <c:x val="-4.3934723528660728E-2"/>
                  <c:y val="-4.71311441610986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A74-4D28-B0B6-58AD4E65EFFE}"/>
                </c:ext>
              </c:extLst>
            </c:dLbl>
            <c:dLbl>
              <c:idx val="2"/>
              <c:layout>
                <c:manualLayout>
                  <c:x val="-4.614083132047711E-2"/>
                  <c:y val="-5.236793795677624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A74-4D28-B0B6-58AD4E65EFFE}"/>
                </c:ext>
              </c:extLst>
            </c:dLbl>
            <c:dLbl>
              <c:idx val="3"/>
              <c:layout>
                <c:manualLayout>
                  <c:x val="-4.3934723528660728E-2"/>
                  <c:y val="-5.236793795677624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A74-4D28-B0B6-58AD4E65EFFE}"/>
                </c:ext>
              </c:extLst>
            </c:dLbl>
            <c:dLbl>
              <c:idx val="4"/>
              <c:layout>
                <c:manualLayout>
                  <c:x val="-4.1728615736844346E-2"/>
                  <c:y val="-5.236793795677624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A74-4D28-B0B6-58AD4E65EFFE}"/>
                </c:ext>
              </c:extLst>
            </c:dLbl>
            <c:spPr>
              <a:noFill/>
              <a:ln>
                <a:noFill/>
              </a:ln>
              <a:effectLst/>
            </c:spPr>
            <c:txPr>
              <a:bodyPr rot="0" vert="horz"/>
              <a:lstStyle/>
              <a:p>
                <a:pPr>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'Графика л.р.ВП'!$C$9:$G$9</c:f>
              <c:strCache>
                <c:ptCount val="5"/>
                <c:pt idx="0">
                  <c:v>2018</c:v>
                </c:pt>
                <c:pt idx="1">
                  <c:v>2019 П</c:v>
                </c:pt>
                <c:pt idx="2">
                  <c:v>2020 П</c:v>
                </c:pt>
                <c:pt idx="3">
                  <c:v>2021 П</c:v>
                </c:pt>
                <c:pt idx="4">
                  <c:v>2022 П</c:v>
                </c:pt>
              </c:strCache>
            </c:strRef>
          </c:cat>
          <c:val>
            <c:numRef>
              <c:f>'Графика л.р.ВП'!$C$11:$G$11</c:f>
              <c:numCache>
                <c:formatCode>0.0%</c:formatCode>
                <c:ptCount val="5"/>
                <c:pt idx="0">
                  <c:v>2E-3</c:v>
                </c:pt>
                <c:pt idx="1">
                  <c:v>2E-3</c:v>
                </c:pt>
                <c:pt idx="2">
                  <c:v>2E-3</c:v>
                </c:pt>
                <c:pt idx="3">
                  <c:v>2E-3</c:v>
                </c:pt>
                <c:pt idx="4">
                  <c:v>2E-3</c:v>
                </c:pt>
              </c:numCache>
            </c:numRef>
          </c:val>
          <c:smooth val="0"/>
          <c:extLst>
            <c:ext xmlns:c16="http://schemas.microsoft.com/office/drawing/2014/chart" uri="{C3380CC4-5D6E-409C-BE32-E72D297353CC}">
              <c16:uniqueId val="{00000001-74C0-4F1C-BF2C-75BFE4297DAE}"/>
            </c:ext>
          </c:extLst>
        </c:ser>
        <c:ser>
          <c:idx val="2"/>
          <c:order val="2"/>
          <c:tx>
            <c:strRef>
              <c:f>'Графика л.р.ВП'!$B$12</c:f>
              <c:strCache>
                <c:ptCount val="1"/>
                <c:pt idx="0">
                  <c:v>общо лихвени разходи/БВП</c:v>
                </c:pt>
              </c:strCache>
            </c:strRef>
          </c:tx>
          <c:spPr>
            <a:ln>
              <a:solidFill>
                <a:schemeClr val="accent3">
                  <a:lumMod val="75000"/>
                </a:schemeClr>
              </a:solidFill>
            </a:ln>
          </c:spPr>
          <c:marker>
            <c:spPr>
              <a:solidFill>
                <a:schemeClr val="accent3">
                  <a:lumMod val="75000"/>
                </a:schemeClr>
              </a:solidFill>
              <a:ln>
                <a:solidFill>
                  <a:schemeClr val="accent3">
                    <a:lumMod val="75000"/>
                  </a:schemeClr>
                </a:solidFill>
              </a:ln>
            </c:spPr>
          </c:marker>
          <c:dLbls>
            <c:dLbl>
              <c:idx val="0"/>
              <c:layout>
                <c:manualLayout>
                  <c:x val="-4.3934723528660728E-2"/>
                  <c:y val="-5.76047317524538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A74-4D28-B0B6-58AD4E65EFFE}"/>
                </c:ext>
              </c:extLst>
            </c:dLbl>
            <c:dLbl>
              <c:idx val="1"/>
              <c:layout>
                <c:manualLayout>
                  <c:x val="-3.2904184569578818E-2"/>
                  <c:y val="-7.855190693516439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5A74-4D28-B0B6-58AD4E65EFFE}"/>
                </c:ext>
              </c:extLst>
            </c:dLbl>
            <c:dLbl>
              <c:idx val="2"/>
              <c:layout>
                <c:manualLayout>
                  <c:x val="-3.7316400153211582E-2"/>
                  <c:y val="-5.236793795677627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5A74-4D28-B0B6-58AD4E65EFFE}"/>
                </c:ext>
              </c:extLst>
            </c:dLbl>
            <c:dLbl>
              <c:idx val="3"/>
              <c:layout>
                <c:manualLayout>
                  <c:x val="-4.614083132047711E-2"/>
                  <c:y val="-5.236793795677627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5A74-4D28-B0B6-58AD4E65EFFE}"/>
                </c:ext>
              </c:extLst>
            </c:dLbl>
            <c:dLbl>
              <c:idx val="4"/>
              <c:layout>
                <c:manualLayout>
                  <c:x val="-4.614083132047711E-2"/>
                  <c:y val="-5.760473175245389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5A74-4D28-B0B6-58AD4E65EFFE}"/>
                </c:ext>
              </c:extLst>
            </c:dLbl>
            <c:spPr>
              <a:noFill/>
              <a:ln>
                <a:noFill/>
              </a:ln>
              <a:effectLst/>
            </c:spPr>
            <c:txPr>
              <a:bodyPr rot="0" vert="horz"/>
              <a:lstStyle/>
              <a:p>
                <a:pPr>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'Графика л.р.ВП'!$C$9:$G$9</c:f>
              <c:strCache>
                <c:ptCount val="5"/>
                <c:pt idx="0">
                  <c:v>2018</c:v>
                </c:pt>
                <c:pt idx="1">
                  <c:v>2019 П</c:v>
                </c:pt>
                <c:pt idx="2">
                  <c:v>2020 П</c:v>
                </c:pt>
                <c:pt idx="3">
                  <c:v>2021 П</c:v>
                </c:pt>
                <c:pt idx="4">
                  <c:v>2022 П</c:v>
                </c:pt>
              </c:strCache>
            </c:strRef>
          </c:cat>
          <c:val>
            <c:numRef>
              <c:f>'Графика л.р.ВП'!$C$12:$G$12</c:f>
              <c:numCache>
                <c:formatCode>0.0%</c:formatCode>
                <c:ptCount val="5"/>
                <c:pt idx="0">
                  <c:v>6.0000000000000001E-3</c:v>
                </c:pt>
                <c:pt idx="1">
                  <c:v>5.0000000000000001E-3</c:v>
                </c:pt>
                <c:pt idx="2">
                  <c:v>5.0000000000000001E-3</c:v>
                </c:pt>
                <c:pt idx="3">
                  <c:v>5.0000000000000001E-3</c:v>
                </c:pt>
                <c:pt idx="4">
                  <c:v>5.0000000000000001E-3</c:v>
                </c:pt>
              </c:numCache>
            </c:numRef>
          </c:val>
          <c:smooth val="0"/>
          <c:extLst>
            <c:ext xmlns:c16="http://schemas.microsoft.com/office/drawing/2014/chart" uri="{C3380CC4-5D6E-409C-BE32-E72D297353CC}">
              <c16:uniqueId val="{00000002-74C0-4F1C-BF2C-75BFE4297DAE}"/>
            </c:ext>
          </c:extLst>
        </c:ser>
        <c:dLbls>
          <c:dLblPos val="ctr"/>
          <c:showLegendKey val="0"/>
          <c:showVal val="1"/>
          <c:showCatName val="0"/>
          <c:showSerName val="0"/>
          <c:showPercent val="0"/>
          <c:showBubbleSize val="0"/>
        </c:dLbls>
        <c:marker val="1"/>
        <c:smooth val="0"/>
        <c:axId val="261397120"/>
        <c:axId val="261427584"/>
      </c:lineChart>
      <c:catAx>
        <c:axId val="261397120"/>
        <c:scaling>
          <c:orientation val="minMax"/>
        </c:scaling>
        <c:delete val="0"/>
        <c:axPos val="b"/>
        <c:numFmt formatCode="General" sourceLinked="1"/>
        <c:majorTickMark val="none"/>
        <c:minorTickMark val="none"/>
        <c:tickLblPos val="nextTo"/>
        <c:txPr>
          <a:bodyPr rot="-60000000" vert="horz"/>
          <a:lstStyle/>
          <a:p>
            <a:pPr>
              <a:defRPr/>
            </a:pPr>
            <a:endParaRPr lang="bg-BG"/>
          </a:p>
        </c:txPr>
        <c:crossAx val="261427584"/>
        <c:crosses val="autoZero"/>
        <c:auto val="1"/>
        <c:lblAlgn val="ctr"/>
        <c:lblOffset val="100"/>
        <c:noMultiLvlLbl val="0"/>
      </c:catAx>
      <c:valAx>
        <c:axId val="261427584"/>
        <c:scaling>
          <c:orientation val="minMax"/>
        </c:scaling>
        <c:delete val="1"/>
        <c:axPos val="l"/>
        <c:majorGridlines/>
        <c:numFmt formatCode="0.0%" sourceLinked="1"/>
        <c:majorTickMark val="none"/>
        <c:minorTickMark val="none"/>
        <c:tickLblPos val="nextTo"/>
        <c:crossAx val="261397120"/>
        <c:crosses val="autoZero"/>
        <c:crossBetween val="between"/>
      </c:valAx>
    </c:plotArea>
    <c:legend>
      <c:legendPos val="b"/>
      <c:legendEntry>
        <c:idx val="0"/>
        <c:txPr>
          <a:bodyPr rot="0" vert="horz"/>
          <a:lstStyle/>
          <a:p>
            <a:pPr>
              <a:defRPr/>
            </a:pPr>
            <a:endParaRPr lang="bg-BG"/>
          </a:p>
        </c:txPr>
      </c:legendEntry>
      <c:legendEntry>
        <c:idx val="1"/>
        <c:txPr>
          <a:bodyPr rot="0" vert="horz"/>
          <a:lstStyle/>
          <a:p>
            <a:pPr>
              <a:defRPr/>
            </a:pPr>
            <a:endParaRPr lang="bg-BG"/>
          </a:p>
        </c:txPr>
      </c:legendEntry>
      <c:legendEntry>
        <c:idx val="2"/>
        <c:txPr>
          <a:bodyPr rot="0" vert="horz"/>
          <a:lstStyle/>
          <a:p>
            <a:pPr>
              <a:defRPr/>
            </a:pPr>
            <a:endParaRPr lang="bg-BG"/>
          </a:p>
        </c:txPr>
      </c:legendEntry>
      <c:layout>
        <c:manualLayout>
          <c:xMode val="edge"/>
          <c:yMode val="edge"/>
          <c:x val="0.76058082787044989"/>
          <c:y val="0.14459297850926528"/>
          <c:w val="0.18390930991445975"/>
          <c:h val="0.57643281431926274"/>
        </c:manualLayout>
      </c:layout>
      <c:overlay val="0"/>
      <c:txPr>
        <a:bodyPr rot="0" vert="horz"/>
        <a:lstStyle/>
        <a:p>
          <a:pPr>
            <a:defRPr/>
          </a:pPr>
          <a:endParaRPr lang="bg-BG"/>
        </a:p>
      </c:txPr>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2678041635892494E-2"/>
          <c:y val="4.6551460589135042E-2"/>
          <c:w val="0.89684947569153217"/>
          <c:h val="0.90689707882172987"/>
        </c:manualLayout>
      </c:layout>
      <c:barChart>
        <c:barDir val="col"/>
        <c:grouping val="clustered"/>
        <c:varyColors val="0"/>
        <c:ser>
          <c:idx val="1"/>
          <c:order val="1"/>
          <c:tx>
            <c:strRef>
              <c:f>'New graphs'!$B$4</c:f>
              <c:strCache>
                <c:ptCount val="1"/>
                <c:pt idx="0">
                  <c:v>Структурен бюджетен баланс</c:v>
                </c:pt>
              </c:strCache>
            </c:strRef>
          </c:tx>
          <c:invertIfNegative val="0"/>
          <c:cat>
            <c:strRef>
              <c:f>'New graphs'!$J$2:$R$2</c:f>
              <c:strCache>
                <c:ptCount val="9"/>
                <c:pt idx="0">
                  <c:v>2014</c:v>
                </c:pt>
                <c:pt idx="1">
                  <c:v>2015</c:v>
                </c:pt>
                <c:pt idx="2">
                  <c:v>2016</c:v>
                </c:pt>
                <c:pt idx="3">
                  <c:v>2017</c:v>
                </c:pt>
                <c:pt idx="4">
                  <c:v>2018</c:v>
                </c:pt>
                <c:pt idx="5">
                  <c:v>2019П</c:v>
                </c:pt>
                <c:pt idx="6">
                  <c:v>2020П</c:v>
                </c:pt>
                <c:pt idx="7">
                  <c:v>2021П</c:v>
                </c:pt>
                <c:pt idx="8">
                  <c:v>2022П</c:v>
                </c:pt>
              </c:strCache>
            </c:strRef>
          </c:cat>
          <c:val>
            <c:numRef>
              <c:f>'New graphs'!$J$4:$R$4</c:f>
              <c:numCache>
                <c:formatCode>0.00%</c:formatCode>
                <c:ptCount val="9"/>
                <c:pt idx="0">
                  <c:v>-1.7700606334359055E-2</c:v>
                </c:pt>
                <c:pt idx="1">
                  <c:v>-1.3019300651454662E-2</c:v>
                </c:pt>
                <c:pt idx="2">
                  <c:v>2.5242692554515917E-3</c:v>
                </c:pt>
                <c:pt idx="3">
                  <c:v>1.1335195502839216E-2</c:v>
                </c:pt>
                <c:pt idx="4">
                  <c:v>1.7800216981661263E-2</c:v>
                </c:pt>
                <c:pt idx="5">
                  <c:v>3.2254555259371106E-4</c:v>
                </c:pt>
                <c:pt idx="6">
                  <c:v>-1.4055271295862126E-3</c:v>
                </c:pt>
                <c:pt idx="7">
                  <c:v>2.4494800315212565E-3</c:v>
                </c:pt>
                <c:pt idx="8">
                  <c:v>-3.3813172569788349E-3</c:v>
                </c:pt>
              </c:numCache>
            </c:numRef>
          </c:val>
          <c:extLst>
            <c:ext xmlns:c16="http://schemas.microsoft.com/office/drawing/2014/chart" uri="{C3380CC4-5D6E-409C-BE32-E72D297353CC}">
              <c16:uniqueId val="{00000000-8F65-4DE0-A255-D6E981175994}"/>
            </c:ext>
          </c:extLst>
        </c:ser>
        <c:dLbls>
          <c:showLegendKey val="0"/>
          <c:showVal val="0"/>
          <c:showCatName val="0"/>
          <c:showSerName val="0"/>
          <c:showPercent val="0"/>
          <c:showBubbleSize val="0"/>
        </c:dLbls>
        <c:gapWidth val="150"/>
        <c:axId val="261088384"/>
        <c:axId val="261089920"/>
      </c:barChart>
      <c:lineChart>
        <c:grouping val="standard"/>
        <c:varyColors val="0"/>
        <c:ser>
          <c:idx val="0"/>
          <c:order val="0"/>
          <c:tx>
            <c:strRef>
              <c:f>'New graphs'!$B$3</c:f>
              <c:strCache>
                <c:ptCount val="1"/>
                <c:pt idx="0">
                  <c:v>Отклонение от потенциала</c:v>
                </c:pt>
              </c:strCache>
            </c:strRef>
          </c:tx>
          <c:marker>
            <c:symbol val="none"/>
          </c:marker>
          <c:cat>
            <c:strRef>
              <c:f>'New graphs'!$J$2:$R$2</c:f>
              <c:strCache>
                <c:ptCount val="9"/>
                <c:pt idx="0">
                  <c:v>2014</c:v>
                </c:pt>
                <c:pt idx="1">
                  <c:v>2015</c:v>
                </c:pt>
                <c:pt idx="2">
                  <c:v>2016</c:v>
                </c:pt>
                <c:pt idx="3">
                  <c:v>2017</c:v>
                </c:pt>
                <c:pt idx="4">
                  <c:v>2018</c:v>
                </c:pt>
                <c:pt idx="5">
                  <c:v>2019П</c:v>
                </c:pt>
                <c:pt idx="6">
                  <c:v>2020П</c:v>
                </c:pt>
                <c:pt idx="7">
                  <c:v>2021П</c:v>
                </c:pt>
                <c:pt idx="8">
                  <c:v>2022П</c:v>
                </c:pt>
              </c:strCache>
            </c:strRef>
          </c:cat>
          <c:val>
            <c:numRef>
              <c:f>'New graphs'!$J$3:$R$3</c:f>
              <c:numCache>
                <c:formatCode>0.00%</c:formatCode>
                <c:ptCount val="9"/>
                <c:pt idx="0">
                  <c:v>-1.926489571078804E-2</c:v>
                </c:pt>
                <c:pt idx="1">
                  <c:v>-1.1942706172930286E-2</c:v>
                </c:pt>
                <c:pt idx="2">
                  <c:v>-3.8202070423925248E-3</c:v>
                </c:pt>
                <c:pt idx="3">
                  <c:v>7.3395255520608766E-4</c:v>
                </c:pt>
                <c:pt idx="4">
                  <c:v>-9.6255463519824504E-4</c:v>
                </c:pt>
                <c:pt idx="5">
                  <c:v>4.650942152922255E-4</c:v>
                </c:pt>
                <c:pt idx="6">
                  <c:v>2.730588639089575E-3</c:v>
                </c:pt>
                <c:pt idx="7">
                  <c:v>7.3061117134776057E-3</c:v>
                </c:pt>
                <c:pt idx="8">
                  <c:v>1.3061959980379356E-2</c:v>
                </c:pt>
              </c:numCache>
            </c:numRef>
          </c:val>
          <c:smooth val="1"/>
          <c:extLst>
            <c:ext xmlns:c16="http://schemas.microsoft.com/office/drawing/2014/chart" uri="{C3380CC4-5D6E-409C-BE32-E72D297353CC}">
              <c16:uniqueId val="{00000001-8F65-4DE0-A255-D6E981175994}"/>
            </c:ext>
          </c:extLst>
        </c:ser>
        <c:ser>
          <c:idx val="2"/>
          <c:order val="2"/>
          <c:tx>
            <c:strRef>
              <c:f>'New graphs'!$B$5</c:f>
              <c:strCache>
                <c:ptCount val="1"/>
                <c:pt idx="0">
                  <c:v>Средносрочна цел за структурния бюджетен баланс</c:v>
                </c:pt>
              </c:strCache>
            </c:strRef>
          </c:tx>
          <c:marker>
            <c:symbol val="none"/>
          </c:marker>
          <c:cat>
            <c:strRef>
              <c:f>'New graphs'!$J$2:$R$2</c:f>
              <c:strCache>
                <c:ptCount val="9"/>
                <c:pt idx="0">
                  <c:v>2014</c:v>
                </c:pt>
                <c:pt idx="1">
                  <c:v>2015</c:v>
                </c:pt>
                <c:pt idx="2">
                  <c:v>2016</c:v>
                </c:pt>
                <c:pt idx="3">
                  <c:v>2017</c:v>
                </c:pt>
                <c:pt idx="4">
                  <c:v>2018</c:v>
                </c:pt>
                <c:pt idx="5">
                  <c:v>2019П</c:v>
                </c:pt>
                <c:pt idx="6">
                  <c:v>2020П</c:v>
                </c:pt>
                <c:pt idx="7">
                  <c:v>2021П</c:v>
                </c:pt>
                <c:pt idx="8">
                  <c:v>2022П</c:v>
                </c:pt>
              </c:strCache>
            </c:strRef>
          </c:cat>
          <c:val>
            <c:numRef>
              <c:f>'New graphs'!$J$5:$R$5</c:f>
              <c:numCache>
                <c:formatCode>General</c:formatCode>
                <c:ptCount val="9"/>
                <c:pt idx="0">
                  <c:v>-0.01</c:v>
                </c:pt>
                <c:pt idx="1">
                  <c:v>-0.01</c:v>
                </c:pt>
                <c:pt idx="2">
                  <c:v>-0.01</c:v>
                </c:pt>
                <c:pt idx="3">
                  <c:v>-0.01</c:v>
                </c:pt>
                <c:pt idx="4">
                  <c:v>-0.01</c:v>
                </c:pt>
                <c:pt idx="5">
                  <c:v>-0.01</c:v>
                </c:pt>
                <c:pt idx="6">
                  <c:v>-0.01</c:v>
                </c:pt>
                <c:pt idx="7">
                  <c:v>-0.01</c:v>
                </c:pt>
                <c:pt idx="8">
                  <c:v>-0.01</c:v>
                </c:pt>
              </c:numCache>
            </c:numRef>
          </c:val>
          <c:smooth val="0"/>
          <c:extLst>
            <c:ext xmlns:c16="http://schemas.microsoft.com/office/drawing/2014/chart" uri="{C3380CC4-5D6E-409C-BE32-E72D297353CC}">
              <c16:uniqueId val="{00000002-8F65-4DE0-A255-D6E981175994}"/>
            </c:ext>
          </c:extLst>
        </c:ser>
        <c:dLbls>
          <c:showLegendKey val="0"/>
          <c:showVal val="0"/>
          <c:showCatName val="0"/>
          <c:showSerName val="0"/>
          <c:showPercent val="0"/>
          <c:showBubbleSize val="0"/>
        </c:dLbls>
        <c:marker val="1"/>
        <c:smooth val="0"/>
        <c:axId val="261088384"/>
        <c:axId val="261089920"/>
      </c:lineChart>
      <c:catAx>
        <c:axId val="261088384"/>
        <c:scaling>
          <c:orientation val="minMax"/>
        </c:scaling>
        <c:delete val="0"/>
        <c:axPos val="b"/>
        <c:numFmt formatCode="General" sourceLinked="1"/>
        <c:majorTickMark val="out"/>
        <c:minorTickMark val="none"/>
        <c:tickLblPos val="low"/>
        <c:crossAx val="261089920"/>
        <c:crosses val="autoZero"/>
        <c:auto val="1"/>
        <c:lblAlgn val="ctr"/>
        <c:lblOffset val="100"/>
        <c:noMultiLvlLbl val="0"/>
      </c:catAx>
      <c:valAx>
        <c:axId val="261089920"/>
        <c:scaling>
          <c:orientation val="minMax"/>
        </c:scaling>
        <c:delete val="0"/>
        <c:axPos val="l"/>
        <c:majorGridlines>
          <c:spPr>
            <a:ln>
              <a:noFill/>
            </a:ln>
          </c:spPr>
        </c:majorGridlines>
        <c:numFmt formatCode="0.0%" sourceLinked="0"/>
        <c:majorTickMark val="out"/>
        <c:minorTickMark val="none"/>
        <c:tickLblPos val="nextTo"/>
        <c:crossAx val="261088384"/>
        <c:crosses val="autoZero"/>
        <c:crossBetween val="between"/>
      </c:valAx>
      <c:spPr>
        <a:ln>
          <a:noFill/>
        </a:ln>
      </c:spPr>
    </c:plotArea>
    <c:legend>
      <c:legendPos val="r"/>
      <c:layout>
        <c:manualLayout>
          <c:xMode val="edge"/>
          <c:yMode val="edge"/>
          <c:x val="0.27625940015924971"/>
          <c:y val="0.6544535567239399"/>
          <c:w val="0.70303432036423275"/>
          <c:h val="0.26657191014062537"/>
        </c:manualLayout>
      </c:layout>
      <c:overlay val="0"/>
      <c:txPr>
        <a:bodyPr/>
        <a:lstStyle/>
        <a:p>
          <a:pPr>
            <a:defRPr sz="700"/>
          </a:pPr>
          <a:endParaRPr lang="bg-BG"/>
        </a:p>
      </c:txPr>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5"/>
    </mc:Choice>
    <mc:Fallback>
      <c:style val="15"/>
    </mc:Fallback>
  </mc:AlternateContent>
  <c:chart>
    <c:autoTitleDeleted val="1"/>
    <c:plotArea>
      <c:layout>
        <c:manualLayout>
          <c:layoutTarget val="inner"/>
          <c:xMode val="edge"/>
          <c:yMode val="edge"/>
          <c:x val="0.35685110273450021"/>
          <c:y val="5.1018657953570905E-2"/>
          <c:w val="0.58912396918451759"/>
          <c:h val="0.82417092646685297"/>
        </c:manualLayout>
      </c:layout>
      <c:barChart>
        <c:barDir val="bar"/>
        <c:grouping val="clustered"/>
        <c:varyColors val="0"/>
        <c:ser>
          <c:idx val="0"/>
          <c:order val="0"/>
          <c:tx>
            <c:strRef>
              <c:f>Sheet1!$B$2</c:f>
              <c:strCache>
                <c:ptCount val="1"/>
                <c:pt idx="0">
                  <c:v>2017 г.</c:v>
                </c:pt>
              </c:strCache>
            </c:strRef>
          </c:tx>
          <c:invertIfNegative val="0"/>
          <c:dLbls>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Sheet1!$A$3:$A$10</c:f>
              <c:strCache>
                <c:ptCount val="8"/>
                <c:pt idx="0">
                  <c:v>ДДФЛ</c:v>
                </c:pt>
                <c:pt idx="1">
                  <c:v>Др. данъци</c:v>
                </c:pt>
                <c:pt idx="2">
                  <c:v>Соц. и здравноос. вн.</c:v>
                </c:pt>
                <c:pt idx="3">
                  <c:v>ДДС</c:v>
                </c:pt>
                <c:pt idx="4">
                  <c:v>Акцизи </c:v>
                </c:pt>
                <c:pt idx="5">
                  <c:v>Мита</c:v>
                </c:pt>
                <c:pt idx="6">
                  <c:v>Данък в/у застрах. премии</c:v>
                </c:pt>
                <c:pt idx="7">
                  <c:v>Корпоративни данъци</c:v>
                </c:pt>
              </c:strCache>
            </c:strRef>
          </c:cat>
          <c:val>
            <c:numRef>
              <c:f>Sheet1!$B$3:$B$10</c:f>
              <c:numCache>
                <c:formatCode>#,##0.0</c:formatCode>
                <c:ptCount val="8"/>
                <c:pt idx="0">
                  <c:v>3336.2</c:v>
                </c:pt>
                <c:pt idx="1">
                  <c:v>1039.3</c:v>
                </c:pt>
                <c:pt idx="2">
                  <c:v>8365.2000000000007</c:v>
                </c:pt>
                <c:pt idx="3">
                  <c:v>9320.2000000000007</c:v>
                </c:pt>
                <c:pt idx="4">
                  <c:v>4984.5</c:v>
                </c:pt>
                <c:pt idx="5">
                  <c:v>194.3</c:v>
                </c:pt>
                <c:pt idx="6">
                  <c:v>33.5</c:v>
                </c:pt>
                <c:pt idx="7">
                  <c:v>2308.1</c:v>
                </c:pt>
              </c:numCache>
            </c:numRef>
          </c:val>
          <c:extLst>
            <c:ext xmlns:c16="http://schemas.microsoft.com/office/drawing/2014/chart" uri="{C3380CC4-5D6E-409C-BE32-E72D297353CC}">
              <c16:uniqueId val="{00000000-FD60-4F59-973C-5BEFD385FC86}"/>
            </c:ext>
          </c:extLst>
        </c:ser>
        <c:ser>
          <c:idx val="1"/>
          <c:order val="1"/>
          <c:tx>
            <c:strRef>
              <c:f>Sheet1!$C$2</c:f>
              <c:strCache>
                <c:ptCount val="1"/>
                <c:pt idx="0">
                  <c:v>2018 г.</c:v>
                </c:pt>
              </c:strCache>
            </c:strRef>
          </c:tx>
          <c:invertIfNegative val="0"/>
          <c:dLbls>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Sheet1!$A$3:$A$10</c:f>
              <c:strCache>
                <c:ptCount val="8"/>
                <c:pt idx="0">
                  <c:v>ДДФЛ</c:v>
                </c:pt>
                <c:pt idx="1">
                  <c:v>Др. данъци</c:v>
                </c:pt>
                <c:pt idx="2">
                  <c:v>Соц. и здравноос. вн.</c:v>
                </c:pt>
                <c:pt idx="3">
                  <c:v>ДДС</c:v>
                </c:pt>
                <c:pt idx="4">
                  <c:v>Акцизи </c:v>
                </c:pt>
                <c:pt idx="5">
                  <c:v>Мита</c:v>
                </c:pt>
                <c:pt idx="6">
                  <c:v>Данък в/у застрах. премии</c:v>
                </c:pt>
                <c:pt idx="7">
                  <c:v>Корпоративни данъци</c:v>
                </c:pt>
              </c:strCache>
            </c:strRef>
          </c:cat>
          <c:val>
            <c:numRef>
              <c:f>Sheet1!$C$3:$C$10</c:f>
              <c:numCache>
                <c:formatCode>#,##0.0</c:formatCode>
                <c:ptCount val="8"/>
                <c:pt idx="0">
                  <c:v>3668</c:v>
                </c:pt>
                <c:pt idx="1">
                  <c:v>1113.8</c:v>
                </c:pt>
                <c:pt idx="2">
                  <c:v>9458.2999999999993</c:v>
                </c:pt>
                <c:pt idx="3">
                  <c:v>10064</c:v>
                </c:pt>
                <c:pt idx="4">
                  <c:v>5203.2</c:v>
                </c:pt>
                <c:pt idx="5">
                  <c:v>226.2</c:v>
                </c:pt>
                <c:pt idx="6">
                  <c:v>37.6</c:v>
                </c:pt>
                <c:pt idx="7">
                  <c:v>2464.5</c:v>
                </c:pt>
              </c:numCache>
            </c:numRef>
          </c:val>
          <c:extLst>
            <c:ext xmlns:c16="http://schemas.microsoft.com/office/drawing/2014/chart" uri="{C3380CC4-5D6E-409C-BE32-E72D297353CC}">
              <c16:uniqueId val="{00000001-FD60-4F59-973C-5BEFD385FC86}"/>
            </c:ext>
          </c:extLst>
        </c:ser>
        <c:dLbls>
          <c:showLegendKey val="0"/>
          <c:showVal val="0"/>
          <c:showCatName val="0"/>
          <c:showSerName val="0"/>
          <c:showPercent val="0"/>
          <c:showBubbleSize val="0"/>
        </c:dLbls>
        <c:gapWidth val="100"/>
        <c:axId val="281753856"/>
        <c:axId val="281780224"/>
      </c:barChart>
      <c:catAx>
        <c:axId val="281753856"/>
        <c:scaling>
          <c:orientation val="minMax"/>
        </c:scaling>
        <c:delete val="0"/>
        <c:axPos val="l"/>
        <c:numFmt formatCode="General" sourceLinked="1"/>
        <c:majorTickMark val="none"/>
        <c:minorTickMark val="none"/>
        <c:tickLblPos val="nextTo"/>
        <c:txPr>
          <a:bodyPr rot="0" vert="horz"/>
          <a:lstStyle/>
          <a:p>
            <a:pPr>
              <a:defRPr/>
            </a:pPr>
            <a:endParaRPr lang="bg-BG"/>
          </a:p>
        </c:txPr>
        <c:crossAx val="281780224"/>
        <c:crosses val="autoZero"/>
        <c:auto val="1"/>
        <c:lblAlgn val="ctr"/>
        <c:lblOffset val="100"/>
        <c:noMultiLvlLbl val="0"/>
      </c:catAx>
      <c:valAx>
        <c:axId val="281780224"/>
        <c:scaling>
          <c:orientation val="minMax"/>
        </c:scaling>
        <c:delete val="0"/>
        <c:axPos val="b"/>
        <c:numFmt formatCode="#,##0" sourceLinked="0"/>
        <c:majorTickMark val="none"/>
        <c:minorTickMark val="none"/>
        <c:tickLblPos val="nextTo"/>
        <c:txPr>
          <a:bodyPr rot="0" vert="horz"/>
          <a:lstStyle/>
          <a:p>
            <a:pPr>
              <a:defRPr/>
            </a:pPr>
            <a:endParaRPr lang="bg-BG"/>
          </a:p>
        </c:txPr>
        <c:crossAx val="281753856"/>
        <c:crosses val="autoZero"/>
        <c:crossBetween val="between"/>
      </c:valAx>
    </c:plotArea>
    <c:legend>
      <c:legendPos val="b"/>
      <c:layout>
        <c:manualLayout>
          <c:xMode val="edge"/>
          <c:yMode val="edge"/>
          <c:x val="0.74807049801763659"/>
          <c:y val="3.583445858964171E-2"/>
          <c:w val="0.22051873825929039"/>
          <c:h val="7.4451914528829058E-2"/>
        </c:manualLayout>
      </c:layout>
      <c:overlay val="0"/>
      <c:txPr>
        <a:bodyPr rot="0" vert="horz"/>
        <a:lstStyle/>
        <a:p>
          <a:pPr>
            <a:defRPr/>
          </a:pPr>
          <a:endParaRPr lang="bg-BG"/>
        </a:p>
      </c:txPr>
    </c:legend>
    <c:plotVisOnly val="1"/>
    <c:dispBlanksAs val="gap"/>
    <c:showDLblsOverMax val="0"/>
  </c:chart>
  <c:spPr>
    <a:ln>
      <a:noFill/>
    </a:ln>
  </c:spPr>
  <c:txPr>
    <a:bodyPr/>
    <a:lstStyle/>
    <a:p>
      <a:pPr>
        <a:defRPr sz="900"/>
      </a:pPr>
      <a:endParaRPr lang="bg-BG"/>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3"/>
    </mc:Choice>
    <mc:Fallback>
      <c:style val="13"/>
    </mc:Fallback>
  </mc:AlternateContent>
  <c:chart>
    <c:autoTitleDeleted val="0"/>
    <c:plotArea>
      <c:layout>
        <c:manualLayout>
          <c:layoutTarget val="inner"/>
          <c:xMode val="edge"/>
          <c:yMode val="edge"/>
          <c:x val="9.9732739929247971E-2"/>
          <c:y val="6.1341519558039105E-2"/>
          <c:w val="0.86628665981969644"/>
          <c:h val="0.72544529464058927"/>
        </c:manualLayout>
      </c:layout>
      <c:barChart>
        <c:barDir val="col"/>
        <c:grouping val="clustered"/>
        <c:varyColors val="0"/>
        <c:ser>
          <c:idx val="0"/>
          <c:order val="0"/>
          <c:tx>
            <c:strRef>
              <c:f>Sheet1!$B$1</c:f>
              <c:strCache>
                <c:ptCount val="1"/>
                <c:pt idx="0">
                  <c:v>2017 г.</c:v>
                </c:pt>
              </c:strCache>
            </c:strRef>
          </c:tx>
          <c:invertIfNegative val="0"/>
          <c:dLbls>
            <c:dLbl>
              <c:idx val="0"/>
              <c:layout>
                <c:manualLayout>
                  <c:x val="7.3755563163300239E-3"/>
                  <c:y val="4.35329547949932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5EA-467D-B1CE-DA0C7DB84559}"/>
                </c:ext>
              </c:extLst>
            </c:dLbl>
            <c:dLbl>
              <c:idx val="1"/>
              <c:layout>
                <c:manualLayout>
                  <c:x val="2.4071227831159096E-3"/>
                  <c:y val="7.31072705892308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5EA-467D-B1CE-DA0C7DB84559}"/>
                </c:ext>
              </c:extLst>
            </c:dLbl>
            <c:dLbl>
              <c:idx val="2"/>
              <c:layout>
                <c:manualLayout>
                  <c:x val="2.78182414698164E-3"/>
                  <c:y val="-3.33191093048852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5EA-467D-B1CE-DA0C7DB84559}"/>
                </c:ext>
              </c:extLst>
            </c:dLbl>
            <c:dLbl>
              <c:idx val="3"/>
              <c:layout>
                <c:manualLayout>
                  <c:x val="1.0317257217847769E-2"/>
                  <c:y val="-2.0692236051138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5EA-467D-B1CE-DA0C7DB84559}"/>
                </c:ext>
              </c:extLst>
            </c:dLbl>
            <c:dLbl>
              <c:idx val="4"/>
              <c:layout>
                <c:manualLayout>
                  <c:x val="1.6023129921259843E-2"/>
                  <c:y val="-3.35477097620861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5EA-467D-B1CE-DA0C7DB84559}"/>
                </c:ext>
              </c:extLst>
            </c:dLbl>
            <c:dLbl>
              <c:idx val="5"/>
              <c:layout>
                <c:manualLayout>
                  <c:xMode val="edge"/>
                  <c:yMode val="edge"/>
                  <c:x val="0.9300813008130081"/>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5EA-467D-B1CE-DA0C7DB84559}"/>
                </c:ext>
              </c:extLst>
            </c:dLbl>
            <c:dLbl>
              <c:idx val="6"/>
              <c:layout>
                <c:manualLayout>
                  <c:xMode val="edge"/>
                  <c:yMode val="edge"/>
                  <c:x val="0"/>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5EA-467D-B1CE-DA0C7DB84559}"/>
                </c:ext>
              </c:extLst>
            </c:dLbl>
            <c:spPr>
              <a:noFill/>
              <a:ln>
                <a:noFill/>
              </a:ln>
              <a:effectLst/>
            </c:spPr>
            <c:txPr>
              <a:bodyPr rot="-540000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Sheet1!$A$3:$A$7</c:f>
              <c:strCache>
                <c:ptCount val="5"/>
                <c:pt idx="0">
                  <c:v>Общо разходи</c:v>
                </c:pt>
                <c:pt idx="1">
                  <c:v>Текущи нелихвени разходи*</c:v>
                </c:pt>
                <c:pt idx="2">
                  <c:v>Капиталови разходи **</c:v>
                </c:pt>
                <c:pt idx="3">
                  <c:v>Лихви</c:v>
                </c:pt>
                <c:pt idx="4">
                  <c:v>Вноска в бюджета на  ЕС</c:v>
                </c:pt>
              </c:strCache>
            </c:strRef>
          </c:cat>
          <c:val>
            <c:numRef>
              <c:f>Sheet1!$B$3:$B$7</c:f>
              <c:numCache>
                <c:formatCode>#,##0.0</c:formatCode>
                <c:ptCount val="5"/>
                <c:pt idx="0">
                  <c:v>34471.1</c:v>
                </c:pt>
                <c:pt idx="1">
                  <c:v>29040.799999999999</c:v>
                </c:pt>
                <c:pt idx="2">
                  <c:v>3749.7</c:v>
                </c:pt>
                <c:pt idx="3">
                  <c:v>792.4</c:v>
                </c:pt>
                <c:pt idx="4">
                  <c:v>888.2</c:v>
                </c:pt>
              </c:numCache>
            </c:numRef>
          </c:val>
          <c:extLst>
            <c:ext xmlns:c16="http://schemas.microsoft.com/office/drawing/2014/chart" uri="{C3380CC4-5D6E-409C-BE32-E72D297353CC}">
              <c16:uniqueId val="{00000007-55EA-467D-B1CE-DA0C7DB84559}"/>
            </c:ext>
          </c:extLst>
        </c:ser>
        <c:ser>
          <c:idx val="1"/>
          <c:order val="1"/>
          <c:tx>
            <c:strRef>
              <c:f>Sheet1!$C$1</c:f>
              <c:strCache>
                <c:ptCount val="1"/>
                <c:pt idx="0">
                  <c:v>2018 г.</c:v>
                </c:pt>
              </c:strCache>
            </c:strRef>
          </c:tx>
          <c:invertIfNegative val="0"/>
          <c:dLbls>
            <c:dLbl>
              <c:idx val="0"/>
              <c:layout>
                <c:manualLayout>
                  <c:x val="4.8372944286791744E-3"/>
                  <c:y val="0.1685130494960543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5EA-467D-B1CE-DA0C7DB84559}"/>
                </c:ext>
              </c:extLst>
            </c:dLbl>
            <c:dLbl>
              <c:idx val="1"/>
              <c:layout>
                <c:manualLayout>
                  <c:x val="7.8014694220326589E-3"/>
                  <c:y val="2.37240637605853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5EA-467D-B1CE-DA0C7DB84559}"/>
                </c:ext>
              </c:extLst>
            </c:dLbl>
            <c:dLbl>
              <c:idx val="2"/>
              <c:layout>
                <c:manualLayout>
                  <c:x val="1.3761646981627297E-2"/>
                  <c:y val="-2.78503090339514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5EA-467D-B1CE-DA0C7DB84559}"/>
                </c:ext>
              </c:extLst>
            </c:dLbl>
            <c:dLbl>
              <c:idx val="3"/>
              <c:layout>
                <c:manualLayout>
                  <c:x val="1.9671095800524941E-2"/>
                  <c:y val="-3.26644653289306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55EA-467D-B1CE-DA0C7DB84559}"/>
                </c:ext>
              </c:extLst>
            </c:dLbl>
            <c:dLbl>
              <c:idx val="4"/>
              <c:layout>
                <c:manualLayout>
                  <c:x val="2.7460301837270402E-2"/>
                  <c:y val="-4.79061891457118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55EA-467D-B1CE-DA0C7DB84559}"/>
                </c:ext>
              </c:extLst>
            </c:dLbl>
            <c:dLbl>
              <c:idx val="5"/>
              <c:layout>
                <c:manualLayout>
                  <c:xMode val="edge"/>
                  <c:yMode val="edge"/>
                  <c:x val="0.9300813008130081"/>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55EA-467D-B1CE-DA0C7DB84559}"/>
                </c:ext>
              </c:extLst>
            </c:dLbl>
            <c:dLbl>
              <c:idx val="6"/>
              <c:layout>
                <c:manualLayout>
                  <c:xMode val="edge"/>
                  <c:yMode val="edge"/>
                  <c:x val="0.9300813008130081"/>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55EA-467D-B1CE-DA0C7DB84559}"/>
                </c:ext>
              </c:extLst>
            </c:dLbl>
            <c:spPr>
              <a:noFill/>
              <a:ln>
                <a:noFill/>
              </a:ln>
              <a:effectLst/>
            </c:spPr>
            <c:txPr>
              <a:bodyPr rot="-540000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Sheet1!$A$3:$A$7</c:f>
              <c:strCache>
                <c:ptCount val="5"/>
                <c:pt idx="0">
                  <c:v>Общо разходи</c:v>
                </c:pt>
                <c:pt idx="1">
                  <c:v>Текущи нелихвени разходи*</c:v>
                </c:pt>
                <c:pt idx="2">
                  <c:v>Капиталови разходи **</c:v>
                </c:pt>
                <c:pt idx="3">
                  <c:v>Лихви</c:v>
                </c:pt>
                <c:pt idx="4">
                  <c:v>Вноска в бюджета на  ЕС</c:v>
                </c:pt>
              </c:strCache>
            </c:strRef>
          </c:cat>
          <c:val>
            <c:numRef>
              <c:f>Sheet1!$C$3:$C$7</c:f>
              <c:numCache>
                <c:formatCode>#,##0.0</c:formatCode>
                <c:ptCount val="5"/>
                <c:pt idx="0">
                  <c:v>39515.699999999997</c:v>
                </c:pt>
                <c:pt idx="1">
                  <c:v>32418.400000000001</c:v>
                </c:pt>
                <c:pt idx="2">
                  <c:v>5325.7</c:v>
                </c:pt>
                <c:pt idx="3">
                  <c:v>688.2</c:v>
                </c:pt>
                <c:pt idx="4">
                  <c:v>1083.4000000000001</c:v>
                </c:pt>
              </c:numCache>
            </c:numRef>
          </c:val>
          <c:extLst>
            <c:ext xmlns:c16="http://schemas.microsoft.com/office/drawing/2014/chart" uri="{C3380CC4-5D6E-409C-BE32-E72D297353CC}">
              <c16:uniqueId val="{0000000F-55EA-467D-B1CE-DA0C7DB84559}"/>
            </c:ext>
          </c:extLst>
        </c:ser>
        <c:dLbls>
          <c:showLegendKey val="0"/>
          <c:showVal val="0"/>
          <c:showCatName val="0"/>
          <c:showSerName val="0"/>
          <c:showPercent val="0"/>
          <c:showBubbleSize val="0"/>
        </c:dLbls>
        <c:gapWidth val="166"/>
        <c:axId val="281931776"/>
        <c:axId val="281933312"/>
      </c:barChart>
      <c:catAx>
        <c:axId val="281931776"/>
        <c:scaling>
          <c:orientation val="minMax"/>
        </c:scaling>
        <c:delete val="0"/>
        <c:axPos val="b"/>
        <c:numFmt formatCode="General" sourceLinked="1"/>
        <c:majorTickMark val="out"/>
        <c:minorTickMark val="none"/>
        <c:tickLblPos val="low"/>
        <c:txPr>
          <a:bodyPr rot="0" vert="horz"/>
          <a:lstStyle/>
          <a:p>
            <a:pPr>
              <a:defRPr/>
            </a:pPr>
            <a:endParaRPr lang="bg-BG"/>
          </a:p>
        </c:txPr>
        <c:crossAx val="281933312"/>
        <c:crosses val="autoZero"/>
        <c:auto val="1"/>
        <c:lblAlgn val="ctr"/>
        <c:lblOffset val="100"/>
        <c:noMultiLvlLbl val="0"/>
      </c:catAx>
      <c:valAx>
        <c:axId val="281933312"/>
        <c:scaling>
          <c:orientation val="minMax"/>
        </c:scaling>
        <c:delete val="0"/>
        <c:axPos val="l"/>
        <c:title>
          <c:tx>
            <c:rich>
              <a:bodyPr rot="0" vert="horz"/>
              <a:lstStyle/>
              <a:p>
                <a:pPr>
                  <a:defRPr/>
                </a:pPr>
                <a:endParaRPr lang="bg-BG"/>
              </a:p>
            </c:rich>
          </c:tx>
          <c:layout>
            <c:manualLayout>
              <c:xMode val="edge"/>
              <c:yMode val="edge"/>
              <c:x val="9.105639924961835E-2"/>
              <c:y val="0.83921582617706769"/>
            </c:manualLayout>
          </c:layout>
          <c:overlay val="0"/>
        </c:title>
        <c:numFmt formatCode="#,##0" sourceLinked="0"/>
        <c:majorTickMark val="out"/>
        <c:minorTickMark val="none"/>
        <c:tickLblPos val="nextTo"/>
        <c:txPr>
          <a:bodyPr rot="0" vert="horz"/>
          <a:lstStyle/>
          <a:p>
            <a:pPr>
              <a:defRPr/>
            </a:pPr>
            <a:endParaRPr lang="bg-BG"/>
          </a:p>
        </c:txPr>
        <c:crossAx val="281931776"/>
        <c:crosses val="autoZero"/>
        <c:crossBetween val="between"/>
      </c:valAx>
    </c:plotArea>
    <c:legend>
      <c:legendPos val="r"/>
      <c:layout>
        <c:manualLayout>
          <c:xMode val="edge"/>
          <c:yMode val="edge"/>
          <c:x val="0.75476124459293081"/>
          <c:y val="5.6608648144775661E-2"/>
          <c:w val="0.11931550622459017"/>
          <c:h val="0.18059441366419154"/>
        </c:manualLayout>
      </c:layout>
      <c:overlay val="0"/>
      <c:txPr>
        <a:bodyPr rot="0" vert="horz"/>
        <a:lstStyle/>
        <a:p>
          <a:pPr>
            <a:defRPr/>
          </a:pPr>
          <a:endParaRPr lang="bg-BG"/>
        </a:p>
      </c:txPr>
    </c:legend>
    <c:plotVisOnly val="1"/>
    <c:dispBlanksAs val="gap"/>
    <c:showDLblsOverMax val="0"/>
  </c:chart>
  <c:spPr>
    <a:ln>
      <a:noFill/>
    </a:ln>
  </c:spPr>
  <c:txPr>
    <a:bodyPr/>
    <a:lstStyle/>
    <a:p>
      <a:pPr>
        <a:defRPr sz="900"/>
      </a:pPr>
      <a:endParaRPr lang="bg-BG"/>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3"/>
    </mc:Choice>
    <mc:Fallback>
      <c:style val="1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1852779958812"/>
          <c:y val="4.23499812716156E-2"/>
          <c:w val="0.60431259483715494"/>
          <c:h val="0.84096472567945135"/>
        </c:manualLayout>
      </c:layout>
      <c:barChart>
        <c:barDir val="bar"/>
        <c:grouping val="clustered"/>
        <c:varyColors val="0"/>
        <c:ser>
          <c:idx val="0"/>
          <c:order val="0"/>
          <c:tx>
            <c:strRef>
              <c:f>Sheet1!$B$26</c:f>
              <c:strCache>
                <c:ptCount val="1"/>
                <c:pt idx="0">
                  <c:v>септември 2018 г.</c:v>
                </c:pt>
              </c:strCache>
            </c:strRef>
          </c:tx>
          <c:invertIfNegative val="0"/>
          <c:dLbls>
            <c:dLbl>
              <c:idx val="0"/>
              <c:layout>
                <c:manualLayout>
                  <c:x val="1.3645224171539889E-2"/>
                  <c:y val="3.532008338877011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FFD-4510-A5E0-C9B2DAA49D76}"/>
                </c:ext>
              </c:extLst>
            </c:dLbl>
            <c:dLbl>
              <c:idx val="1"/>
              <c:layout>
                <c:manualLayout>
                  <c:x val="0"/>
                  <c:y val="1.85185185185186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DB4-49C4-9131-D685EB2B75E6}"/>
                </c:ext>
              </c:extLst>
            </c:dLbl>
            <c:dLbl>
              <c:idx val="2"/>
              <c:layout>
                <c:manualLayout>
                  <c:x val="4.8310150658480468E-3"/>
                  <c:y val="3.18153980752405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FFD-4510-A5E0-C9B2DAA49D76}"/>
                </c:ext>
              </c:extLst>
            </c:dLbl>
            <c:dLbl>
              <c:idx val="3"/>
              <c:layout>
                <c:manualLayout>
                  <c:x val="-1.1808773943670741E-16"/>
                  <c:y val="2.02239052474778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FFD-4510-A5E0-C9B2DAA49D76}"/>
                </c:ext>
              </c:extLst>
            </c:dLbl>
            <c:dLbl>
              <c:idx val="4"/>
              <c:layout>
                <c:manualLayout>
                  <c:x val="8.0515297906602248E-3"/>
                  <c:y val="1.44456466053412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FFD-4510-A5E0-C9B2DAA49D76}"/>
                </c:ext>
              </c:extLst>
            </c:dLbl>
            <c:dLbl>
              <c:idx val="7"/>
              <c:layout>
                <c:manualLayout>
                  <c:x val="0"/>
                  <c:y val="1.4128033355508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FFD-4510-A5E0-C9B2DAA49D76}"/>
                </c:ext>
              </c:extLst>
            </c:dLbl>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Sheet1!$A$27:$A$34</c:f>
              <c:strCache>
                <c:ptCount val="8"/>
                <c:pt idx="0">
                  <c:v>ДДФЛ</c:v>
                </c:pt>
                <c:pt idx="1">
                  <c:v>Др. данъци</c:v>
                </c:pt>
                <c:pt idx="2">
                  <c:v>Соц. и здравноос. вн.</c:v>
                </c:pt>
                <c:pt idx="3">
                  <c:v>ДДС</c:v>
                </c:pt>
                <c:pt idx="4">
                  <c:v>Акцизи </c:v>
                </c:pt>
                <c:pt idx="5">
                  <c:v>Мита</c:v>
                </c:pt>
                <c:pt idx="6">
                  <c:v>Данък в/у застрах. премии</c:v>
                </c:pt>
                <c:pt idx="7">
                  <c:v>Корпоративни данъци</c:v>
                </c:pt>
              </c:strCache>
            </c:strRef>
          </c:cat>
          <c:val>
            <c:numRef>
              <c:f>Sheet1!$B$27:$B$34</c:f>
              <c:numCache>
                <c:formatCode>#,##0.0</c:formatCode>
                <c:ptCount val="8"/>
                <c:pt idx="0">
                  <c:v>2721.9</c:v>
                </c:pt>
                <c:pt idx="1">
                  <c:v>886.8</c:v>
                </c:pt>
                <c:pt idx="2">
                  <c:v>6945.8440000000001</c:v>
                </c:pt>
                <c:pt idx="3">
                  <c:v>7720.1</c:v>
                </c:pt>
                <c:pt idx="4">
                  <c:v>3915.0439999999999</c:v>
                </c:pt>
                <c:pt idx="5">
                  <c:v>175.5</c:v>
                </c:pt>
                <c:pt idx="6">
                  <c:v>27.5</c:v>
                </c:pt>
                <c:pt idx="7">
                  <c:v>1595.8</c:v>
                </c:pt>
              </c:numCache>
            </c:numRef>
          </c:val>
          <c:extLst>
            <c:ext xmlns:c16="http://schemas.microsoft.com/office/drawing/2014/chart" uri="{C3380CC4-5D6E-409C-BE32-E72D297353CC}">
              <c16:uniqueId val="{00000005-9FFD-4510-A5E0-C9B2DAA49D76}"/>
            </c:ext>
          </c:extLst>
        </c:ser>
        <c:ser>
          <c:idx val="1"/>
          <c:order val="1"/>
          <c:tx>
            <c:strRef>
              <c:f>Sheet1!$C$26</c:f>
              <c:strCache>
                <c:ptCount val="1"/>
                <c:pt idx="0">
                  <c:v>септември 2019 г.</c:v>
                </c:pt>
              </c:strCache>
            </c:strRef>
          </c:tx>
          <c:invertIfNegative val="0"/>
          <c:dLbls>
            <c:dLbl>
              <c:idx val="0"/>
              <c:layout>
                <c:manualLayout>
                  <c:x val="0"/>
                  <c:y val="-3.24074074074074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DB4-49C4-9131-D685EB2B75E6}"/>
                </c:ext>
              </c:extLst>
            </c:dLbl>
            <c:dLbl>
              <c:idx val="1"/>
              <c:layout>
                <c:manualLayout>
                  <c:x val="-5.3841766659467811E-17"/>
                  <c:y val="-1.38888888888889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DB4-49C4-9131-D685EB2B75E6}"/>
                </c:ext>
              </c:extLst>
            </c:dLbl>
            <c:dLbl>
              <c:idx val="4"/>
              <c:layout>
                <c:manualLayout>
                  <c:x val="4.830917874396135E-3"/>
                  <c:y val="-1.1556517284273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FFD-4510-A5E0-C9B2DAA49D76}"/>
                </c:ext>
              </c:extLst>
            </c:dLbl>
            <c:dLbl>
              <c:idx val="5"/>
              <c:layout>
                <c:manualLayout>
                  <c:x val="2.1197668256491787E-3"/>
                  <c:y val="-2.657807308970099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FFD-4510-A5E0-C9B2DAA49D76}"/>
                </c:ext>
              </c:extLst>
            </c:dLbl>
            <c:dLbl>
              <c:idx val="6"/>
              <c:layout>
                <c:manualLayout>
                  <c:x val="6.3593004769475362E-3"/>
                  <c:y val="-1.771871539313399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FFD-4510-A5E0-C9B2DAA49D76}"/>
                </c:ext>
              </c:extLst>
            </c:dLbl>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Sheet1!$A$27:$A$34</c:f>
              <c:strCache>
                <c:ptCount val="8"/>
                <c:pt idx="0">
                  <c:v>ДДФЛ</c:v>
                </c:pt>
                <c:pt idx="1">
                  <c:v>Др. данъци</c:v>
                </c:pt>
                <c:pt idx="2">
                  <c:v>Соц. и здравноос. вн.</c:v>
                </c:pt>
                <c:pt idx="3">
                  <c:v>ДДС</c:v>
                </c:pt>
                <c:pt idx="4">
                  <c:v>Акцизи </c:v>
                </c:pt>
                <c:pt idx="5">
                  <c:v>Мита</c:v>
                </c:pt>
                <c:pt idx="6">
                  <c:v>Данък в/у застрах. премии</c:v>
                </c:pt>
                <c:pt idx="7">
                  <c:v>Корпоративни данъци</c:v>
                </c:pt>
              </c:strCache>
            </c:strRef>
          </c:cat>
          <c:val>
            <c:numRef>
              <c:f>Sheet1!$C$27:$C$34</c:f>
              <c:numCache>
                <c:formatCode>#,##0.0</c:formatCode>
                <c:ptCount val="8"/>
                <c:pt idx="0">
                  <c:v>2992</c:v>
                </c:pt>
                <c:pt idx="1">
                  <c:v>927.7</c:v>
                </c:pt>
                <c:pt idx="2">
                  <c:v>7749.6</c:v>
                </c:pt>
                <c:pt idx="3">
                  <c:v>8416.5</c:v>
                </c:pt>
                <c:pt idx="4">
                  <c:v>4136.7</c:v>
                </c:pt>
                <c:pt idx="5">
                  <c:v>172.7</c:v>
                </c:pt>
                <c:pt idx="6">
                  <c:v>32.799999999999997</c:v>
                </c:pt>
                <c:pt idx="7">
                  <c:v>1668.2</c:v>
                </c:pt>
              </c:numCache>
            </c:numRef>
          </c:val>
          <c:extLst>
            <c:ext xmlns:c16="http://schemas.microsoft.com/office/drawing/2014/chart" uri="{C3380CC4-5D6E-409C-BE32-E72D297353CC}">
              <c16:uniqueId val="{00000009-9FFD-4510-A5E0-C9B2DAA49D76}"/>
            </c:ext>
          </c:extLst>
        </c:ser>
        <c:dLbls>
          <c:showLegendKey val="0"/>
          <c:showVal val="0"/>
          <c:showCatName val="0"/>
          <c:showSerName val="0"/>
          <c:showPercent val="0"/>
          <c:showBubbleSize val="0"/>
        </c:dLbls>
        <c:gapWidth val="182"/>
        <c:axId val="282177920"/>
        <c:axId val="282179456"/>
      </c:barChart>
      <c:catAx>
        <c:axId val="282177920"/>
        <c:scaling>
          <c:orientation val="minMax"/>
        </c:scaling>
        <c:delete val="0"/>
        <c:axPos val="l"/>
        <c:numFmt formatCode="General" sourceLinked="1"/>
        <c:majorTickMark val="none"/>
        <c:minorTickMark val="none"/>
        <c:tickLblPos val="nextTo"/>
        <c:txPr>
          <a:bodyPr rot="-60000000" vert="horz"/>
          <a:lstStyle/>
          <a:p>
            <a:pPr>
              <a:defRPr/>
            </a:pPr>
            <a:endParaRPr lang="bg-BG"/>
          </a:p>
        </c:txPr>
        <c:crossAx val="282179456"/>
        <c:crosses val="autoZero"/>
        <c:auto val="1"/>
        <c:lblAlgn val="ctr"/>
        <c:lblOffset val="100"/>
        <c:noMultiLvlLbl val="0"/>
      </c:catAx>
      <c:valAx>
        <c:axId val="282179456"/>
        <c:scaling>
          <c:orientation val="minMax"/>
        </c:scaling>
        <c:delete val="0"/>
        <c:axPos val="b"/>
        <c:numFmt formatCode="#,##0" sourceLinked="0"/>
        <c:majorTickMark val="out"/>
        <c:minorTickMark val="none"/>
        <c:tickLblPos val="nextTo"/>
        <c:txPr>
          <a:bodyPr rot="-60000000" vert="horz"/>
          <a:lstStyle/>
          <a:p>
            <a:pPr>
              <a:defRPr/>
            </a:pPr>
            <a:endParaRPr lang="bg-BG"/>
          </a:p>
        </c:txPr>
        <c:crossAx val="282177920"/>
        <c:crosses val="autoZero"/>
        <c:crossBetween val="between"/>
      </c:valAx>
    </c:plotArea>
    <c:legend>
      <c:legendPos val="b"/>
      <c:layout>
        <c:manualLayout>
          <c:xMode val="edge"/>
          <c:yMode val="edge"/>
          <c:x val="0.62975106085307619"/>
          <c:y val="4.7187591134441528E-2"/>
          <c:w val="0.30212701436721412"/>
          <c:h val="0.18581327787655574"/>
        </c:manualLayout>
      </c:layout>
      <c:overlay val="0"/>
      <c:txPr>
        <a:bodyPr rot="0" vert="horz"/>
        <a:lstStyle/>
        <a:p>
          <a:pPr>
            <a:defRPr/>
          </a:pPr>
          <a:endParaRPr lang="bg-BG"/>
        </a:p>
      </c:txPr>
    </c:legend>
    <c:plotVisOnly val="1"/>
    <c:dispBlanksAs val="gap"/>
    <c:showDLblsOverMax val="0"/>
  </c:chart>
  <c:spPr>
    <a:ln>
      <a:noFill/>
    </a:ln>
  </c:spPr>
  <c:txPr>
    <a:bodyPr/>
    <a:lstStyle/>
    <a:p>
      <a:pPr>
        <a:defRPr sz="900"/>
      </a:pPr>
      <a:endParaRPr lang="bg-BG"/>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131120538525496"/>
          <c:y val="6.2451494354762382E-2"/>
          <c:w val="0.86822765778414102"/>
          <c:h val="0.68633531626488642"/>
        </c:manualLayout>
      </c:layout>
      <c:barChart>
        <c:barDir val="col"/>
        <c:grouping val="clustered"/>
        <c:varyColors val="0"/>
        <c:ser>
          <c:idx val="0"/>
          <c:order val="0"/>
          <c:tx>
            <c:strRef>
              <c:f>КФП!$B$1</c:f>
              <c:strCache>
                <c:ptCount val="1"/>
                <c:pt idx="0">
                  <c:v>септември 2018 г.</c:v>
                </c:pt>
              </c:strCache>
            </c:strRef>
          </c:tx>
          <c:invertIfNegative val="0"/>
          <c:dLbls>
            <c:dLbl>
              <c:idx val="0"/>
              <c:layout>
                <c:manualLayout>
                  <c:x val="4.4385861458947585E-3"/>
                  <c:y val="0.2483166256200353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43E-4991-B67A-C72F22431716}"/>
                </c:ext>
              </c:extLst>
            </c:dLbl>
            <c:dLbl>
              <c:idx val="1"/>
              <c:layout>
                <c:manualLayout>
                  <c:x val="3.1833685987489447E-3"/>
                  <c:y val="0.2753717899799970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43E-4991-B67A-C72F22431716}"/>
                </c:ext>
              </c:extLst>
            </c:dLbl>
            <c:dLbl>
              <c:idx val="2"/>
              <c:layout>
                <c:manualLayout>
                  <c:x val="2.78182414698163E-3"/>
                  <c:y val="-3.33191093048852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43E-4991-B67A-C72F22431716}"/>
                </c:ext>
              </c:extLst>
            </c:dLbl>
            <c:dLbl>
              <c:idx val="3"/>
              <c:layout>
                <c:manualLayout>
                  <c:x val="1.0317257217847769E-2"/>
                  <c:y val="-2.0692236051138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43E-4991-B67A-C72F22431716}"/>
                </c:ext>
              </c:extLst>
            </c:dLbl>
            <c:dLbl>
              <c:idx val="4"/>
              <c:layout>
                <c:manualLayout>
                  <c:x val="1.6023129921259843E-2"/>
                  <c:y val="-3.35477097620861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43E-4991-B67A-C72F22431716}"/>
                </c:ext>
              </c:extLst>
            </c:dLbl>
            <c:dLbl>
              <c:idx val="5"/>
              <c:layout>
                <c:manualLayout>
                  <c:xMode val="edge"/>
                  <c:yMode val="edge"/>
                  <c:x val="0.9300813008130081"/>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43E-4991-B67A-C72F22431716}"/>
                </c:ext>
              </c:extLst>
            </c:dLbl>
            <c:dLbl>
              <c:idx val="6"/>
              <c:layout>
                <c:manualLayout>
                  <c:xMode val="edge"/>
                  <c:yMode val="edge"/>
                  <c:x val="0"/>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43E-4991-B67A-C72F22431716}"/>
                </c:ext>
              </c:extLst>
            </c:dLbl>
            <c:spPr>
              <a:noFill/>
              <a:ln>
                <a:noFill/>
              </a:ln>
              <a:effectLst/>
            </c:spPr>
            <c:txPr>
              <a:bodyPr rot="-540000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КФП!$A$3:$A$7</c:f>
              <c:strCache>
                <c:ptCount val="5"/>
                <c:pt idx="0">
                  <c:v>Общо разходи</c:v>
                </c:pt>
                <c:pt idx="1">
                  <c:v>Текущи нелихвени разходи*</c:v>
                </c:pt>
                <c:pt idx="2">
                  <c:v>Капиталови разходи**</c:v>
                </c:pt>
                <c:pt idx="3">
                  <c:v>Лихви</c:v>
                </c:pt>
                <c:pt idx="4">
                  <c:v>Вноска в бюджета на  ЕС</c:v>
                </c:pt>
              </c:strCache>
            </c:strRef>
          </c:cat>
          <c:val>
            <c:numRef>
              <c:f>КФП!$B$3:$B$7</c:f>
              <c:numCache>
                <c:formatCode>#,##0.0</c:formatCode>
                <c:ptCount val="5"/>
                <c:pt idx="0">
                  <c:v>26500.9</c:v>
                </c:pt>
                <c:pt idx="1">
                  <c:v>22936.799999999999</c:v>
                </c:pt>
                <c:pt idx="2">
                  <c:v>2139.9</c:v>
                </c:pt>
                <c:pt idx="3">
                  <c:v>601.29999999999995</c:v>
                </c:pt>
                <c:pt idx="4">
                  <c:v>822.9</c:v>
                </c:pt>
              </c:numCache>
            </c:numRef>
          </c:val>
          <c:extLst>
            <c:ext xmlns:c16="http://schemas.microsoft.com/office/drawing/2014/chart" uri="{C3380CC4-5D6E-409C-BE32-E72D297353CC}">
              <c16:uniqueId val="{00000007-F43E-4991-B67A-C72F22431716}"/>
            </c:ext>
          </c:extLst>
        </c:ser>
        <c:ser>
          <c:idx val="1"/>
          <c:order val="1"/>
          <c:tx>
            <c:strRef>
              <c:f>КФП!$C$1</c:f>
              <c:strCache>
                <c:ptCount val="1"/>
                <c:pt idx="0">
                  <c:v>септември 2019 г.</c:v>
                </c:pt>
              </c:strCache>
            </c:strRef>
          </c:tx>
          <c:invertIfNegative val="0"/>
          <c:dLbls>
            <c:dLbl>
              <c:idx val="0"/>
              <c:layout>
                <c:manualLayout>
                  <c:x val="-1.5285534242140168E-3"/>
                  <c:y val="0.1831803623665984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43E-4991-B67A-C72F22431716}"/>
                </c:ext>
              </c:extLst>
            </c:dLbl>
            <c:dLbl>
              <c:idx val="1"/>
              <c:layout>
                <c:manualLayout>
                  <c:x val="-6.3269624336600115E-4"/>
                  <c:y val="0.2638324834946292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43E-4991-B67A-C72F22431716}"/>
                </c:ext>
              </c:extLst>
            </c:dLbl>
            <c:dLbl>
              <c:idx val="2"/>
              <c:layout>
                <c:manualLayout>
                  <c:x val="1.3761646981627297E-2"/>
                  <c:y val="-2.78503090339514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43E-4991-B67A-C72F22431716}"/>
                </c:ext>
              </c:extLst>
            </c:dLbl>
            <c:dLbl>
              <c:idx val="3"/>
              <c:layout>
                <c:manualLayout>
                  <c:x val="1.9671095800524941E-2"/>
                  <c:y val="-3.26644653289306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F43E-4991-B67A-C72F22431716}"/>
                </c:ext>
              </c:extLst>
            </c:dLbl>
            <c:dLbl>
              <c:idx val="4"/>
              <c:layout>
                <c:manualLayout>
                  <c:x val="2.7460301837270353E-2"/>
                  <c:y val="-4.79061891457116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F43E-4991-B67A-C72F22431716}"/>
                </c:ext>
              </c:extLst>
            </c:dLbl>
            <c:dLbl>
              <c:idx val="5"/>
              <c:layout>
                <c:manualLayout>
                  <c:xMode val="edge"/>
                  <c:yMode val="edge"/>
                  <c:x val="0.9300813008130081"/>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F43E-4991-B67A-C72F22431716}"/>
                </c:ext>
              </c:extLst>
            </c:dLbl>
            <c:dLbl>
              <c:idx val="6"/>
              <c:layout>
                <c:manualLayout>
                  <c:xMode val="edge"/>
                  <c:yMode val="edge"/>
                  <c:x val="0.9300813008130081"/>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F43E-4991-B67A-C72F22431716}"/>
                </c:ext>
              </c:extLst>
            </c:dLbl>
            <c:spPr>
              <a:noFill/>
              <a:ln>
                <a:noFill/>
              </a:ln>
              <a:effectLst/>
            </c:spPr>
            <c:txPr>
              <a:bodyPr rot="-540000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КФП!$A$3:$A$7</c:f>
              <c:strCache>
                <c:ptCount val="5"/>
                <c:pt idx="0">
                  <c:v>Общо разходи</c:v>
                </c:pt>
                <c:pt idx="1">
                  <c:v>Текущи нелихвени разходи*</c:v>
                </c:pt>
                <c:pt idx="2">
                  <c:v>Капиталови разходи**</c:v>
                </c:pt>
                <c:pt idx="3">
                  <c:v>Лихви</c:v>
                </c:pt>
                <c:pt idx="4">
                  <c:v>Вноска в бюджета на  ЕС</c:v>
                </c:pt>
              </c:strCache>
            </c:strRef>
          </c:cat>
          <c:val>
            <c:numRef>
              <c:f>КФП!$C$3:$C$7</c:f>
              <c:numCache>
                <c:formatCode>#,##0.0</c:formatCode>
                <c:ptCount val="5"/>
                <c:pt idx="0">
                  <c:v>31533.399999999998</c:v>
                </c:pt>
                <c:pt idx="1">
                  <c:v>25365.599999999999</c:v>
                </c:pt>
                <c:pt idx="2">
                  <c:v>4588.7</c:v>
                </c:pt>
                <c:pt idx="3">
                  <c:v>581.6</c:v>
                </c:pt>
                <c:pt idx="4">
                  <c:v>997.5</c:v>
                </c:pt>
              </c:numCache>
            </c:numRef>
          </c:val>
          <c:extLst>
            <c:ext xmlns:c16="http://schemas.microsoft.com/office/drawing/2014/chart" uri="{C3380CC4-5D6E-409C-BE32-E72D297353CC}">
              <c16:uniqueId val="{0000000F-F43E-4991-B67A-C72F22431716}"/>
            </c:ext>
          </c:extLst>
        </c:ser>
        <c:dLbls>
          <c:showLegendKey val="0"/>
          <c:showVal val="0"/>
          <c:showCatName val="0"/>
          <c:showSerName val="0"/>
          <c:showPercent val="0"/>
          <c:showBubbleSize val="0"/>
        </c:dLbls>
        <c:gapWidth val="150"/>
        <c:axId val="282314240"/>
        <c:axId val="282315776"/>
      </c:barChart>
      <c:catAx>
        <c:axId val="282314240"/>
        <c:scaling>
          <c:orientation val="minMax"/>
        </c:scaling>
        <c:delete val="0"/>
        <c:axPos val="b"/>
        <c:numFmt formatCode="General" sourceLinked="1"/>
        <c:majorTickMark val="out"/>
        <c:minorTickMark val="none"/>
        <c:tickLblPos val="low"/>
        <c:txPr>
          <a:bodyPr rot="0" vert="horz"/>
          <a:lstStyle/>
          <a:p>
            <a:pPr>
              <a:defRPr/>
            </a:pPr>
            <a:endParaRPr lang="bg-BG"/>
          </a:p>
        </c:txPr>
        <c:crossAx val="282315776"/>
        <c:crosses val="autoZero"/>
        <c:auto val="1"/>
        <c:lblAlgn val="ctr"/>
        <c:lblOffset val="100"/>
        <c:noMultiLvlLbl val="0"/>
      </c:catAx>
      <c:valAx>
        <c:axId val="282315776"/>
        <c:scaling>
          <c:orientation val="minMax"/>
        </c:scaling>
        <c:delete val="0"/>
        <c:axPos val="l"/>
        <c:numFmt formatCode="#,##0" sourceLinked="0"/>
        <c:majorTickMark val="out"/>
        <c:minorTickMark val="none"/>
        <c:tickLblPos val="nextTo"/>
        <c:txPr>
          <a:bodyPr rot="0" vert="horz"/>
          <a:lstStyle/>
          <a:p>
            <a:pPr>
              <a:defRPr/>
            </a:pPr>
            <a:endParaRPr lang="bg-BG"/>
          </a:p>
        </c:txPr>
        <c:crossAx val="282314240"/>
        <c:crosses val="autoZero"/>
        <c:crossBetween val="between"/>
      </c:valAx>
    </c:plotArea>
    <c:legend>
      <c:legendPos val="r"/>
      <c:layout>
        <c:manualLayout>
          <c:xMode val="edge"/>
          <c:yMode val="edge"/>
          <c:x val="0.71935262465262562"/>
          <c:y val="9.2568617602045031E-2"/>
          <c:w val="0.24373799886803066"/>
          <c:h val="0.20322459692538433"/>
        </c:manualLayout>
      </c:layout>
      <c:overlay val="0"/>
    </c:legend>
    <c:plotVisOnly val="1"/>
    <c:dispBlanksAs val="gap"/>
    <c:showDLblsOverMax val="0"/>
  </c:chart>
  <c:spPr>
    <a:ln>
      <a:noFill/>
    </a:ln>
  </c:spPr>
  <c:txPr>
    <a:bodyPr/>
    <a:lstStyle/>
    <a:p>
      <a:pPr>
        <a:defRPr sz="900"/>
      </a:pPr>
      <a:endParaRPr lang="bg-BG"/>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0.74257</cdr:x>
      <cdr:y>0.91528</cdr:y>
    </cdr:from>
    <cdr:to>
      <cdr:x>0.97951</cdr:x>
      <cdr:y>0.99506</cdr:y>
    </cdr:to>
    <cdr:sp macro="" textlink="">
      <cdr:nvSpPr>
        <cdr:cNvPr id="2" name="TextBox 1"/>
        <cdr:cNvSpPr txBox="1"/>
      </cdr:nvSpPr>
      <cdr:spPr>
        <a:xfrm xmlns:a="http://schemas.openxmlformats.org/drawingml/2006/main">
          <a:off x="3218213" y="3075709"/>
          <a:ext cx="1026861" cy="26811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b="1" baseline="0">
            <a:latin typeface="Times New Roman" panose="02020603050405020304" pitchFamily="18" charset="0"/>
          </a:endParaRPr>
        </a:p>
      </cdr:txBody>
    </cdr:sp>
  </cdr:relSizeAnchor>
</c:userShapes>
</file>

<file path=word/theme/theme1.xml><?xml version="1.0" encoding="utf-8"?>
<a:theme xmlns:a="http://schemas.openxmlformats.org/drawingml/2006/main" name="Office Theme">
  <a:themeElements>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2016-2018</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BB04802-74D4-436C-9709-10C71A199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82967</Words>
  <Characters>472916</Characters>
  <Application>Microsoft Office Word</Application>
  <DocSecurity>0</DocSecurity>
  <Lines>3940</Lines>
  <Paragraphs>1109</Paragraphs>
  <ScaleCrop>false</ScaleCrop>
  <HeadingPairs>
    <vt:vector size="2" baseType="variant">
      <vt:variant>
        <vt:lpstr>Title</vt:lpstr>
      </vt:variant>
      <vt:variant>
        <vt:i4>1</vt:i4>
      </vt:variant>
    </vt:vector>
  </HeadingPairs>
  <TitlesOfParts>
    <vt:vector size="1" baseType="lpstr">
      <vt:lpstr>Мотиви - АСБП 2018-2020</vt:lpstr>
    </vt:vector>
  </TitlesOfParts>
  <Company/>
  <LinksUpToDate>false</LinksUpToDate>
  <CharactersWithSpaces>554774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Мотиви - АСБП 2018-2020</dc:title>
  <dc:creator>Бюджет</dc:creator>
  <cp:lastModifiedBy>Велико Демирев</cp:lastModifiedBy>
  <cp:revision>3</cp:revision>
  <cp:lastPrinted>2019-10-25T11:19:00Z</cp:lastPrinted>
  <dcterms:created xsi:type="dcterms:W3CDTF">2019-10-31T12:43:00Z</dcterms:created>
  <dcterms:modified xsi:type="dcterms:W3CDTF">2019-10-31T12:44:00Z</dcterms:modified>
</cp:coreProperties>
</file>